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9C6134" w14:textId="03EE71A6" w:rsidR="00950A43" w:rsidRPr="0055564D" w:rsidRDefault="00511B08" w:rsidP="00DD75BF">
      <w:pPr>
        <w:pStyle w:val="Title"/>
      </w:pPr>
      <w:r>
        <w:t>Instrument Modification</w:t>
      </w:r>
      <w:r w:rsidR="00A704CA">
        <w:t xml:space="preserve"> of </w:t>
      </w:r>
      <w:r>
        <w:t>the</w:t>
      </w:r>
      <w:r w:rsidR="005A788F">
        <w:t xml:space="preserve"> </w:t>
      </w:r>
      <w:r>
        <w:rPr>
          <w:i/>
        </w:rPr>
        <w:t xml:space="preserve">Salmonella PCR </w:t>
      </w:r>
      <w:r w:rsidRPr="00511B08">
        <w:t>Assay</w:t>
      </w:r>
    </w:p>
    <w:p w14:paraId="4E57C3C3" w14:textId="5E3DCD5F" w:rsidR="006E4362" w:rsidRPr="006E4362" w:rsidRDefault="006E4362" w:rsidP="00950A43">
      <w:pPr>
        <w:pStyle w:val="Subtitle"/>
        <w:spacing w:after="0"/>
      </w:pPr>
      <w:r w:rsidRPr="006E4362">
        <w:t>Instrument Modification of the Salmonella PCR Assay</w:t>
      </w:r>
      <w:r w:rsidR="00215216">
        <w:t xml:space="preserve"> from Cephid </w:t>
      </w:r>
      <w:proofErr w:type="spellStart"/>
      <w:r w:rsidR="00215216">
        <w:t>Smartcycler</w:t>
      </w:r>
      <w:proofErr w:type="spellEnd"/>
      <w:r w:rsidR="00215216">
        <w:t xml:space="preserve"> to ABI7500 Fast</w:t>
      </w:r>
    </w:p>
    <w:p w14:paraId="4AD147C4" w14:textId="77777777" w:rsidR="006E4362" w:rsidRDefault="006E4362" w:rsidP="00950A43">
      <w:pPr>
        <w:pStyle w:val="Subtitle"/>
        <w:spacing w:after="0"/>
        <w:rPr>
          <w:rFonts w:asciiTheme="minorHAnsi" w:eastAsiaTheme="minorEastAsia" w:hAnsiTheme="minorHAnsi" w:cstheme="minorBidi"/>
          <w:i w:val="0"/>
          <w:iCs w:val="0"/>
          <w:color w:val="auto"/>
          <w:spacing w:val="0"/>
          <w:sz w:val="22"/>
          <w:szCs w:val="22"/>
        </w:rPr>
      </w:pPr>
    </w:p>
    <w:p w14:paraId="56042D7B" w14:textId="5328444E" w:rsidR="006E4362" w:rsidRDefault="006E4362" w:rsidP="00950A43">
      <w:pPr>
        <w:pStyle w:val="Subtitle"/>
        <w:spacing w:after="0"/>
        <w:rPr>
          <w:rFonts w:asciiTheme="minorHAnsi" w:eastAsiaTheme="minorEastAsia" w:hAnsiTheme="minorHAnsi" w:cstheme="minorBidi"/>
          <w:i w:val="0"/>
          <w:iCs w:val="0"/>
          <w:color w:val="auto"/>
          <w:spacing w:val="0"/>
          <w:sz w:val="22"/>
          <w:szCs w:val="22"/>
        </w:rPr>
      </w:pPr>
      <w:r>
        <w:rPr>
          <w:rFonts w:asciiTheme="minorHAnsi" w:eastAsiaTheme="minorEastAsia" w:hAnsiTheme="minorHAnsi" w:cstheme="minorBidi"/>
          <w:i w:val="0"/>
          <w:iCs w:val="0"/>
          <w:color w:val="auto"/>
          <w:spacing w:val="0"/>
          <w:sz w:val="22"/>
          <w:szCs w:val="22"/>
        </w:rPr>
        <w:t>Authors:</w:t>
      </w:r>
    </w:p>
    <w:p w14:paraId="26C668DC" w14:textId="100CCC3E" w:rsidR="006E4362" w:rsidRPr="006E4362" w:rsidRDefault="006E4362" w:rsidP="00950A43">
      <w:pPr>
        <w:pStyle w:val="Subtitle"/>
        <w:spacing w:after="0"/>
        <w:rPr>
          <w:color w:val="auto"/>
        </w:rPr>
      </w:pPr>
      <w:r w:rsidRPr="006E4362">
        <w:rPr>
          <w:color w:val="auto"/>
        </w:rPr>
        <w:t>Erin Peterson, Principal Microbiologist</w:t>
      </w:r>
    </w:p>
    <w:p w14:paraId="77A88143" w14:textId="77777777" w:rsidR="006E4362" w:rsidRPr="006E4362" w:rsidRDefault="006E4362" w:rsidP="00950A43">
      <w:pPr>
        <w:pStyle w:val="Subtitle"/>
        <w:spacing w:after="0"/>
        <w:rPr>
          <w:color w:val="auto"/>
        </w:rPr>
      </w:pPr>
      <w:r w:rsidRPr="006E4362">
        <w:rPr>
          <w:color w:val="auto"/>
        </w:rPr>
        <w:t>George Dickinson, Principal Microbiology</w:t>
      </w:r>
    </w:p>
    <w:p w14:paraId="083FAC89" w14:textId="7B35721B" w:rsidR="006E4362" w:rsidRPr="006E4362" w:rsidRDefault="006E4362" w:rsidP="00950A43">
      <w:pPr>
        <w:pStyle w:val="Subtitle"/>
        <w:spacing w:after="0"/>
        <w:rPr>
          <w:color w:val="auto"/>
        </w:rPr>
      </w:pPr>
      <w:r w:rsidRPr="006E4362">
        <w:rPr>
          <w:color w:val="auto"/>
        </w:rPr>
        <w:t xml:space="preserve">Robert </w:t>
      </w:r>
      <w:proofErr w:type="spellStart"/>
      <w:r>
        <w:rPr>
          <w:color w:val="auto"/>
        </w:rPr>
        <w:t>Voermans</w:t>
      </w:r>
      <w:proofErr w:type="spellEnd"/>
      <w:r>
        <w:rPr>
          <w:color w:val="auto"/>
        </w:rPr>
        <w:t>, Microbiology Section M</w:t>
      </w:r>
      <w:r w:rsidRPr="006E4362">
        <w:rPr>
          <w:color w:val="auto"/>
        </w:rPr>
        <w:t>anager</w:t>
      </w:r>
    </w:p>
    <w:p w14:paraId="219C6135" w14:textId="07D95291" w:rsidR="008A3D93" w:rsidRPr="006E4362" w:rsidRDefault="006E4362" w:rsidP="00950A43">
      <w:pPr>
        <w:pStyle w:val="Subtitle"/>
        <w:spacing w:after="0"/>
        <w:rPr>
          <w:color w:val="auto"/>
        </w:rPr>
      </w:pPr>
      <w:r w:rsidRPr="006E4362">
        <w:rPr>
          <w:color w:val="auto"/>
        </w:rPr>
        <w:t>Mathew Burns, Developmental Scientist</w:t>
      </w:r>
      <w:r w:rsidR="00950A43" w:rsidRPr="006E4362">
        <w:rPr>
          <w:color w:val="auto"/>
        </w:rPr>
        <w:t xml:space="preserve"> </w:t>
      </w:r>
    </w:p>
    <w:p w14:paraId="219C6138" w14:textId="77777777" w:rsidR="00950A43" w:rsidRDefault="00950A43" w:rsidP="00950A43">
      <w:pPr>
        <w:spacing w:after="0"/>
      </w:pPr>
    </w:p>
    <w:p w14:paraId="219C6139" w14:textId="77BC8CA9" w:rsidR="0040269E" w:rsidRDefault="0040269E" w:rsidP="00DD75BF">
      <w:pPr>
        <w:pStyle w:val="Heading1"/>
        <w:spacing w:before="0"/>
      </w:pPr>
      <w:r w:rsidRPr="0033338F">
        <w:t>Introduction</w:t>
      </w:r>
    </w:p>
    <w:p w14:paraId="176D1B38" w14:textId="5AC50FF5" w:rsidR="006E4362" w:rsidRPr="00215216" w:rsidRDefault="006E4362" w:rsidP="006E4362">
      <w:r>
        <w:t xml:space="preserve">As of December, 2018, Cepheid Inc. will no longer be providing maintenance, support, parts and/or accessories for the </w:t>
      </w:r>
      <w:proofErr w:type="spellStart"/>
      <w:r>
        <w:t>Smartcycler</w:t>
      </w:r>
      <w:proofErr w:type="spellEnd"/>
      <w:r>
        <w:t xml:space="preserve"> Instruments.  IBL currently operates a considerable </w:t>
      </w:r>
      <w:r w:rsidR="00610637">
        <w:t>number</w:t>
      </w:r>
      <w:r>
        <w:t xml:space="preserve"> of PCR </w:t>
      </w:r>
      <w:r w:rsidR="00610637">
        <w:t>a</w:t>
      </w:r>
      <w:r>
        <w:t>ssays on these</w:t>
      </w:r>
      <w:r w:rsidR="00754BF7">
        <w:t xml:space="preserve"> </w:t>
      </w:r>
      <w:proofErr w:type="spellStart"/>
      <w:r w:rsidR="00754BF7">
        <w:t>Smartcycler</w:t>
      </w:r>
      <w:proofErr w:type="spellEnd"/>
      <w:r>
        <w:t xml:space="preserve"> units and will start the processes of moving these assays to different </w:t>
      </w:r>
      <w:proofErr w:type="spellStart"/>
      <w:r>
        <w:t>rt</w:t>
      </w:r>
      <w:proofErr w:type="spellEnd"/>
      <w:r>
        <w:t>-PCR platforms</w:t>
      </w:r>
      <w:r w:rsidR="00754BF7">
        <w:t xml:space="preserve"> that continue to have manufacturer support</w:t>
      </w:r>
      <w:r>
        <w:t>.  The</w:t>
      </w:r>
      <w:r w:rsidRPr="006E4362">
        <w:rPr>
          <w:i/>
        </w:rPr>
        <w:t xml:space="preserve"> </w:t>
      </w:r>
      <w:r w:rsidR="00754BF7">
        <w:rPr>
          <w:i/>
        </w:rPr>
        <w:t xml:space="preserve">IBL </w:t>
      </w:r>
      <w:r w:rsidRPr="006E4362">
        <w:rPr>
          <w:i/>
        </w:rPr>
        <w:t>Salmonella</w:t>
      </w:r>
      <w:r>
        <w:t xml:space="preserve"> </w:t>
      </w:r>
      <w:proofErr w:type="spellStart"/>
      <w:r>
        <w:t>rt</w:t>
      </w:r>
      <w:proofErr w:type="spellEnd"/>
      <w:r>
        <w:t xml:space="preserve">-PCR </w:t>
      </w:r>
      <w:proofErr w:type="gramStart"/>
      <w:r>
        <w:t>Assay</w:t>
      </w:r>
      <w:r w:rsidR="003341AA">
        <w:t xml:space="preserve"> </w:t>
      </w:r>
      <w:r w:rsidR="005C5D51" w:rsidRPr="00215216">
        <w:t>,which</w:t>
      </w:r>
      <w:proofErr w:type="gramEnd"/>
      <w:r w:rsidR="005C5D51" w:rsidRPr="00215216">
        <w:t xml:space="preserve"> detects OriC-</w:t>
      </w:r>
      <w:r w:rsidR="003341AA" w:rsidRPr="00215216">
        <w:t xml:space="preserve">like DNA sequences specific to </w:t>
      </w:r>
      <w:r w:rsidR="003341AA" w:rsidRPr="00215216">
        <w:rPr>
          <w:i/>
        </w:rPr>
        <w:t>Salmonella</w:t>
      </w:r>
      <w:r w:rsidR="003341AA" w:rsidRPr="00215216">
        <w:t xml:space="preserve">, </w:t>
      </w:r>
      <w:r w:rsidRPr="00215216">
        <w:t xml:space="preserve"> is currently validated on the </w:t>
      </w:r>
      <w:proofErr w:type="spellStart"/>
      <w:r w:rsidRPr="00215216">
        <w:t>Smartcycler</w:t>
      </w:r>
      <w:proofErr w:type="spellEnd"/>
      <w:r w:rsidRPr="00215216">
        <w:t xml:space="preserve"> Instrument.  </w:t>
      </w:r>
      <w:r w:rsidR="00754BF7" w:rsidRPr="00215216">
        <w:t xml:space="preserve">We would like to move this assay to </w:t>
      </w:r>
      <w:r w:rsidR="00610637">
        <w:t xml:space="preserve">the </w:t>
      </w:r>
      <w:r w:rsidR="00610637" w:rsidRPr="00610637">
        <w:t xml:space="preserve">Applied Biosystems® 7500 Fast </w:t>
      </w:r>
      <w:proofErr w:type="spellStart"/>
      <w:r w:rsidR="00610637" w:rsidRPr="00610637">
        <w:t>Dx</w:t>
      </w:r>
      <w:proofErr w:type="spellEnd"/>
      <w:r w:rsidR="00610637" w:rsidRPr="00610637">
        <w:t xml:space="preserve"> Real-Time PCR Instrument </w:t>
      </w:r>
      <w:r w:rsidR="00610637">
        <w:t>(ABI 7500)</w:t>
      </w:r>
      <w:r w:rsidR="00754BF7" w:rsidRPr="00215216">
        <w:t>.</w:t>
      </w:r>
      <w:r w:rsidR="006D6C2F" w:rsidRPr="00215216">
        <w:t xml:space="preserve"> </w:t>
      </w:r>
    </w:p>
    <w:p w14:paraId="219C613A" w14:textId="74084A68" w:rsidR="003B7166" w:rsidRPr="00215216" w:rsidRDefault="00610637" w:rsidP="003B7166">
      <w:r>
        <w:t>Here we</w:t>
      </w:r>
      <w:r w:rsidR="00D54233" w:rsidRPr="00215216">
        <w:t xml:space="preserve"> demonstrate that there is</w:t>
      </w:r>
      <w:r w:rsidR="00483644" w:rsidRPr="00215216">
        <w:t xml:space="preserve"> </w:t>
      </w:r>
      <w:r w:rsidR="00D54233" w:rsidRPr="00215216">
        <w:t>no substantial loss in detection</w:t>
      </w:r>
      <w:r w:rsidR="00B66927" w:rsidRPr="00215216">
        <w:t xml:space="preserve">, </w:t>
      </w:r>
      <w:r w:rsidR="005D611F" w:rsidRPr="00215216">
        <w:t xml:space="preserve">increase in false positives </w:t>
      </w:r>
      <w:r w:rsidR="00B66927" w:rsidRPr="00215216">
        <w:t>or other substantive differences,</w:t>
      </w:r>
      <w:r w:rsidR="00D54233" w:rsidRPr="00215216">
        <w:t xml:space="preserve"> </w:t>
      </w:r>
      <w:r w:rsidR="003341AA" w:rsidRPr="00215216">
        <w:t>for</w:t>
      </w:r>
      <w:r w:rsidR="00C6682F" w:rsidRPr="00215216">
        <w:t xml:space="preserve"> </w:t>
      </w:r>
      <w:r w:rsidR="003341AA" w:rsidRPr="00215216">
        <w:rPr>
          <w:i/>
        </w:rPr>
        <w:t xml:space="preserve">Salmonella </w:t>
      </w:r>
      <w:r w:rsidR="00D54233" w:rsidRPr="00215216">
        <w:t>assays carried out on</w:t>
      </w:r>
      <w:r w:rsidR="00483644" w:rsidRPr="00215216">
        <w:t xml:space="preserve"> </w:t>
      </w:r>
      <w:r>
        <w:t>the ABI 7500</w:t>
      </w:r>
      <w:r w:rsidR="00C6682F" w:rsidRPr="00215216">
        <w:t xml:space="preserve">, as </w:t>
      </w:r>
      <w:r w:rsidR="00D54233" w:rsidRPr="00215216">
        <w:t xml:space="preserve">compared to the </w:t>
      </w:r>
      <w:proofErr w:type="spellStart"/>
      <w:r w:rsidR="00D54233" w:rsidRPr="00215216">
        <w:t>Smartcycler</w:t>
      </w:r>
      <w:proofErr w:type="spellEnd"/>
      <w:r w:rsidR="00D54233" w:rsidRPr="00215216">
        <w:t xml:space="preserve">. </w:t>
      </w:r>
      <w:r w:rsidR="00B66927" w:rsidRPr="00215216">
        <w:t xml:space="preserve"> We assess</w:t>
      </w:r>
      <w:r w:rsidR="00284E6A">
        <w:t>ed</w:t>
      </w:r>
      <w:r w:rsidR="00B66927" w:rsidRPr="00215216">
        <w:t xml:space="preserve"> the performance of the ABI 7500 by running parallel assays </w:t>
      </w:r>
      <w:r w:rsidR="00284E6A">
        <w:t>for ten DNA extra</w:t>
      </w:r>
      <w:r w:rsidR="00E250B0">
        <w:t>cts - from salmonella</w:t>
      </w:r>
      <w:r w:rsidR="00284E6A">
        <w:t xml:space="preserve"> and other </w:t>
      </w:r>
      <w:r w:rsidR="00E250B0">
        <w:t>(</w:t>
      </w:r>
      <w:r w:rsidR="00284E6A">
        <w:t xml:space="preserve">‘non-salmonella’) </w:t>
      </w:r>
      <w:r w:rsidR="00E250B0">
        <w:t xml:space="preserve">bacteria </w:t>
      </w:r>
      <w:r w:rsidR="00284E6A">
        <w:t xml:space="preserve">cultures - </w:t>
      </w:r>
      <w:r w:rsidR="00B66927" w:rsidRPr="00215216">
        <w:t xml:space="preserve">on both machines under identical conditions and </w:t>
      </w:r>
      <w:r w:rsidR="00E250B0">
        <w:t>analyzed</w:t>
      </w:r>
      <w:r w:rsidR="00B66927" w:rsidRPr="00215216">
        <w:t xml:space="preserve"> the results to determine if any </w:t>
      </w:r>
      <w:r w:rsidR="00284E6A">
        <w:t xml:space="preserve">such </w:t>
      </w:r>
      <w:r w:rsidR="00E250B0" w:rsidRPr="00215216">
        <w:t>differences</w:t>
      </w:r>
      <w:r w:rsidR="00B66927" w:rsidRPr="00215216">
        <w:t xml:space="preserve"> </w:t>
      </w:r>
      <w:r w:rsidR="00284E6A">
        <w:t>were</w:t>
      </w:r>
      <w:r w:rsidR="00C6682F" w:rsidRPr="00215216">
        <w:t xml:space="preserve"> observed</w:t>
      </w:r>
      <w:r w:rsidR="00B66927" w:rsidRPr="00215216">
        <w:t>.</w:t>
      </w:r>
      <w:r w:rsidR="00284E6A">
        <w:t xml:space="preserve"> Furthermore, we quantified the limit of detection for the ABI 7500 by serially diluting one of the salmonella DNA extracts, show</w:t>
      </w:r>
      <w:r w:rsidR="00750399">
        <w:t>ing that OriC-like DNA could be detected in samples containing as little as 0.03 ng/ml total DNA (a 1:100,000 dilution of the original sample).</w:t>
      </w:r>
    </w:p>
    <w:p w14:paraId="1248F5BE" w14:textId="446A7FA9" w:rsidR="00CA4346" w:rsidRPr="00215216" w:rsidRDefault="00CA4346" w:rsidP="00CA4346">
      <w:pPr>
        <w:pStyle w:val="Heading2"/>
      </w:pPr>
      <w:r w:rsidRPr="00215216">
        <w:t>Definitions</w:t>
      </w:r>
    </w:p>
    <w:p w14:paraId="374E0558" w14:textId="636B74FC" w:rsidR="00E622CC" w:rsidRDefault="00E622CC" w:rsidP="00215216">
      <w:pPr>
        <w:spacing w:after="0"/>
        <w:rPr>
          <w:i/>
        </w:rPr>
      </w:pPr>
      <w:r w:rsidRPr="00215216">
        <w:rPr>
          <w:b/>
          <w:i/>
        </w:rPr>
        <w:t>PCR</w:t>
      </w:r>
      <w:r w:rsidRPr="00215216">
        <w:rPr>
          <w:i/>
        </w:rPr>
        <w:t>: polymerase chain reaction, a method of replicating a specific DNA sequence.</w:t>
      </w:r>
    </w:p>
    <w:p w14:paraId="2C73D325" w14:textId="16512426" w:rsidR="00610637" w:rsidRPr="00215216" w:rsidRDefault="00610637" w:rsidP="00215216">
      <w:pPr>
        <w:spacing w:after="0"/>
        <w:rPr>
          <w:i/>
        </w:rPr>
      </w:pPr>
      <w:r w:rsidRPr="00610637">
        <w:rPr>
          <w:b/>
          <w:i/>
        </w:rPr>
        <w:t>ABI 7500</w:t>
      </w:r>
      <w:r w:rsidRPr="00215216">
        <w:rPr>
          <w:i/>
        </w:rPr>
        <w:t xml:space="preserve">: </w:t>
      </w:r>
      <w:r w:rsidRPr="00610637">
        <w:rPr>
          <w:i/>
        </w:rPr>
        <w:t>Applied Biosystems® 7500 Fast Dx Real-Time PCR Instrument</w:t>
      </w:r>
      <w:r w:rsidRPr="00215216">
        <w:rPr>
          <w:i/>
        </w:rPr>
        <w:t>.</w:t>
      </w:r>
    </w:p>
    <w:p w14:paraId="4836B23A" w14:textId="107E1CA9" w:rsidR="00E622CC" w:rsidRPr="00215216" w:rsidRDefault="00E622CC" w:rsidP="00215216">
      <w:pPr>
        <w:spacing w:after="0"/>
      </w:pPr>
      <w:r w:rsidRPr="00215216">
        <w:rPr>
          <w:b/>
          <w:i/>
        </w:rPr>
        <w:t>Rt-PCR</w:t>
      </w:r>
      <w:r w:rsidRPr="00215216">
        <w:rPr>
          <w:i/>
        </w:rPr>
        <w:t xml:space="preserve">:  </w:t>
      </w:r>
      <w:r w:rsidR="00C94A30" w:rsidRPr="00215216">
        <w:rPr>
          <w:i/>
        </w:rPr>
        <w:t>real time</w:t>
      </w:r>
      <w:r w:rsidRPr="00215216">
        <w:rPr>
          <w:i/>
        </w:rPr>
        <w:t xml:space="preserve"> polymerase chain reaction, a variant of PCR</w:t>
      </w:r>
      <w:r w:rsidR="00C94A30" w:rsidRPr="00215216">
        <w:rPr>
          <w:i/>
        </w:rPr>
        <w:t xml:space="preserve"> in which amplified DNA products are detected </w:t>
      </w:r>
      <w:r w:rsidR="00E250B0">
        <w:rPr>
          <w:i/>
        </w:rPr>
        <w:t>over</w:t>
      </w:r>
      <w:r w:rsidR="00C94A30" w:rsidRPr="00215216">
        <w:rPr>
          <w:i/>
        </w:rPr>
        <w:t xml:space="preserve"> the course of the reaction – leading to improved quantitation of </w:t>
      </w:r>
      <w:r w:rsidR="0068290D" w:rsidRPr="00215216">
        <w:rPr>
          <w:i/>
        </w:rPr>
        <w:t xml:space="preserve">the amplified </w:t>
      </w:r>
      <w:r w:rsidR="00C94A30" w:rsidRPr="00215216">
        <w:rPr>
          <w:i/>
        </w:rPr>
        <w:t xml:space="preserve">DNA. </w:t>
      </w:r>
      <w:r w:rsidRPr="00215216">
        <w:rPr>
          <w:i/>
        </w:rPr>
        <w:t xml:space="preserve"> </w:t>
      </w:r>
    </w:p>
    <w:p w14:paraId="472FD347" w14:textId="0EC379E2" w:rsidR="00E622CC" w:rsidRPr="00215216" w:rsidRDefault="00D54233" w:rsidP="00215216">
      <w:pPr>
        <w:spacing w:after="0"/>
        <w:rPr>
          <w:i/>
        </w:rPr>
      </w:pPr>
      <w:r w:rsidRPr="00215216">
        <w:rPr>
          <w:b/>
          <w:i/>
        </w:rPr>
        <w:t>O</w:t>
      </w:r>
      <w:r w:rsidR="00207C50" w:rsidRPr="00215216">
        <w:rPr>
          <w:b/>
          <w:i/>
        </w:rPr>
        <w:t>riC</w:t>
      </w:r>
      <w:r w:rsidR="00207C50" w:rsidRPr="00215216">
        <w:rPr>
          <w:i/>
        </w:rPr>
        <w:t>: replication origin, area of bacterial genome that signals for the origin of replication</w:t>
      </w:r>
      <w:r w:rsidRPr="00215216">
        <w:rPr>
          <w:i/>
        </w:rPr>
        <w:t>.</w:t>
      </w:r>
    </w:p>
    <w:p w14:paraId="5C634E63" w14:textId="2F3F6D5D" w:rsidR="0079787E" w:rsidRPr="00215216" w:rsidRDefault="0079787E" w:rsidP="00215216">
      <w:pPr>
        <w:spacing w:after="0"/>
        <w:rPr>
          <w:i/>
        </w:rPr>
      </w:pPr>
      <w:r w:rsidRPr="00215216">
        <w:rPr>
          <w:b/>
          <w:i/>
        </w:rPr>
        <w:t>gfp</w:t>
      </w:r>
      <w:r w:rsidRPr="00215216">
        <w:rPr>
          <w:i/>
        </w:rPr>
        <w:t>: green fluorescent protein, the gfp gene is commonly used in in molecular biology as a reporter of expression.</w:t>
      </w:r>
    </w:p>
    <w:p w14:paraId="2F535A29" w14:textId="77777777" w:rsidR="00215216" w:rsidRPr="00215216" w:rsidRDefault="00215216" w:rsidP="00215216">
      <w:pPr>
        <w:spacing w:after="0"/>
        <w:rPr>
          <w:i/>
        </w:rPr>
      </w:pPr>
    </w:p>
    <w:p w14:paraId="219C613B" w14:textId="0D04180E" w:rsidR="00692958" w:rsidRPr="00215216" w:rsidRDefault="0040269E" w:rsidP="003B7166">
      <w:pPr>
        <w:pStyle w:val="Heading1"/>
        <w:spacing w:before="0"/>
      </w:pPr>
      <w:r w:rsidRPr="00215216">
        <w:lastRenderedPageBreak/>
        <w:t>Methods</w:t>
      </w:r>
      <w:r w:rsidR="003F0186" w:rsidRPr="009553D7">
        <w:t>/Materials</w:t>
      </w:r>
    </w:p>
    <w:p w14:paraId="0D830C27" w14:textId="41B48921" w:rsidR="00E250B0" w:rsidRDefault="00D74293" w:rsidP="00AB5652">
      <w:proofErr w:type="gramStart"/>
      <w:r w:rsidRPr="00215216">
        <w:t>In order to</w:t>
      </w:r>
      <w:proofErr w:type="gramEnd"/>
      <w:r w:rsidRPr="00215216">
        <w:t xml:space="preserve"> test the performance of the ABI 7500</w:t>
      </w:r>
      <w:r w:rsidR="008010BA" w:rsidRPr="00215216">
        <w:t>,</w:t>
      </w:r>
      <w:r w:rsidRPr="00215216">
        <w:t xml:space="preserve"> </w:t>
      </w:r>
      <w:r w:rsidR="008010BA" w:rsidRPr="00215216">
        <w:t>DNA extract</w:t>
      </w:r>
      <w:r w:rsidR="00E250B0">
        <w:t>s</w:t>
      </w:r>
      <w:r w:rsidR="008010BA" w:rsidRPr="00215216">
        <w:t xml:space="preserve"> from </w:t>
      </w:r>
      <w:r w:rsidR="005D611F" w:rsidRPr="00EF10A0">
        <w:t>ten</w:t>
      </w:r>
      <w:r w:rsidR="005D611F" w:rsidRPr="00215216">
        <w:t xml:space="preserve"> </w:t>
      </w:r>
      <w:r w:rsidR="005D611F" w:rsidRPr="00215216">
        <w:rPr>
          <w:i/>
        </w:rPr>
        <w:t xml:space="preserve">Salmonella </w:t>
      </w:r>
      <w:r w:rsidR="005D611F" w:rsidRPr="00215216">
        <w:t xml:space="preserve">spp. serotypes </w:t>
      </w:r>
      <w:r w:rsidR="00E250B0">
        <w:t>and</w:t>
      </w:r>
      <w:r w:rsidR="008010BA" w:rsidRPr="00EF10A0">
        <w:t xml:space="preserve"> </w:t>
      </w:r>
      <w:r w:rsidR="00741AA0" w:rsidRPr="00EF10A0">
        <w:t>ten</w:t>
      </w:r>
      <w:r w:rsidR="008010BA" w:rsidRPr="00215216">
        <w:rPr>
          <w:b/>
        </w:rPr>
        <w:t xml:space="preserve"> </w:t>
      </w:r>
      <w:r w:rsidR="008010BA" w:rsidRPr="00215216">
        <w:t>common bacterial</w:t>
      </w:r>
      <w:r w:rsidR="008010BA" w:rsidRPr="00215216">
        <w:rPr>
          <w:b/>
        </w:rPr>
        <w:t xml:space="preserve"> </w:t>
      </w:r>
      <w:r w:rsidR="008010BA" w:rsidRPr="00215216">
        <w:t xml:space="preserve">pathogens </w:t>
      </w:r>
      <w:r w:rsidR="009C220D">
        <w:t>were</w:t>
      </w:r>
      <w:r w:rsidR="008010BA" w:rsidRPr="00215216">
        <w:t xml:space="preserve"> serially diluted, split and run in parallel on both systems under identical </w:t>
      </w:r>
      <w:r w:rsidR="00E250B0" w:rsidRPr="00215216">
        <w:t>conditions</w:t>
      </w:r>
      <w:r w:rsidR="00E250B0">
        <w:t>. Parallel</w:t>
      </w:r>
      <w:r w:rsidR="009C220D">
        <w:t xml:space="preserve"> runs were performed o</w:t>
      </w:r>
      <w:r w:rsidR="00E250B0">
        <w:t>n the same day, in the same lab</w:t>
      </w:r>
      <w:r w:rsidR="002B007A" w:rsidRPr="00215216">
        <w:t xml:space="preserve">, </w:t>
      </w:r>
      <w:r w:rsidR="008010BA" w:rsidRPr="00215216">
        <w:t>with appropriate controls</w:t>
      </w:r>
      <w:r w:rsidR="002B007A" w:rsidRPr="00215216">
        <w:t xml:space="preserve"> (a negative control without a DNA template, a positive control with a </w:t>
      </w:r>
      <w:r w:rsidR="002B007A" w:rsidRPr="00215216">
        <w:rPr>
          <w:i/>
        </w:rPr>
        <w:t>Salmonella</w:t>
      </w:r>
      <w:r w:rsidR="002B007A" w:rsidRPr="00215216">
        <w:t xml:space="preserve"> DNA template and a </w:t>
      </w:r>
      <w:r w:rsidR="00AB5652" w:rsidRPr="00215216">
        <w:rPr>
          <w:i/>
        </w:rPr>
        <w:t>gfp</w:t>
      </w:r>
      <w:r w:rsidR="002B007A" w:rsidRPr="00215216">
        <w:t xml:space="preserve"> DNA template internal control added to all samples)</w:t>
      </w:r>
      <w:r w:rsidR="008010BA" w:rsidRPr="00215216">
        <w:t>.</w:t>
      </w:r>
      <w:r w:rsidR="00E250B0">
        <w:t xml:space="preserve"> T</w:t>
      </w:r>
      <w:r w:rsidR="00E250B0" w:rsidRPr="00215216">
        <w:t xml:space="preserve">he </w:t>
      </w:r>
      <w:r w:rsidR="005018BB">
        <w:t xml:space="preserve">cycle </w:t>
      </w:r>
      <w:r w:rsidR="00E250B0" w:rsidRPr="00215216">
        <w:t xml:space="preserve">threshold </w:t>
      </w:r>
      <w:r w:rsidR="005018BB">
        <w:t>(</w:t>
      </w:r>
      <w:proofErr w:type="spellStart"/>
      <w:r w:rsidR="005018BB">
        <w:t>ct</w:t>
      </w:r>
      <w:proofErr w:type="spellEnd"/>
      <w:r w:rsidR="005018BB">
        <w:t xml:space="preserve">) </w:t>
      </w:r>
      <w:r w:rsidR="00E250B0" w:rsidRPr="00215216">
        <w:t>limits for both the target (</w:t>
      </w:r>
      <w:r w:rsidR="00E250B0" w:rsidRPr="00747FC9">
        <w:rPr>
          <w:i/>
        </w:rPr>
        <w:t>OriC</w:t>
      </w:r>
      <w:r w:rsidR="00E250B0" w:rsidRPr="00215216">
        <w:t>)</w:t>
      </w:r>
      <w:r w:rsidR="00E250B0">
        <w:t xml:space="preserve"> and the internal control (IC)</w:t>
      </w:r>
      <w:r w:rsidR="008010BA" w:rsidRPr="00215216">
        <w:t xml:space="preserve"> </w:t>
      </w:r>
      <w:r w:rsidR="009C220D">
        <w:t xml:space="preserve">were </w:t>
      </w:r>
      <w:r w:rsidR="008010BA" w:rsidRPr="00215216">
        <w:t>compared to determine if any</w:t>
      </w:r>
      <w:r w:rsidR="002B007A" w:rsidRPr="00215216">
        <w:t xml:space="preserve"> differences in </w:t>
      </w:r>
      <w:proofErr w:type="spellStart"/>
      <w:r w:rsidR="002B007A" w:rsidRPr="00215216">
        <w:t>dection</w:t>
      </w:r>
      <w:proofErr w:type="spellEnd"/>
      <w:r w:rsidR="00E250B0">
        <w:t>,</w:t>
      </w:r>
      <w:r w:rsidR="002B007A" w:rsidRPr="00215216">
        <w:t xml:space="preserve"> or </w:t>
      </w:r>
      <w:r w:rsidR="009C220D">
        <w:t xml:space="preserve">generation of </w:t>
      </w:r>
      <w:r w:rsidR="002B007A" w:rsidRPr="00215216">
        <w:t>false positives</w:t>
      </w:r>
      <w:r w:rsidR="00E250B0">
        <w:t>,</w:t>
      </w:r>
      <w:r w:rsidR="002B007A" w:rsidRPr="00215216">
        <w:t xml:space="preserve"> </w:t>
      </w:r>
      <w:r w:rsidR="00E250B0">
        <w:t>could be observed.</w:t>
      </w:r>
      <w:r w:rsidR="002B007A" w:rsidRPr="00215216">
        <w:t xml:space="preserve"> </w:t>
      </w:r>
    </w:p>
    <w:p w14:paraId="24840010" w14:textId="565B7421" w:rsidR="002D1EE5" w:rsidRPr="00215216" w:rsidRDefault="00AB5652" w:rsidP="00AB5652">
      <w:r w:rsidRPr="00215216">
        <w:t xml:space="preserve">The methodology </w:t>
      </w:r>
      <w:r w:rsidR="009C220D">
        <w:t>gene</w:t>
      </w:r>
      <w:r w:rsidRPr="00215216">
        <w:t>ral</w:t>
      </w:r>
      <w:r w:rsidR="009C220D">
        <w:t>l</w:t>
      </w:r>
      <w:r w:rsidRPr="00215216">
        <w:t>y follow</w:t>
      </w:r>
      <w:r w:rsidR="009C220D">
        <w:t>ed</w:t>
      </w:r>
      <w:r w:rsidRPr="00215216">
        <w:t xml:space="preserve"> the protocols </w:t>
      </w:r>
      <w:proofErr w:type="spellStart"/>
      <w:r w:rsidRPr="00215216">
        <w:t>decribed</w:t>
      </w:r>
      <w:proofErr w:type="spellEnd"/>
      <w:r w:rsidRPr="00215216">
        <w:t xml:space="preserve"> in the SOP for The Detection of </w:t>
      </w:r>
      <w:r w:rsidRPr="00215216">
        <w:rPr>
          <w:i/>
        </w:rPr>
        <w:t>Salmonella spp.</w:t>
      </w:r>
      <w:r w:rsidRPr="00215216">
        <w:t xml:space="preserve"> DNA by multiplex </w:t>
      </w:r>
      <w:proofErr w:type="spellStart"/>
      <w:r w:rsidRPr="00215216">
        <w:t>rt</w:t>
      </w:r>
      <w:proofErr w:type="spellEnd"/>
      <w:r w:rsidRPr="00215216">
        <w:t xml:space="preserve">-PCR from Food, Bacterial Isolates and Environmental Samples – </w:t>
      </w:r>
      <w:r w:rsidR="009C220D">
        <w:t xml:space="preserve">however, </w:t>
      </w:r>
      <w:r w:rsidR="00C12A9C">
        <w:t>after an initial trial</w:t>
      </w:r>
      <w:r w:rsidRPr="00215216">
        <w:t xml:space="preserve"> </w:t>
      </w:r>
      <w:r w:rsidR="009C220D">
        <w:t xml:space="preserve">the </w:t>
      </w:r>
      <w:r w:rsidRPr="00215216">
        <w:t xml:space="preserve">ABI 7500 </w:t>
      </w:r>
      <w:r w:rsidR="00C12A9C">
        <w:t>reaction conditions were</w:t>
      </w:r>
      <w:r w:rsidR="00C12A9C" w:rsidRPr="00C12A9C">
        <w:t xml:space="preserve"> </w:t>
      </w:r>
      <w:r w:rsidR="00C12A9C">
        <w:t xml:space="preserve">modified (the </w:t>
      </w:r>
      <w:proofErr w:type="spellStart"/>
      <w:r w:rsidR="00C12A9C">
        <w:t>anealing</w:t>
      </w:r>
      <w:proofErr w:type="spellEnd"/>
      <w:r w:rsidR="00C12A9C">
        <w:t xml:space="preserve"> and elongation step times were increased from 10 to 20 </w:t>
      </w:r>
      <w:proofErr w:type="gramStart"/>
      <w:r w:rsidR="00C12A9C">
        <w:t xml:space="preserve">s) </w:t>
      </w:r>
      <w:r w:rsidRPr="00215216">
        <w:t xml:space="preserve"> to</w:t>
      </w:r>
      <w:proofErr w:type="gramEnd"/>
      <w:r w:rsidRPr="00215216">
        <w:t xml:space="preserve"> account for </w:t>
      </w:r>
      <w:r w:rsidR="00C12A9C">
        <w:t xml:space="preserve">a slight </w:t>
      </w:r>
      <w:proofErr w:type="spellStart"/>
      <w:r w:rsidR="00C12A9C">
        <w:t>differnce</w:t>
      </w:r>
      <w:proofErr w:type="spellEnd"/>
      <w:r w:rsidRPr="00215216">
        <w:t xml:space="preserve"> in instrument performance.</w:t>
      </w:r>
      <w:r w:rsidR="002D1EE5" w:rsidRPr="00215216">
        <w:t xml:space="preserve"> In brief, the </w:t>
      </w:r>
      <w:r w:rsidR="009955C3" w:rsidRPr="00215216">
        <w:t xml:space="preserve">method </w:t>
      </w:r>
      <w:r w:rsidR="00C12A9C">
        <w:t>was</w:t>
      </w:r>
      <w:r w:rsidR="009955C3" w:rsidRPr="00215216">
        <w:t xml:space="preserve"> as follows:</w:t>
      </w:r>
    </w:p>
    <w:p w14:paraId="4CDCBE55" w14:textId="247E2B4C" w:rsidR="002D1EE5" w:rsidRPr="00215216" w:rsidRDefault="002D1EE5" w:rsidP="002D1EE5">
      <w:pPr>
        <w:pStyle w:val="ListParagraph"/>
        <w:numPr>
          <w:ilvl w:val="0"/>
          <w:numId w:val="1"/>
        </w:numPr>
      </w:pPr>
      <w:r w:rsidRPr="00215216">
        <w:t>DNA samples</w:t>
      </w:r>
      <w:r w:rsidR="00C12A9C">
        <w:t xml:space="preserve"> were prepared</w:t>
      </w:r>
      <w:r w:rsidRPr="00215216">
        <w:t xml:space="preserve"> from isolated colonies of the </w:t>
      </w:r>
      <w:r w:rsidR="00EF10A0" w:rsidRPr="00215216">
        <w:t>ensuing</w:t>
      </w:r>
      <w:r w:rsidRPr="00215216">
        <w:t xml:space="preserve"> bacteria</w:t>
      </w:r>
      <w:r w:rsidR="004B2C6B" w:rsidRPr="00215216">
        <w:t xml:space="preserve"> (following SOP DNA Extraction guidelines)</w:t>
      </w:r>
      <w:r w:rsidRPr="00215216">
        <w:t>:</w:t>
      </w:r>
    </w:p>
    <w:p w14:paraId="43100E3D" w14:textId="77777777" w:rsidR="004B2C6B" w:rsidRPr="00215216" w:rsidRDefault="004B2C6B" w:rsidP="004B2C6B">
      <w:pPr>
        <w:pStyle w:val="ListParagraph"/>
      </w:pPr>
    </w:p>
    <w:p w14:paraId="6FBF2B8B" w14:textId="28FDA9C4" w:rsidR="002D1EE5" w:rsidRPr="00215216" w:rsidRDefault="002D1EE5" w:rsidP="00882A99">
      <w:pPr>
        <w:pStyle w:val="ListParagraph"/>
        <w:numPr>
          <w:ilvl w:val="0"/>
          <w:numId w:val="2"/>
        </w:numPr>
      </w:pPr>
      <w:r w:rsidRPr="00215216">
        <w:t xml:space="preserve">10 </w:t>
      </w:r>
      <w:r w:rsidRPr="00215216">
        <w:rPr>
          <w:i/>
        </w:rPr>
        <w:t>Salmonella</w:t>
      </w:r>
      <w:r w:rsidRPr="00215216">
        <w:t xml:space="preserve"> spp. serotypes (i.e.</w:t>
      </w:r>
      <w:r w:rsidR="00BD49A6" w:rsidRPr="00215216">
        <w:rPr>
          <w:b/>
        </w:rPr>
        <w:t xml:space="preserve"> </w:t>
      </w:r>
      <w:r w:rsidR="00BD49A6" w:rsidRPr="00975B1F">
        <w:rPr>
          <w:b/>
          <w:i/>
        </w:rPr>
        <w:t xml:space="preserve"> </w:t>
      </w:r>
      <w:r w:rsidR="00882A99" w:rsidRPr="00975B1F">
        <w:rPr>
          <w:b/>
          <w:i/>
        </w:rPr>
        <w:t xml:space="preserve">S. </w:t>
      </w:r>
      <w:proofErr w:type="spellStart"/>
      <w:r w:rsidR="00882A99" w:rsidRPr="00975B1F">
        <w:rPr>
          <w:b/>
          <w:i/>
        </w:rPr>
        <w:t>e</w:t>
      </w:r>
      <w:r w:rsidR="00BD49A6" w:rsidRPr="00975B1F">
        <w:rPr>
          <w:b/>
          <w:i/>
        </w:rPr>
        <w:t>nterica</w:t>
      </w:r>
      <w:proofErr w:type="spellEnd"/>
      <w:r w:rsidR="00BD49A6" w:rsidRPr="00975B1F">
        <w:rPr>
          <w:b/>
          <w:i/>
        </w:rPr>
        <w:t xml:space="preserve">, </w:t>
      </w:r>
      <w:r w:rsidR="00882A99" w:rsidRPr="00975B1F">
        <w:rPr>
          <w:b/>
          <w:i/>
        </w:rPr>
        <w:t>S. t</w:t>
      </w:r>
      <w:r w:rsidR="00BD49A6" w:rsidRPr="00975B1F">
        <w:rPr>
          <w:b/>
          <w:i/>
        </w:rPr>
        <w:t xml:space="preserve">yphimurium, </w:t>
      </w:r>
      <w:r w:rsidR="00882A99" w:rsidRPr="00975B1F">
        <w:rPr>
          <w:b/>
          <w:i/>
        </w:rPr>
        <w:t xml:space="preserve">S. </w:t>
      </w:r>
      <w:proofErr w:type="spellStart"/>
      <w:r w:rsidR="00882A99" w:rsidRPr="00975B1F">
        <w:rPr>
          <w:b/>
          <w:i/>
        </w:rPr>
        <w:t>Irumu</w:t>
      </w:r>
      <w:proofErr w:type="spellEnd"/>
      <w:r w:rsidR="00882A99" w:rsidRPr="00975B1F">
        <w:rPr>
          <w:b/>
          <w:i/>
        </w:rPr>
        <w:t xml:space="preserve">, S. </w:t>
      </w:r>
      <w:proofErr w:type="spellStart"/>
      <w:proofErr w:type="gramStart"/>
      <w:r w:rsidR="00882A99" w:rsidRPr="00975B1F">
        <w:rPr>
          <w:b/>
          <w:i/>
        </w:rPr>
        <w:t>newport</w:t>
      </w:r>
      <w:proofErr w:type="spellEnd"/>
      <w:r w:rsidR="00882A99" w:rsidRPr="00975B1F">
        <w:rPr>
          <w:b/>
          <w:i/>
        </w:rPr>
        <w:t xml:space="preserve">, </w:t>
      </w:r>
      <w:r w:rsidR="00BD49A6" w:rsidRPr="00975B1F">
        <w:rPr>
          <w:b/>
          <w:i/>
        </w:rPr>
        <w:t xml:space="preserve"> </w:t>
      </w:r>
      <w:r w:rsidR="00882A99" w:rsidRPr="00975B1F">
        <w:rPr>
          <w:b/>
          <w:i/>
        </w:rPr>
        <w:t>S.</w:t>
      </w:r>
      <w:proofErr w:type="gramEnd"/>
      <w:r w:rsidR="00882A99" w:rsidRPr="00975B1F">
        <w:rPr>
          <w:b/>
          <w:i/>
        </w:rPr>
        <w:t xml:space="preserve"> </w:t>
      </w:r>
      <w:proofErr w:type="spellStart"/>
      <w:r w:rsidR="00882A99" w:rsidRPr="00975B1F">
        <w:rPr>
          <w:b/>
          <w:i/>
        </w:rPr>
        <w:t>infantis</w:t>
      </w:r>
      <w:proofErr w:type="spellEnd"/>
      <w:r w:rsidR="00882A99" w:rsidRPr="00975B1F">
        <w:rPr>
          <w:b/>
          <w:i/>
        </w:rPr>
        <w:t xml:space="preserve">, </w:t>
      </w:r>
      <w:r w:rsidR="00882A99" w:rsidRPr="00975B1F">
        <w:rPr>
          <w:rStyle w:val="Emphasis"/>
          <w:rFonts w:cs="Arial"/>
          <w:b/>
          <w:i w:val="0"/>
          <w:color w:val="333333"/>
          <w:lang w:val="en"/>
        </w:rPr>
        <w:t>S</w:t>
      </w:r>
      <w:r w:rsidR="00882A99" w:rsidRPr="00975B1F">
        <w:rPr>
          <w:rFonts w:cs="Arial"/>
          <w:b/>
          <w:i/>
          <w:color w:val="333333"/>
          <w:lang w:val="en"/>
        </w:rPr>
        <w:t xml:space="preserve">. 4,[5],12:i:-, S. </w:t>
      </w:r>
      <w:proofErr w:type="spellStart"/>
      <w:r w:rsidR="00882A99" w:rsidRPr="00975B1F">
        <w:rPr>
          <w:rFonts w:cs="Arial"/>
          <w:b/>
          <w:i/>
          <w:color w:val="333333"/>
          <w:lang w:val="en"/>
        </w:rPr>
        <w:t>montevideo</w:t>
      </w:r>
      <w:proofErr w:type="spellEnd"/>
      <w:r w:rsidR="00882A99" w:rsidRPr="00975B1F">
        <w:rPr>
          <w:rFonts w:cs="Arial"/>
          <w:b/>
          <w:i/>
          <w:color w:val="333333"/>
          <w:lang w:val="en"/>
        </w:rPr>
        <w:t xml:space="preserve">, S. </w:t>
      </w:r>
      <w:proofErr w:type="spellStart"/>
      <w:r w:rsidR="00882A99" w:rsidRPr="00975B1F">
        <w:rPr>
          <w:rFonts w:cs="Arial"/>
          <w:b/>
          <w:i/>
          <w:color w:val="333333"/>
          <w:lang w:val="en"/>
        </w:rPr>
        <w:t>cerro</w:t>
      </w:r>
      <w:proofErr w:type="spellEnd"/>
      <w:r w:rsidR="00882A99" w:rsidRPr="00975B1F">
        <w:rPr>
          <w:rFonts w:cs="Arial"/>
          <w:b/>
          <w:i/>
          <w:color w:val="333333"/>
          <w:lang w:val="en"/>
        </w:rPr>
        <w:t xml:space="preserve">, S. </w:t>
      </w:r>
      <w:proofErr w:type="spellStart"/>
      <w:r w:rsidR="00882A99" w:rsidRPr="00975B1F">
        <w:rPr>
          <w:rFonts w:cs="Arial"/>
          <w:b/>
          <w:i/>
          <w:color w:val="333333"/>
          <w:lang w:val="en"/>
        </w:rPr>
        <w:t>hadar</w:t>
      </w:r>
      <w:proofErr w:type="spellEnd"/>
      <w:r w:rsidR="00882A99" w:rsidRPr="00975B1F">
        <w:rPr>
          <w:rFonts w:cs="Arial"/>
          <w:b/>
          <w:i/>
          <w:color w:val="333333"/>
          <w:lang w:val="en"/>
        </w:rPr>
        <w:t xml:space="preserve"> and S. </w:t>
      </w:r>
      <w:proofErr w:type="spellStart"/>
      <w:r w:rsidR="00882A99" w:rsidRPr="00975B1F">
        <w:rPr>
          <w:rFonts w:cs="Arial"/>
          <w:b/>
          <w:i/>
          <w:color w:val="333333"/>
          <w:lang w:val="en"/>
        </w:rPr>
        <w:t>muenchen</w:t>
      </w:r>
      <w:proofErr w:type="spellEnd"/>
      <w:r w:rsidRPr="00215216">
        <w:t>)</w:t>
      </w:r>
    </w:p>
    <w:p w14:paraId="6F711AD4" w14:textId="51B24073" w:rsidR="002D1EE5" w:rsidRPr="00215216" w:rsidRDefault="00975B1F" w:rsidP="00975B1F">
      <w:pPr>
        <w:pStyle w:val="ListParagraph"/>
        <w:numPr>
          <w:ilvl w:val="0"/>
          <w:numId w:val="2"/>
        </w:numPr>
      </w:pPr>
      <w:r w:rsidRPr="00975B1F">
        <w:t>10</w:t>
      </w:r>
      <w:r w:rsidR="002D1EE5" w:rsidRPr="00215216">
        <w:t xml:space="preserve"> </w:t>
      </w:r>
      <w:r w:rsidR="00652E4A" w:rsidRPr="00215216">
        <w:t>OriC</w:t>
      </w:r>
      <w:r w:rsidR="002D1EE5" w:rsidRPr="00215216">
        <w:t xml:space="preserve"> assay negative bacterial pathogens (i.e.</w:t>
      </w:r>
      <w:r w:rsidRPr="00975B1F">
        <w:t xml:space="preserve"> </w:t>
      </w:r>
      <w:r w:rsidRPr="00975B1F">
        <w:rPr>
          <w:b/>
          <w:i/>
        </w:rPr>
        <w:t xml:space="preserve">Escherichia coli, Pseudomonas aeruginosa, Enterobacter cloacae, </w:t>
      </w:r>
      <w:proofErr w:type="spellStart"/>
      <w:r w:rsidRPr="00975B1F">
        <w:rPr>
          <w:b/>
          <w:i/>
        </w:rPr>
        <w:t>Shigella</w:t>
      </w:r>
      <w:proofErr w:type="spellEnd"/>
      <w:r w:rsidRPr="00975B1F">
        <w:rPr>
          <w:b/>
          <w:i/>
        </w:rPr>
        <w:t xml:space="preserve"> </w:t>
      </w:r>
      <w:proofErr w:type="spellStart"/>
      <w:r w:rsidRPr="00975B1F">
        <w:rPr>
          <w:b/>
          <w:i/>
        </w:rPr>
        <w:t>flexneri</w:t>
      </w:r>
      <w:proofErr w:type="spellEnd"/>
      <w:r w:rsidRPr="00975B1F">
        <w:rPr>
          <w:b/>
          <w:i/>
        </w:rPr>
        <w:t xml:space="preserve">, </w:t>
      </w:r>
      <w:proofErr w:type="spellStart"/>
      <w:r w:rsidRPr="00975B1F">
        <w:rPr>
          <w:b/>
          <w:i/>
        </w:rPr>
        <w:t>Shigella</w:t>
      </w:r>
      <w:proofErr w:type="spellEnd"/>
      <w:r w:rsidRPr="00975B1F">
        <w:rPr>
          <w:b/>
          <w:i/>
        </w:rPr>
        <w:t xml:space="preserve"> </w:t>
      </w:r>
      <w:proofErr w:type="spellStart"/>
      <w:r w:rsidRPr="00975B1F">
        <w:rPr>
          <w:b/>
          <w:i/>
        </w:rPr>
        <w:t>sonnei</w:t>
      </w:r>
      <w:proofErr w:type="spellEnd"/>
      <w:r w:rsidRPr="00975B1F">
        <w:rPr>
          <w:b/>
          <w:i/>
        </w:rPr>
        <w:t xml:space="preserve">, </w:t>
      </w:r>
      <w:proofErr w:type="spellStart"/>
      <w:r w:rsidRPr="00975B1F">
        <w:rPr>
          <w:rFonts w:ascii="Calibri" w:hAnsi="Calibri"/>
          <w:b/>
          <w:i/>
          <w:color w:val="000000"/>
        </w:rPr>
        <w:t>Stenotrophomonas</w:t>
      </w:r>
      <w:proofErr w:type="spellEnd"/>
      <w:r w:rsidRPr="00975B1F">
        <w:rPr>
          <w:rFonts w:ascii="Calibri" w:hAnsi="Calibri"/>
          <w:b/>
          <w:i/>
          <w:color w:val="000000"/>
        </w:rPr>
        <w:t xml:space="preserve"> </w:t>
      </w:r>
      <w:proofErr w:type="spellStart"/>
      <w:r w:rsidRPr="00975B1F">
        <w:rPr>
          <w:rFonts w:ascii="Calibri" w:hAnsi="Calibri"/>
          <w:b/>
          <w:i/>
          <w:color w:val="000000"/>
        </w:rPr>
        <w:t>maltophilia</w:t>
      </w:r>
      <w:proofErr w:type="spellEnd"/>
      <w:r w:rsidRPr="00975B1F">
        <w:rPr>
          <w:b/>
          <w:i/>
        </w:rPr>
        <w:t xml:space="preserve">, Proteus mirabilis, </w:t>
      </w:r>
      <w:proofErr w:type="spellStart"/>
      <w:r w:rsidRPr="00975B1F">
        <w:rPr>
          <w:b/>
          <w:i/>
        </w:rPr>
        <w:t>Morganella</w:t>
      </w:r>
      <w:proofErr w:type="spellEnd"/>
      <w:r w:rsidRPr="00975B1F">
        <w:rPr>
          <w:b/>
          <w:i/>
        </w:rPr>
        <w:t xml:space="preserve"> </w:t>
      </w:r>
      <w:proofErr w:type="spellStart"/>
      <w:r w:rsidRPr="00975B1F">
        <w:rPr>
          <w:b/>
          <w:i/>
        </w:rPr>
        <w:t>morganii</w:t>
      </w:r>
      <w:proofErr w:type="spellEnd"/>
      <w:r w:rsidRPr="00975B1F">
        <w:rPr>
          <w:b/>
          <w:i/>
        </w:rPr>
        <w:t xml:space="preserve">, </w:t>
      </w:r>
      <w:proofErr w:type="spellStart"/>
      <w:r w:rsidRPr="00975B1F">
        <w:rPr>
          <w:b/>
          <w:i/>
        </w:rPr>
        <w:t>Citrobacter</w:t>
      </w:r>
      <w:proofErr w:type="spellEnd"/>
      <w:r w:rsidRPr="00975B1F">
        <w:rPr>
          <w:b/>
          <w:i/>
        </w:rPr>
        <w:t xml:space="preserve"> </w:t>
      </w:r>
      <w:proofErr w:type="spellStart"/>
      <w:r w:rsidRPr="00975B1F">
        <w:rPr>
          <w:b/>
          <w:i/>
        </w:rPr>
        <w:t>freundii</w:t>
      </w:r>
      <w:proofErr w:type="spellEnd"/>
      <w:r w:rsidRPr="00975B1F">
        <w:rPr>
          <w:b/>
          <w:i/>
        </w:rPr>
        <w:t xml:space="preserve">, </w:t>
      </w:r>
      <w:proofErr w:type="spellStart"/>
      <w:r w:rsidRPr="00975B1F">
        <w:rPr>
          <w:b/>
          <w:i/>
        </w:rPr>
        <w:t>Citrobacter</w:t>
      </w:r>
      <w:proofErr w:type="spellEnd"/>
      <w:r w:rsidRPr="00975B1F">
        <w:rPr>
          <w:b/>
          <w:i/>
        </w:rPr>
        <w:t xml:space="preserve"> </w:t>
      </w:r>
      <w:proofErr w:type="spellStart"/>
      <w:r w:rsidRPr="00975B1F">
        <w:rPr>
          <w:b/>
          <w:i/>
        </w:rPr>
        <w:t>freundii</w:t>
      </w:r>
      <w:proofErr w:type="spellEnd"/>
      <w:r w:rsidRPr="00975B1F">
        <w:rPr>
          <w:b/>
        </w:rPr>
        <w:t xml:space="preserve"> complex</w:t>
      </w:r>
      <w:r w:rsidR="002D1EE5" w:rsidRPr="00215216">
        <w:t>)</w:t>
      </w:r>
    </w:p>
    <w:p w14:paraId="72CFA79F" w14:textId="77777777" w:rsidR="00652E4A" w:rsidRPr="00215216" w:rsidRDefault="00652E4A" w:rsidP="002D1EE5">
      <w:pPr>
        <w:pStyle w:val="ListParagraph"/>
      </w:pPr>
    </w:p>
    <w:p w14:paraId="235E7C1E" w14:textId="51795AF9" w:rsidR="00652E4A" w:rsidRPr="00215216" w:rsidRDefault="009553D7" w:rsidP="002D1EE5">
      <w:pPr>
        <w:pStyle w:val="ListParagraph"/>
      </w:pPr>
      <w:r>
        <w:t>The samples were serially diluted</w:t>
      </w:r>
      <w:r w:rsidR="005D152E" w:rsidRPr="00215216">
        <w:t xml:space="preserve"> (</w:t>
      </w:r>
      <w:r w:rsidR="00043417" w:rsidRPr="00215216">
        <w:t>1:10, 1:100 and</w:t>
      </w:r>
      <w:r>
        <w:t xml:space="preserve"> 1:1000 dilution) either used immediately or </w:t>
      </w:r>
      <w:r w:rsidR="00652E4A" w:rsidRPr="00215216">
        <w:t>frozen</w:t>
      </w:r>
      <w:r>
        <w:t xml:space="preserve">, </w:t>
      </w:r>
      <w:r w:rsidR="00652E4A" w:rsidRPr="00215216">
        <w:t xml:space="preserve">stored at -20 </w:t>
      </w:r>
      <w:proofErr w:type="spellStart"/>
      <w:r w:rsidR="00652E4A" w:rsidRPr="00215216">
        <w:rPr>
          <w:vertAlign w:val="superscript"/>
        </w:rPr>
        <w:t>o</w:t>
      </w:r>
      <w:r w:rsidR="00652E4A" w:rsidRPr="00215216">
        <w:t>C</w:t>
      </w:r>
      <w:proofErr w:type="spellEnd"/>
      <w:r w:rsidR="00652E4A" w:rsidRPr="00215216">
        <w:t xml:space="preserve"> and thawed </w:t>
      </w:r>
      <w:r w:rsidR="004B2C6B" w:rsidRPr="00215216">
        <w:t xml:space="preserve">immediately </w:t>
      </w:r>
      <w:r w:rsidR="00652E4A" w:rsidRPr="00215216">
        <w:t>prior to use.</w:t>
      </w:r>
    </w:p>
    <w:p w14:paraId="513FD7EF" w14:textId="77777777" w:rsidR="002D1EE5" w:rsidRPr="00215216" w:rsidRDefault="002D1EE5" w:rsidP="002D1EE5">
      <w:pPr>
        <w:pStyle w:val="ListParagraph"/>
      </w:pPr>
    </w:p>
    <w:p w14:paraId="5268F890" w14:textId="4D17A3BA" w:rsidR="00652E4A" w:rsidRPr="00215216" w:rsidRDefault="009553D7" w:rsidP="00652E4A">
      <w:pPr>
        <w:pStyle w:val="ListParagraph"/>
        <w:numPr>
          <w:ilvl w:val="0"/>
          <w:numId w:val="1"/>
        </w:numPr>
      </w:pPr>
      <w:r>
        <w:t>A</w:t>
      </w:r>
      <w:r w:rsidR="00652E4A" w:rsidRPr="00215216">
        <w:t xml:space="preserve"> common </w:t>
      </w:r>
      <w:proofErr w:type="spellStart"/>
      <w:r w:rsidR="00652E4A" w:rsidRPr="00215216">
        <w:t>mastermix</w:t>
      </w:r>
      <w:proofErr w:type="spellEnd"/>
      <w:r w:rsidR="00652E4A" w:rsidRPr="00215216">
        <w:t xml:space="preserve"> containing the necessary reagents, primers </w:t>
      </w:r>
      <w:r w:rsidR="004B2C6B" w:rsidRPr="00215216">
        <w:t xml:space="preserve">(P1_F, P3_R, </w:t>
      </w:r>
      <w:proofErr w:type="spellStart"/>
      <w:r w:rsidR="004B2C6B" w:rsidRPr="00215216">
        <w:t>gfp_F</w:t>
      </w:r>
      <w:proofErr w:type="spellEnd"/>
      <w:r w:rsidR="004B2C6B" w:rsidRPr="00215216">
        <w:t xml:space="preserve"> and </w:t>
      </w:r>
      <w:proofErr w:type="spellStart"/>
      <w:r w:rsidR="004B2C6B" w:rsidRPr="00215216">
        <w:t>gfp_R</w:t>
      </w:r>
      <w:proofErr w:type="spellEnd"/>
      <w:r w:rsidR="004B2C6B" w:rsidRPr="00215216">
        <w:t xml:space="preserve">) </w:t>
      </w:r>
      <w:r w:rsidR="00652E4A" w:rsidRPr="00215216">
        <w:t>and probes</w:t>
      </w:r>
      <w:r w:rsidR="004B2C6B" w:rsidRPr="00215216">
        <w:t xml:space="preserve"> (OriC214_P and </w:t>
      </w:r>
      <w:proofErr w:type="spellStart"/>
      <w:r w:rsidR="004B2C6B" w:rsidRPr="00215216">
        <w:t>gfp_P</w:t>
      </w:r>
      <w:proofErr w:type="spellEnd"/>
      <w:r w:rsidR="004B2C6B" w:rsidRPr="00215216">
        <w:t>)</w:t>
      </w:r>
      <w:r w:rsidR="00652E4A" w:rsidRPr="00215216">
        <w:t xml:space="preserve"> </w:t>
      </w:r>
      <w:r>
        <w:t>was prepared</w:t>
      </w:r>
      <w:r w:rsidR="00652E4A" w:rsidRPr="00215216">
        <w:t xml:space="preserve">.  20 µL of the </w:t>
      </w:r>
      <w:proofErr w:type="spellStart"/>
      <w:r w:rsidR="00652E4A" w:rsidRPr="00215216">
        <w:t>mastermix</w:t>
      </w:r>
      <w:proofErr w:type="spellEnd"/>
      <w:r w:rsidR="00652E4A" w:rsidRPr="00215216">
        <w:t xml:space="preserve"> </w:t>
      </w:r>
      <w:r>
        <w:t>was</w:t>
      </w:r>
      <w:r w:rsidR="004B2C6B" w:rsidRPr="00215216">
        <w:t xml:space="preserve"> </w:t>
      </w:r>
      <w:r w:rsidR="00652E4A" w:rsidRPr="00215216">
        <w:t>added to the PCR reaction tubes (</w:t>
      </w:r>
      <w:proofErr w:type="spellStart"/>
      <w:r w:rsidR="00652E4A" w:rsidRPr="00215216">
        <w:t>SmartCycler</w:t>
      </w:r>
      <w:proofErr w:type="spellEnd"/>
      <w:r w:rsidR="00652E4A" w:rsidRPr="00215216">
        <w:t xml:space="preserve">) or </w:t>
      </w:r>
      <w:r>
        <w:t xml:space="preserve">a </w:t>
      </w:r>
      <w:r w:rsidR="00652E4A" w:rsidRPr="00215216">
        <w:t>96-</w:t>
      </w:r>
      <w:proofErr w:type="gramStart"/>
      <w:r w:rsidR="00652E4A" w:rsidRPr="00215216">
        <w:t>well</w:t>
      </w:r>
      <w:proofErr w:type="gramEnd"/>
      <w:r w:rsidR="00652E4A" w:rsidRPr="00215216">
        <w:t xml:space="preserve"> plate (ABI 7500) and then 5 µL of sample (for a total volume of 25 µL per reaction). </w:t>
      </w:r>
      <w:r w:rsidR="00C52167" w:rsidRPr="00215216">
        <w:t xml:space="preserve">Aliquots taken from the same samples </w:t>
      </w:r>
      <w:r>
        <w:t>were</w:t>
      </w:r>
      <w:r w:rsidR="00C52167" w:rsidRPr="00215216">
        <w:t xml:space="preserve"> run on both systems for all dilutions. </w:t>
      </w:r>
      <w:r w:rsidR="00652E4A" w:rsidRPr="00215216">
        <w:t>The reaction tubes and 96-</w:t>
      </w:r>
      <w:proofErr w:type="gramStart"/>
      <w:r w:rsidR="00652E4A" w:rsidRPr="00215216">
        <w:t>well</w:t>
      </w:r>
      <w:proofErr w:type="gramEnd"/>
      <w:r w:rsidR="00652E4A" w:rsidRPr="00215216">
        <w:t xml:space="preserve"> plates </w:t>
      </w:r>
      <w:r>
        <w:t xml:space="preserve">were </w:t>
      </w:r>
      <w:r w:rsidR="00C52167" w:rsidRPr="00215216">
        <w:t xml:space="preserve">then </w:t>
      </w:r>
      <w:r w:rsidR="00652E4A" w:rsidRPr="00215216">
        <w:t xml:space="preserve">sealed, centrifuged and placed in the </w:t>
      </w:r>
      <w:r w:rsidR="004B2C6B" w:rsidRPr="00215216">
        <w:t>appropriate machine</w:t>
      </w:r>
      <w:r w:rsidR="00C52167" w:rsidRPr="00215216">
        <w:t xml:space="preserve"> for the PCR reaction</w:t>
      </w:r>
      <w:r w:rsidR="00652E4A" w:rsidRPr="00215216">
        <w:t>.</w:t>
      </w:r>
      <w:r w:rsidR="00C52167" w:rsidRPr="00215216">
        <w:t xml:space="preserve"> </w:t>
      </w:r>
    </w:p>
    <w:p w14:paraId="0D411803" w14:textId="77777777" w:rsidR="004B2C6B" w:rsidRPr="00215216" w:rsidRDefault="004B2C6B" w:rsidP="004B2C6B">
      <w:pPr>
        <w:pStyle w:val="ListParagraph"/>
      </w:pPr>
    </w:p>
    <w:p w14:paraId="389D34F8" w14:textId="1E280DBB" w:rsidR="004B2C6B" w:rsidRPr="00215216" w:rsidRDefault="009553D7" w:rsidP="00652E4A">
      <w:pPr>
        <w:pStyle w:val="ListParagraph"/>
        <w:numPr>
          <w:ilvl w:val="0"/>
          <w:numId w:val="1"/>
        </w:numPr>
      </w:pPr>
      <w:r>
        <w:t>The</w:t>
      </w:r>
      <w:r w:rsidR="007552DC" w:rsidRPr="00215216">
        <w:t xml:space="preserve"> assay</w:t>
      </w:r>
      <w:r w:rsidR="004B2C6B" w:rsidRPr="00215216">
        <w:t xml:space="preserve"> </w:t>
      </w:r>
      <w:proofErr w:type="gramStart"/>
      <w:r>
        <w:t>were</w:t>
      </w:r>
      <w:proofErr w:type="gramEnd"/>
      <w:r>
        <w:t xml:space="preserve"> run</w:t>
      </w:r>
      <w:r w:rsidR="00480DC2">
        <w:t xml:space="preserve"> in parallel</w:t>
      </w:r>
      <w:r>
        <w:t xml:space="preserve"> </w:t>
      </w:r>
      <w:r w:rsidR="004B2C6B" w:rsidRPr="00215216">
        <w:t xml:space="preserve">on both the </w:t>
      </w:r>
      <w:proofErr w:type="spellStart"/>
      <w:r w:rsidR="004B2C6B" w:rsidRPr="00215216">
        <w:t>SmartCyler</w:t>
      </w:r>
      <w:proofErr w:type="spellEnd"/>
      <w:r w:rsidR="004B2C6B" w:rsidRPr="00215216">
        <w:t xml:space="preserve">, using the preset “Salmonella” protocol as defined in the SOP, and the ABI 7500. </w:t>
      </w:r>
      <w:r w:rsidR="00480DC2">
        <w:t>Parallel</w:t>
      </w:r>
      <w:r>
        <w:t xml:space="preserve"> experiments were carried out</w:t>
      </w:r>
      <w:r w:rsidR="00C52167" w:rsidRPr="00215216">
        <w:t xml:space="preserve"> on the s</w:t>
      </w:r>
      <w:r>
        <w:t>ame day, as close in time as was practical</w:t>
      </w:r>
      <w:r w:rsidR="00C52167" w:rsidRPr="00215216">
        <w:t xml:space="preserve"> to keep conditions as similar as possible. </w:t>
      </w:r>
      <w:r w:rsidR="004B2C6B" w:rsidRPr="00215216">
        <w:t xml:space="preserve">Initially the ABI 7500 </w:t>
      </w:r>
      <w:r>
        <w:t>was</w:t>
      </w:r>
      <w:r w:rsidR="004B2C6B" w:rsidRPr="00215216">
        <w:t xml:space="preserve"> run using </w:t>
      </w:r>
      <w:proofErr w:type="gramStart"/>
      <w:r w:rsidR="00480DC2">
        <w:t xml:space="preserve">identical </w:t>
      </w:r>
      <w:r w:rsidR="004B2C6B" w:rsidRPr="00215216">
        <w:t xml:space="preserve"> parameters</w:t>
      </w:r>
      <w:proofErr w:type="gramEnd"/>
      <w:r w:rsidR="00BD49A6" w:rsidRPr="00215216">
        <w:t xml:space="preserve"> </w:t>
      </w:r>
      <w:r w:rsidR="00480DC2">
        <w:t>to</w:t>
      </w:r>
      <w:r w:rsidR="00BD49A6" w:rsidRPr="00215216">
        <w:t xml:space="preserve"> the </w:t>
      </w:r>
      <w:proofErr w:type="spellStart"/>
      <w:r w:rsidR="00BD49A6" w:rsidRPr="00215216">
        <w:t>SmartCyler</w:t>
      </w:r>
      <w:proofErr w:type="spellEnd"/>
      <w:r w:rsidR="00BD49A6" w:rsidRPr="00215216">
        <w:t xml:space="preserve"> </w:t>
      </w:r>
      <w:r w:rsidR="004B2C6B" w:rsidRPr="00215216">
        <w:t xml:space="preserve"> – but </w:t>
      </w:r>
      <w:r>
        <w:t xml:space="preserve">after optimization </w:t>
      </w:r>
      <w:r w:rsidR="00480DC2">
        <w:t>the annealing and elongation step times were increased to 20 s</w:t>
      </w:r>
      <w:r w:rsidR="004B2C6B" w:rsidRPr="00215216">
        <w:t>.</w:t>
      </w:r>
      <w:r w:rsidR="00480DC2">
        <w:t xml:space="preserve"> All data described in this report was generated using these longer step times.</w:t>
      </w:r>
    </w:p>
    <w:p w14:paraId="7A49B031" w14:textId="77777777" w:rsidR="004B2C6B" w:rsidRPr="00215216" w:rsidRDefault="004B2C6B" w:rsidP="004B2C6B">
      <w:pPr>
        <w:pStyle w:val="ListParagraph"/>
      </w:pPr>
    </w:p>
    <w:p w14:paraId="2A411C02" w14:textId="0B07AF1A" w:rsidR="00C6682F" w:rsidRPr="00215216" w:rsidRDefault="004B2C6B" w:rsidP="00747FC9">
      <w:pPr>
        <w:pStyle w:val="ListParagraph"/>
        <w:numPr>
          <w:ilvl w:val="0"/>
          <w:numId w:val="1"/>
        </w:numPr>
      </w:pPr>
      <w:r w:rsidRPr="00215216">
        <w:lastRenderedPageBreak/>
        <w:t xml:space="preserve">Once the assays </w:t>
      </w:r>
      <w:r w:rsidR="00480DC2">
        <w:t xml:space="preserve">were completed </w:t>
      </w:r>
      <w:r w:rsidRPr="00215216">
        <w:t xml:space="preserve">the fluorescence thresholds for </w:t>
      </w:r>
      <w:r w:rsidR="005D152E" w:rsidRPr="00215216">
        <w:t>the target (</w:t>
      </w:r>
      <w:r w:rsidR="005D152E" w:rsidRPr="00747FC9">
        <w:rPr>
          <w:i/>
        </w:rPr>
        <w:t>OriC</w:t>
      </w:r>
      <w:r w:rsidR="005D152E" w:rsidRPr="00215216">
        <w:t xml:space="preserve">) and IC </w:t>
      </w:r>
      <w:r w:rsidR="00480DC2">
        <w:t>were</w:t>
      </w:r>
      <w:r w:rsidR="005D152E" w:rsidRPr="00215216">
        <w:t xml:space="preserve"> examined</w:t>
      </w:r>
      <w:r w:rsidR="0079787E" w:rsidRPr="00215216">
        <w:t xml:space="preserve"> for </w:t>
      </w:r>
      <w:proofErr w:type="gramStart"/>
      <w:r w:rsidR="0079787E" w:rsidRPr="00215216">
        <w:t>all of</w:t>
      </w:r>
      <w:proofErr w:type="gramEnd"/>
      <w:r w:rsidR="0079787E" w:rsidRPr="00215216">
        <w:t xml:space="preserve"> the samples at the</w:t>
      </w:r>
      <w:r w:rsidR="00480DC2">
        <w:t>ir</w:t>
      </w:r>
      <w:r w:rsidR="0079787E" w:rsidRPr="00215216">
        <w:t xml:space="preserve"> various </w:t>
      </w:r>
      <w:proofErr w:type="spellStart"/>
      <w:r w:rsidR="0079787E" w:rsidRPr="00215216">
        <w:t>diltiuons</w:t>
      </w:r>
      <w:proofErr w:type="spellEnd"/>
      <w:r w:rsidR="005D152E" w:rsidRPr="00215216">
        <w:t xml:space="preserve"> </w:t>
      </w:r>
      <w:r w:rsidR="0079787E" w:rsidRPr="00215216">
        <w:t xml:space="preserve">and the controls </w:t>
      </w:r>
      <w:r w:rsidR="00215216" w:rsidRPr="00215216">
        <w:t xml:space="preserve">to determine whether </w:t>
      </w:r>
      <w:r w:rsidR="00480DC2">
        <w:t xml:space="preserve">the amplification of </w:t>
      </w:r>
      <w:r w:rsidR="00215216" w:rsidRPr="00215216">
        <w:t>target DN</w:t>
      </w:r>
      <w:r w:rsidR="005D152E" w:rsidRPr="00215216">
        <w:t>A and/or the IC was</w:t>
      </w:r>
      <w:r w:rsidR="00480DC2">
        <w:t xml:space="preserve"> observed</w:t>
      </w:r>
      <w:r w:rsidR="005D152E" w:rsidRPr="00215216">
        <w:t>.</w:t>
      </w:r>
    </w:p>
    <w:p w14:paraId="0EFBE304" w14:textId="77777777" w:rsidR="00862D65" w:rsidRDefault="00862D65" w:rsidP="00DD75BF">
      <w:pPr>
        <w:pStyle w:val="Heading1"/>
        <w:spacing w:before="0"/>
      </w:pPr>
    </w:p>
    <w:p w14:paraId="1C27923F" w14:textId="7EEAC105" w:rsidR="00CA4346" w:rsidRPr="00215216" w:rsidRDefault="004A4309" w:rsidP="00DD75BF">
      <w:pPr>
        <w:pStyle w:val="Heading1"/>
        <w:spacing w:before="0"/>
      </w:pPr>
      <w:r w:rsidRPr="00215216">
        <w:t>R</w:t>
      </w:r>
      <w:r w:rsidR="0040269E" w:rsidRPr="00215216">
        <w:t>esults</w:t>
      </w:r>
      <w:r w:rsidR="00A41BE4" w:rsidRPr="00215216">
        <w:t xml:space="preserve"> and Discussion</w:t>
      </w:r>
    </w:p>
    <w:p w14:paraId="7216FE35" w14:textId="0CC7CBAD" w:rsidR="00480DC2" w:rsidRDefault="00215216" w:rsidP="00A41BE4">
      <w:r w:rsidRPr="00215216">
        <w:t xml:space="preserve">Typically, the sensitivity of assays based on </w:t>
      </w:r>
      <w:proofErr w:type="spellStart"/>
      <w:r w:rsidRPr="00215216">
        <w:t>rt</w:t>
      </w:r>
      <w:proofErr w:type="spellEnd"/>
      <w:r w:rsidRPr="00215216">
        <w:t>-PCR reactions are mainly influenced by sample quality - that is the quality and amount of the DNA extracted and the presence of PCR inhibitors and</w:t>
      </w:r>
      <w:r w:rsidR="00480DC2">
        <w:t>/or</w:t>
      </w:r>
      <w:r w:rsidRPr="00215216">
        <w:t xml:space="preserve"> auto-fluorescent compounds </w:t>
      </w:r>
      <w:r w:rsidR="00480DC2">
        <w:t>capable of interfering</w:t>
      </w:r>
      <w:r w:rsidRPr="00215216">
        <w:t xml:space="preserve"> with amplification and detection of DNA – not the instrumentation used to carry out the assay. As such, it </w:t>
      </w:r>
      <w:r w:rsidR="00480DC2">
        <w:t>was</w:t>
      </w:r>
      <w:r w:rsidRPr="00215216">
        <w:t xml:space="preserve"> not</w:t>
      </w:r>
      <w:r w:rsidR="00480DC2">
        <w:t xml:space="preserve"> anticipated that the ABI 7500</w:t>
      </w:r>
      <w:r w:rsidRPr="00215216">
        <w:t xml:space="preserve"> </w:t>
      </w:r>
      <w:r w:rsidR="00480DC2">
        <w:t xml:space="preserve">would </w:t>
      </w:r>
      <w:r w:rsidRPr="00215216">
        <w:t>give substantially differ</w:t>
      </w:r>
      <w:r w:rsidR="00480DC2">
        <w:t xml:space="preserve">ent results to the </w:t>
      </w:r>
      <w:proofErr w:type="spellStart"/>
      <w:r w:rsidR="00480DC2">
        <w:t>SmartCycler</w:t>
      </w:r>
      <w:proofErr w:type="spellEnd"/>
      <w:r w:rsidR="00480DC2">
        <w:t xml:space="preserve">, and this indeed is the case. Figure 1 </w:t>
      </w:r>
      <w:r w:rsidR="005018BB">
        <w:t xml:space="preserve">plots the </w:t>
      </w:r>
      <w:proofErr w:type="spellStart"/>
      <w:r w:rsidR="005018BB">
        <w:t>ct</w:t>
      </w:r>
      <w:proofErr w:type="spellEnd"/>
      <w:r w:rsidR="005018BB">
        <w:t xml:space="preserve"> values for all the DNA extracts and their dilutions for both the </w:t>
      </w:r>
      <w:r w:rsidR="005018BB" w:rsidRPr="00747FC9">
        <w:rPr>
          <w:i/>
        </w:rPr>
        <w:t>OriC</w:t>
      </w:r>
      <w:r w:rsidR="005018BB">
        <w:t xml:space="preserve"> and </w:t>
      </w:r>
      <w:proofErr w:type="spellStart"/>
      <w:r w:rsidR="005018BB" w:rsidRPr="00747FC9">
        <w:rPr>
          <w:i/>
        </w:rPr>
        <w:t>gfp</w:t>
      </w:r>
      <w:proofErr w:type="spellEnd"/>
      <w:r w:rsidR="005018BB">
        <w:t xml:space="preserve"> assays</w:t>
      </w:r>
      <w:r w:rsidR="002676F4">
        <w:t xml:space="preserve">. In all cases both the target DNA and the </w:t>
      </w:r>
      <w:proofErr w:type="spellStart"/>
      <w:r w:rsidR="002676F4" w:rsidRPr="00747FC9">
        <w:rPr>
          <w:i/>
        </w:rPr>
        <w:t>gfp</w:t>
      </w:r>
      <w:proofErr w:type="spellEnd"/>
      <w:r w:rsidR="002676F4">
        <w:t xml:space="preserve"> IC were detected by both machines –</w:t>
      </w:r>
      <w:r w:rsidR="000D7A9B">
        <w:t xml:space="preserve"> with </w:t>
      </w:r>
      <w:r w:rsidR="002676F4">
        <w:t xml:space="preserve">almost identical results for the </w:t>
      </w:r>
      <w:r w:rsidR="002676F4" w:rsidRPr="00747FC9">
        <w:rPr>
          <w:i/>
        </w:rPr>
        <w:t>OriC</w:t>
      </w:r>
      <w:r w:rsidR="002676F4">
        <w:t xml:space="preserve"> assay</w:t>
      </w:r>
      <w:r w:rsidR="000D7A9B">
        <w:t xml:space="preserve"> (</w:t>
      </w:r>
      <w:r w:rsidR="00A07FFA">
        <w:t>due to experimental error the 1:1000 dilution</w:t>
      </w:r>
      <w:r w:rsidR="000D7A9B">
        <w:t xml:space="preserve"> was lost for </w:t>
      </w:r>
      <w:r w:rsidR="00A07FFA">
        <w:t xml:space="preserve">the </w:t>
      </w:r>
      <w:proofErr w:type="spellStart"/>
      <w:r w:rsidR="000D7A9B">
        <w:t>muenchen</w:t>
      </w:r>
      <w:proofErr w:type="spellEnd"/>
      <w:r w:rsidR="000D7A9B">
        <w:t xml:space="preserve"> </w:t>
      </w:r>
      <w:r w:rsidR="00A07FFA">
        <w:t xml:space="preserve">ABI 7500 </w:t>
      </w:r>
      <w:r w:rsidR="000D7A9B">
        <w:t>sample</w:t>
      </w:r>
      <w:r w:rsidR="00A07FFA">
        <w:t>)</w:t>
      </w:r>
      <w:r w:rsidR="002676F4">
        <w:t xml:space="preserve">. The consistently lower </w:t>
      </w:r>
      <w:proofErr w:type="spellStart"/>
      <w:r w:rsidR="002676F4">
        <w:t>ct</w:t>
      </w:r>
      <w:proofErr w:type="spellEnd"/>
      <w:r w:rsidR="002676F4">
        <w:t xml:space="preserve"> values obtained for </w:t>
      </w:r>
      <w:proofErr w:type="spellStart"/>
      <w:r w:rsidR="002676F4">
        <w:t>gfp</w:t>
      </w:r>
      <w:proofErr w:type="spellEnd"/>
      <w:r w:rsidR="002676F4">
        <w:t xml:space="preserve"> with the ABI 7500 suggest that it may </w:t>
      </w:r>
      <w:proofErr w:type="gramStart"/>
      <w:r w:rsidR="002676F4">
        <w:t>actually demonstrate</w:t>
      </w:r>
      <w:proofErr w:type="gramEnd"/>
      <w:r w:rsidR="002676F4">
        <w:t xml:space="preserve"> increased sensitivity </w:t>
      </w:r>
      <w:r w:rsidR="00433C05">
        <w:t xml:space="preserve">and better reproducibility </w:t>
      </w:r>
      <w:r w:rsidR="002676F4">
        <w:t xml:space="preserve">to the </w:t>
      </w:r>
      <w:proofErr w:type="spellStart"/>
      <w:r w:rsidR="002676F4">
        <w:t>SmartCycler</w:t>
      </w:r>
      <w:proofErr w:type="spellEnd"/>
      <w:r w:rsidR="002676F4">
        <w:t xml:space="preserve"> </w:t>
      </w:r>
      <w:r w:rsidR="00A07FFA">
        <w:t>for</w:t>
      </w:r>
      <w:r w:rsidR="002676F4">
        <w:t xml:space="preserve"> some assays.</w:t>
      </w:r>
      <w:r w:rsidR="000D7A9B">
        <w:t xml:space="preserve"> </w:t>
      </w:r>
    </w:p>
    <w:p w14:paraId="2A4E8441" w14:textId="11031053" w:rsidR="002676F4" w:rsidRDefault="002F429E" w:rsidP="002676F4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4636FD" wp14:editId="2A53A5BA">
                <wp:simplePos x="0" y="0"/>
                <wp:positionH relativeFrom="column">
                  <wp:posOffset>123825</wp:posOffset>
                </wp:positionH>
                <wp:positionV relativeFrom="paragraph">
                  <wp:posOffset>2950845</wp:posOffset>
                </wp:positionV>
                <wp:extent cx="5753100" cy="8763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876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B5D245" w14:textId="47C7E386" w:rsidR="00747FC9" w:rsidRPr="00862D65" w:rsidRDefault="00747FC9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862D65">
                              <w:rPr>
                                <w:b/>
                                <w:sz w:val="20"/>
                                <w:szCs w:val="20"/>
                              </w:rPr>
                              <w:t xml:space="preserve">Figure 1. The ABI 7500 demonstrates similar performance to the </w:t>
                            </w:r>
                            <w:proofErr w:type="spellStart"/>
                            <w:r w:rsidRPr="00862D65">
                              <w:rPr>
                                <w:b/>
                                <w:sz w:val="20"/>
                                <w:szCs w:val="20"/>
                              </w:rPr>
                              <w:t>SmartCycler</w:t>
                            </w:r>
                            <w:proofErr w:type="spellEnd"/>
                            <w:r w:rsidRPr="00862D65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in detecting OriC</w:t>
                            </w:r>
                          </w:p>
                          <w:p w14:paraId="5A70636B" w14:textId="3C392D66" w:rsidR="00747FC9" w:rsidRPr="00DE0EA4" w:rsidRDefault="00747FC9" w:rsidP="002F429E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DE0EA4">
                              <w:rPr>
                                <w:sz w:val="18"/>
                                <w:szCs w:val="18"/>
                              </w:rPr>
                              <w:t xml:space="preserve">Serially diluted DNA extracts from ten salmonella serotypes were assayed for OriC and </w:t>
                            </w:r>
                            <w:proofErr w:type="spellStart"/>
                            <w:r w:rsidRPr="00DE0EA4">
                              <w:rPr>
                                <w:sz w:val="18"/>
                                <w:szCs w:val="18"/>
                              </w:rPr>
                              <w:t>gfp</w:t>
                            </w:r>
                            <w:proofErr w:type="spellEnd"/>
                            <w:r w:rsidRPr="00DE0EA4">
                              <w:rPr>
                                <w:sz w:val="18"/>
                                <w:szCs w:val="18"/>
                              </w:rPr>
                              <w:t xml:space="preserve"> in parallel on both PCR machines. The </w:t>
                            </w:r>
                            <w:proofErr w:type="spellStart"/>
                            <w:r w:rsidRPr="00DE0EA4">
                              <w:rPr>
                                <w:sz w:val="18"/>
                                <w:szCs w:val="18"/>
                              </w:rPr>
                              <w:t>ct</w:t>
                            </w:r>
                            <w:proofErr w:type="spellEnd"/>
                            <w:r w:rsidRPr="00DE0EA4">
                              <w:rPr>
                                <w:sz w:val="18"/>
                                <w:szCs w:val="18"/>
                              </w:rPr>
                              <w:t xml:space="preserve"> values for each serotype are plotted for the ABI 7500 (red circles) and the </w:t>
                            </w:r>
                            <w:proofErr w:type="spellStart"/>
                            <w:r w:rsidRPr="00DE0EA4">
                              <w:rPr>
                                <w:sz w:val="18"/>
                                <w:szCs w:val="18"/>
                              </w:rPr>
                              <w:t>SmartCycler</w:t>
                            </w:r>
                            <w:proofErr w:type="spellEnd"/>
                            <w:r w:rsidRPr="00DE0EA4">
                              <w:rPr>
                                <w:sz w:val="18"/>
                                <w:szCs w:val="18"/>
                              </w:rPr>
                              <w:t xml:space="preserve"> (blue circles) with all four dilutions (undiluted, 1:10, 1:100 and 1:1000) shown in each column.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4636FD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9.75pt;margin-top:232.35pt;width:453pt;height:6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" fillcolor="white [3201]" stroked="f" strokeweight=".5pt">
                <v:textbox>
                  <w:txbxContent>
                    <w:p w14:paraId="15B5D245" w14:textId="47C7E386" w:rsidR="00747FC9" w:rsidRPr="00862D65" w:rsidRDefault="00747FC9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862D65">
                        <w:rPr>
                          <w:b/>
                          <w:sz w:val="20"/>
                          <w:szCs w:val="20"/>
                        </w:rPr>
                        <w:t xml:space="preserve">Figure 1. The ABI 7500 demonstrates similar performance to the </w:t>
                      </w:r>
                      <w:proofErr w:type="spellStart"/>
                      <w:r w:rsidRPr="00862D65">
                        <w:rPr>
                          <w:b/>
                          <w:sz w:val="20"/>
                          <w:szCs w:val="20"/>
                        </w:rPr>
                        <w:t>SmartCycler</w:t>
                      </w:r>
                      <w:proofErr w:type="spellEnd"/>
                      <w:r w:rsidRPr="00862D65">
                        <w:rPr>
                          <w:b/>
                          <w:sz w:val="20"/>
                          <w:szCs w:val="20"/>
                        </w:rPr>
                        <w:t xml:space="preserve"> in detecting OriC</w:t>
                      </w:r>
                    </w:p>
                    <w:p w14:paraId="5A70636B" w14:textId="3C392D66" w:rsidR="00747FC9" w:rsidRPr="00DE0EA4" w:rsidRDefault="00747FC9" w:rsidP="002F429E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DE0EA4">
                        <w:rPr>
                          <w:sz w:val="18"/>
                          <w:szCs w:val="18"/>
                        </w:rPr>
                        <w:t xml:space="preserve">Serially diluted DNA extracts from ten salmonella serotypes were assayed for OriC and </w:t>
                      </w:r>
                      <w:proofErr w:type="spellStart"/>
                      <w:r w:rsidRPr="00DE0EA4">
                        <w:rPr>
                          <w:sz w:val="18"/>
                          <w:szCs w:val="18"/>
                        </w:rPr>
                        <w:t>gfp</w:t>
                      </w:r>
                      <w:proofErr w:type="spellEnd"/>
                      <w:r w:rsidRPr="00DE0EA4">
                        <w:rPr>
                          <w:sz w:val="18"/>
                          <w:szCs w:val="18"/>
                        </w:rPr>
                        <w:t xml:space="preserve"> in parallel on both PCR machines. The </w:t>
                      </w:r>
                      <w:proofErr w:type="spellStart"/>
                      <w:r w:rsidRPr="00DE0EA4">
                        <w:rPr>
                          <w:sz w:val="18"/>
                          <w:szCs w:val="18"/>
                        </w:rPr>
                        <w:t>ct</w:t>
                      </w:r>
                      <w:proofErr w:type="spellEnd"/>
                      <w:r w:rsidRPr="00DE0EA4">
                        <w:rPr>
                          <w:sz w:val="18"/>
                          <w:szCs w:val="18"/>
                        </w:rPr>
                        <w:t xml:space="preserve"> values for each serotype are plotted for the ABI 7500 (red circles) and the </w:t>
                      </w:r>
                      <w:proofErr w:type="spellStart"/>
                      <w:r w:rsidRPr="00DE0EA4">
                        <w:rPr>
                          <w:sz w:val="18"/>
                          <w:szCs w:val="18"/>
                        </w:rPr>
                        <w:t>SmartCycler</w:t>
                      </w:r>
                      <w:proofErr w:type="spellEnd"/>
                      <w:r w:rsidRPr="00DE0EA4">
                        <w:rPr>
                          <w:sz w:val="18"/>
                          <w:szCs w:val="18"/>
                        </w:rPr>
                        <w:t xml:space="preserve"> (blue circles) with all four dilutions (undiluted, 1:10, 1:100 and 1:1000) shown in each column. </w:t>
                      </w:r>
                    </w:p>
                  </w:txbxContent>
                </v:textbox>
              </v:shape>
            </w:pict>
          </mc:Fallback>
        </mc:AlternateContent>
      </w:r>
      <w:r w:rsidR="002676F4">
        <w:rPr>
          <w:noProof/>
        </w:rPr>
        <w:drawing>
          <wp:inline distT="0" distB="0" distL="0" distR="0" wp14:anchorId="7735BA0D" wp14:editId="632F8513">
            <wp:extent cx="2943225" cy="29388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3202" cy="29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76F4" w:rsidRPr="005018BB">
        <w:rPr>
          <w:noProof/>
        </w:rPr>
        <w:t xml:space="preserve"> </w:t>
      </w:r>
      <w:r w:rsidR="002676F4">
        <w:rPr>
          <w:noProof/>
        </w:rPr>
        <w:drawing>
          <wp:inline distT="0" distB="0" distL="0" distR="0" wp14:anchorId="31110996" wp14:editId="75A9979B">
            <wp:extent cx="2938093" cy="2933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51870" cy="2947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48742" w14:textId="31F7F873" w:rsidR="002676F4" w:rsidRPr="00130F1D" w:rsidRDefault="002676F4" w:rsidP="002676F4">
      <w:pPr>
        <w:rPr>
          <w:b/>
        </w:rPr>
      </w:pPr>
    </w:p>
    <w:p w14:paraId="06531191" w14:textId="77777777" w:rsidR="00480DC2" w:rsidRDefault="00480DC2" w:rsidP="00A41BE4"/>
    <w:p w14:paraId="63282089" w14:textId="77777777" w:rsidR="00862D65" w:rsidRDefault="00862D65" w:rsidP="00A41BE4"/>
    <w:p w14:paraId="6FA56B19" w14:textId="0EB41F0B" w:rsidR="00480DC2" w:rsidRDefault="006735C8" w:rsidP="00A41BE4">
      <w:r>
        <w:t xml:space="preserve">Replotting the data as a </w:t>
      </w:r>
      <w:proofErr w:type="spellStart"/>
      <w:r>
        <w:t>scattergraph</w:t>
      </w:r>
      <w:proofErr w:type="spellEnd"/>
      <w:r>
        <w:t xml:space="preserve"> of </w:t>
      </w:r>
      <w:proofErr w:type="spellStart"/>
      <w:r>
        <w:t>ct</w:t>
      </w:r>
      <w:proofErr w:type="spellEnd"/>
      <w:r>
        <w:t xml:space="preserve"> values against dilution (</w:t>
      </w:r>
      <w:r w:rsidRPr="00747FC9">
        <w:rPr>
          <w:b/>
        </w:rPr>
        <w:t>Fig 2</w:t>
      </w:r>
      <w:r>
        <w:t xml:space="preserve">) highlights the similarity in performance and sensitivity for the </w:t>
      </w:r>
      <w:r w:rsidRPr="00747FC9">
        <w:rPr>
          <w:i/>
        </w:rPr>
        <w:t>OriC</w:t>
      </w:r>
      <w:r>
        <w:t xml:space="preserve"> assay </w:t>
      </w:r>
      <w:r w:rsidR="00747FC9">
        <w:t>between</w:t>
      </w:r>
      <w:r>
        <w:t xml:space="preserve"> machines. Both machines report a consistent increase in </w:t>
      </w:r>
      <w:proofErr w:type="spellStart"/>
      <w:r>
        <w:t>ct</w:t>
      </w:r>
      <w:proofErr w:type="spellEnd"/>
      <w:r>
        <w:t xml:space="preserve"> values over a 1000-fold dilution range (approximately 4 cycles per </w:t>
      </w:r>
      <w:proofErr w:type="gramStart"/>
      <w:r>
        <w:t>10 fold</w:t>
      </w:r>
      <w:proofErr w:type="gramEnd"/>
      <w:r>
        <w:t xml:space="preserve"> dilution), as expected, with no corresponding change in </w:t>
      </w:r>
      <w:proofErr w:type="spellStart"/>
      <w:r w:rsidRPr="00747FC9">
        <w:rPr>
          <w:i/>
        </w:rPr>
        <w:t>gfp</w:t>
      </w:r>
      <w:proofErr w:type="spellEnd"/>
      <w:r>
        <w:t xml:space="preserve"> detection.</w:t>
      </w:r>
    </w:p>
    <w:p w14:paraId="06B9BECB" w14:textId="77777777" w:rsidR="006735C8" w:rsidRDefault="006735C8" w:rsidP="006735C8"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D9200E" wp14:editId="14E58F60">
                <wp:simplePos x="0" y="0"/>
                <wp:positionH relativeFrom="column">
                  <wp:posOffset>66675</wp:posOffset>
                </wp:positionH>
                <wp:positionV relativeFrom="paragraph">
                  <wp:posOffset>3025775</wp:posOffset>
                </wp:positionV>
                <wp:extent cx="5753100" cy="9144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C63E463" w14:textId="77777777" w:rsidR="00747FC9" w:rsidRPr="00862D65" w:rsidRDefault="00747FC9" w:rsidP="006735C8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862D65">
                              <w:rPr>
                                <w:b/>
                                <w:sz w:val="20"/>
                                <w:szCs w:val="20"/>
                              </w:rPr>
                              <w:t xml:space="preserve">Figure 2 The ABI 7500 demonstrates similar sensitivity to the </w:t>
                            </w:r>
                            <w:proofErr w:type="spellStart"/>
                            <w:r w:rsidRPr="00862D65">
                              <w:rPr>
                                <w:b/>
                                <w:sz w:val="20"/>
                                <w:szCs w:val="20"/>
                              </w:rPr>
                              <w:t>SmartCycler</w:t>
                            </w:r>
                            <w:proofErr w:type="spellEnd"/>
                            <w:r w:rsidRPr="00862D65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over a 1000-fold dilution range.</w:t>
                            </w:r>
                          </w:p>
                          <w:p w14:paraId="4F3D88E6" w14:textId="77777777" w:rsidR="00747FC9" w:rsidRPr="00DE0EA4" w:rsidRDefault="00747FC9" w:rsidP="006735C8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DE0EA4">
                              <w:rPr>
                                <w:sz w:val="18"/>
                                <w:szCs w:val="18"/>
                              </w:rPr>
                              <w:t xml:space="preserve">Serially diluted DNA extracts from ten salmonella serotypes were assayed for OriC and </w:t>
                            </w:r>
                            <w:proofErr w:type="spellStart"/>
                            <w:r w:rsidRPr="00DE0EA4">
                              <w:rPr>
                                <w:sz w:val="18"/>
                                <w:szCs w:val="18"/>
                              </w:rPr>
                              <w:t>gfp</w:t>
                            </w:r>
                            <w:proofErr w:type="spellEnd"/>
                            <w:r w:rsidRPr="00DE0EA4">
                              <w:rPr>
                                <w:sz w:val="18"/>
                                <w:szCs w:val="18"/>
                              </w:rPr>
                              <w:t xml:space="preserve"> in parallel on both PCR machines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(same data as Fig 1)</w:t>
                            </w:r>
                            <w:r w:rsidRPr="00DE0EA4">
                              <w:rPr>
                                <w:sz w:val="18"/>
                                <w:szCs w:val="18"/>
                              </w:rPr>
                              <w:t xml:space="preserve">. The </w:t>
                            </w:r>
                            <w:proofErr w:type="spellStart"/>
                            <w:r w:rsidRPr="00DE0EA4">
                              <w:rPr>
                                <w:sz w:val="18"/>
                                <w:szCs w:val="18"/>
                              </w:rPr>
                              <w:t>ct</w:t>
                            </w:r>
                            <w:proofErr w:type="spellEnd"/>
                            <w:r w:rsidRPr="00DE0EA4">
                              <w:rPr>
                                <w:sz w:val="18"/>
                                <w:szCs w:val="18"/>
                              </w:rPr>
                              <w:t xml:space="preserve"> values for each serotype are plotted for the ABI 7500 (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filled circles</w:t>
                            </w:r>
                            <w:r w:rsidRPr="00DE0EA4">
                              <w:rPr>
                                <w:sz w:val="18"/>
                                <w:szCs w:val="18"/>
                              </w:rPr>
                              <w:t xml:space="preserve">) and the </w:t>
                            </w:r>
                            <w:proofErr w:type="spellStart"/>
                            <w:r w:rsidRPr="00DE0EA4">
                              <w:rPr>
                                <w:sz w:val="18"/>
                                <w:szCs w:val="18"/>
                              </w:rPr>
                              <w:t>SmartCycler</w:t>
                            </w:r>
                            <w:proofErr w:type="spellEnd"/>
                            <w:r w:rsidRPr="00DE0EA4">
                              <w:rPr>
                                <w:sz w:val="18"/>
                                <w:szCs w:val="18"/>
                              </w:rPr>
                              <w:t xml:space="preserve"> (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filled squares</w:t>
                            </w:r>
                            <w:r w:rsidRPr="00DE0EA4">
                              <w:rPr>
                                <w:sz w:val="18"/>
                                <w:szCs w:val="18"/>
                              </w:rPr>
                              <w:t xml:space="preserve">)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against dilution (x-axis on a log scale). Each serotype is plotted as a different color.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9200E" id="Text Box 7" o:spid="_x0000_s1027" type="#_x0000_t202" style="position:absolute;margin-left:5.25pt;margin-top:238.25pt;width:453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" fillcolor="white [3201]" stroked="f" strokeweight=".5pt">
                <v:textbox>
                  <w:txbxContent>
                    <w:p w14:paraId="6C63E463" w14:textId="77777777" w:rsidR="00747FC9" w:rsidRPr="00862D65" w:rsidRDefault="00747FC9" w:rsidP="006735C8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862D65">
                        <w:rPr>
                          <w:b/>
                          <w:sz w:val="20"/>
                          <w:szCs w:val="20"/>
                        </w:rPr>
                        <w:t xml:space="preserve">Figure 2 The ABI 7500 demonstrates similar sensitivity to the </w:t>
                      </w:r>
                      <w:proofErr w:type="spellStart"/>
                      <w:r w:rsidRPr="00862D65">
                        <w:rPr>
                          <w:b/>
                          <w:sz w:val="20"/>
                          <w:szCs w:val="20"/>
                        </w:rPr>
                        <w:t>SmartCycler</w:t>
                      </w:r>
                      <w:proofErr w:type="spellEnd"/>
                      <w:r w:rsidRPr="00862D65">
                        <w:rPr>
                          <w:b/>
                          <w:sz w:val="20"/>
                          <w:szCs w:val="20"/>
                        </w:rPr>
                        <w:t xml:space="preserve"> over a 1000-fold dilution range.</w:t>
                      </w:r>
                    </w:p>
                    <w:p w14:paraId="4F3D88E6" w14:textId="77777777" w:rsidR="00747FC9" w:rsidRPr="00DE0EA4" w:rsidRDefault="00747FC9" w:rsidP="006735C8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DE0EA4">
                        <w:rPr>
                          <w:sz w:val="18"/>
                          <w:szCs w:val="18"/>
                        </w:rPr>
                        <w:t xml:space="preserve">Serially diluted DNA extracts from ten salmonella serotypes were assayed for OriC and </w:t>
                      </w:r>
                      <w:proofErr w:type="spellStart"/>
                      <w:r w:rsidRPr="00DE0EA4">
                        <w:rPr>
                          <w:sz w:val="18"/>
                          <w:szCs w:val="18"/>
                        </w:rPr>
                        <w:t>gfp</w:t>
                      </w:r>
                      <w:proofErr w:type="spellEnd"/>
                      <w:r w:rsidRPr="00DE0EA4">
                        <w:rPr>
                          <w:sz w:val="18"/>
                          <w:szCs w:val="18"/>
                        </w:rPr>
                        <w:t xml:space="preserve"> in parallel on both PCR machines</w:t>
                      </w:r>
                      <w:r>
                        <w:rPr>
                          <w:sz w:val="18"/>
                          <w:szCs w:val="18"/>
                        </w:rPr>
                        <w:t xml:space="preserve"> (same data as Fig 1)</w:t>
                      </w:r>
                      <w:r w:rsidRPr="00DE0EA4">
                        <w:rPr>
                          <w:sz w:val="18"/>
                          <w:szCs w:val="18"/>
                        </w:rPr>
                        <w:t xml:space="preserve">. The </w:t>
                      </w:r>
                      <w:proofErr w:type="spellStart"/>
                      <w:r w:rsidRPr="00DE0EA4">
                        <w:rPr>
                          <w:sz w:val="18"/>
                          <w:szCs w:val="18"/>
                        </w:rPr>
                        <w:t>ct</w:t>
                      </w:r>
                      <w:proofErr w:type="spellEnd"/>
                      <w:r w:rsidRPr="00DE0EA4">
                        <w:rPr>
                          <w:sz w:val="18"/>
                          <w:szCs w:val="18"/>
                        </w:rPr>
                        <w:t xml:space="preserve"> values for each serotype are plotted for the ABI 7500 (</w:t>
                      </w:r>
                      <w:r>
                        <w:rPr>
                          <w:sz w:val="18"/>
                          <w:szCs w:val="18"/>
                        </w:rPr>
                        <w:t>filled circles</w:t>
                      </w:r>
                      <w:r w:rsidRPr="00DE0EA4">
                        <w:rPr>
                          <w:sz w:val="18"/>
                          <w:szCs w:val="18"/>
                        </w:rPr>
                        <w:t xml:space="preserve">) and the </w:t>
                      </w:r>
                      <w:proofErr w:type="spellStart"/>
                      <w:r w:rsidRPr="00DE0EA4">
                        <w:rPr>
                          <w:sz w:val="18"/>
                          <w:szCs w:val="18"/>
                        </w:rPr>
                        <w:t>SmartCycler</w:t>
                      </w:r>
                      <w:proofErr w:type="spellEnd"/>
                      <w:r w:rsidRPr="00DE0EA4">
                        <w:rPr>
                          <w:sz w:val="18"/>
                          <w:szCs w:val="18"/>
                        </w:rPr>
                        <w:t xml:space="preserve"> (</w:t>
                      </w:r>
                      <w:r>
                        <w:rPr>
                          <w:sz w:val="18"/>
                          <w:szCs w:val="18"/>
                        </w:rPr>
                        <w:t>filled squares</w:t>
                      </w:r>
                      <w:r w:rsidRPr="00DE0EA4">
                        <w:rPr>
                          <w:sz w:val="18"/>
                          <w:szCs w:val="18"/>
                        </w:rPr>
                        <w:t xml:space="preserve">) </w:t>
                      </w:r>
                      <w:r>
                        <w:rPr>
                          <w:sz w:val="18"/>
                          <w:szCs w:val="18"/>
                        </w:rPr>
                        <w:t>against dilution (x-axis on a log scale). Each serotype is plotted as a different color.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85A512D" wp14:editId="0BE8DFBA">
            <wp:extent cx="2976252" cy="2971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91118" cy="2986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DB94C5" wp14:editId="25E73E3B">
            <wp:extent cx="2959100" cy="29546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78668" cy="2974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F3A55" w14:textId="4859EB99" w:rsidR="006735C8" w:rsidRDefault="006735C8" w:rsidP="00A41BE4"/>
    <w:p w14:paraId="3CB02EAA" w14:textId="05B01D03" w:rsidR="006735C8" w:rsidRDefault="006735C8" w:rsidP="00A41BE4"/>
    <w:p w14:paraId="5055BAE1" w14:textId="28CCCAC5" w:rsidR="006735C8" w:rsidRDefault="006735C8" w:rsidP="00A41BE4"/>
    <w:p w14:paraId="2E81EABF" w14:textId="1B584823" w:rsidR="00862D65" w:rsidRDefault="006735C8" w:rsidP="00862D65">
      <w:proofErr w:type="gramStart"/>
      <w:r>
        <w:t>In order to</w:t>
      </w:r>
      <w:proofErr w:type="gramEnd"/>
      <w:r>
        <w:t xml:space="preserve"> test whether the </w:t>
      </w:r>
      <w:r w:rsidR="00A204EB">
        <w:t xml:space="preserve">ABI 7500 generates false positives we also performed the </w:t>
      </w:r>
      <w:r w:rsidR="00A204EB" w:rsidRPr="00747FC9">
        <w:rPr>
          <w:i/>
        </w:rPr>
        <w:t>OriC</w:t>
      </w:r>
      <w:r w:rsidR="00A204EB">
        <w:t>/</w:t>
      </w:r>
      <w:proofErr w:type="spellStart"/>
      <w:r w:rsidR="00A204EB" w:rsidRPr="00747FC9">
        <w:rPr>
          <w:i/>
        </w:rPr>
        <w:t>gfp</w:t>
      </w:r>
      <w:proofErr w:type="spellEnd"/>
      <w:r w:rsidR="00A204EB">
        <w:t xml:space="preserve"> assays on DNA extracts from ten different </w:t>
      </w:r>
      <w:proofErr w:type="spellStart"/>
      <w:r w:rsidR="00A204EB">
        <w:t>bateria</w:t>
      </w:r>
      <w:proofErr w:type="spellEnd"/>
      <w:r w:rsidR="00A204EB">
        <w:t xml:space="preserve"> cultures (non-salmonella). Once again, as demonstrated in Figure 3</w:t>
      </w:r>
      <w:r w:rsidR="00862D65">
        <w:t>,</w:t>
      </w:r>
      <w:r w:rsidR="00A204EB">
        <w:t xml:space="preserve"> both machines performed </w:t>
      </w:r>
      <w:r w:rsidR="00862D65">
        <w:t>similarly</w:t>
      </w:r>
      <w:r w:rsidR="00A204EB">
        <w:t xml:space="preserve"> with no </w:t>
      </w:r>
      <w:r w:rsidR="00A204EB" w:rsidRPr="00747FC9">
        <w:rPr>
          <w:i/>
        </w:rPr>
        <w:t>OriC</w:t>
      </w:r>
      <w:r w:rsidR="00A204EB">
        <w:t xml:space="preserve"> amplification detected in any of the samples. As with the salmonella </w:t>
      </w:r>
      <w:proofErr w:type="spellStart"/>
      <w:r w:rsidR="00A204EB">
        <w:t>experiements</w:t>
      </w:r>
      <w:proofErr w:type="spellEnd"/>
      <w:r w:rsidR="00862D65">
        <w:t>,</w:t>
      </w:r>
      <w:r w:rsidR="00A204EB">
        <w:t xml:space="preserve"> the ABI 7500 displayed an increased sensitivity to the </w:t>
      </w:r>
      <w:proofErr w:type="spellStart"/>
      <w:r w:rsidR="00A204EB">
        <w:t>SmartCycler</w:t>
      </w:r>
      <w:proofErr w:type="spellEnd"/>
      <w:r w:rsidR="00A204EB">
        <w:t xml:space="preserve"> </w:t>
      </w:r>
      <w:proofErr w:type="gramStart"/>
      <w:r w:rsidR="00862D65">
        <w:t xml:space="preserve">for </w:t>
      </w:r>
      <w:r w:rsidR="00A204EB">
        <w:t xml:space="preserve"> </w:t>
      </w:r>
      <w:proofErr w:type="spellStart"/>
      <w:r w:rsidR="00A204EB" w:rsidRPr="00747FC9">
        <w:rPr>
          <w:i/>
        </w:rPr>
        <w:t>gfp</w:t>
      </w:r>
      <w:proofErr w:type="spellEnd"/>
      <w:proofErr w:type="gramEnd"/>
      <w:r w:rsidR="00A204EB" w:rsidRPr="00747FC9">
        <w:rPr>
          <w:i/>
        </w:rPr>
        <w:t xml:space="preserve"> </w:t>
      </w:r>
      <w:r w:rsidR="00862D65">
        <w:t>detection</w:t>
      </w:r>
      <w:r w:rsidR="00A204EB">
        <w:t>.</w:t>
      </w:r>
    </w:p>
    <w:p w14:paraId="4DD7D6C3" w14:textId="41D02F4B" w:rsidR="006735C8" w:rsidRDefault="00862D65" w:rsidP="00862D65">
      <w:pPr>
        <w:ind w:left="43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4D8F7B" wp14:editId="684040B2">
                <wp:simplePos x="0" y="0"/>
                <wp:positionH relativeFrom="margin">
                  <wp:align>left</wp:align>
                </wp:positionH>
                <wp:positionV relativeFrom="paragraph">
                  <wp:posOffset>662939</wp:posOffset>
                </wp:positionV>
                <wp:extent cx="2952750" cy="1743075"/>
                <wp:effectExtent l="0" t="0" r="0" b="952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0" cy="1743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3F2E32" w14:textId="216C3041" w:rsidR="00747FC9" w:rsidRPr="00862D65" w:rsidRDefault="00747FC9" w:rsidP="00862D65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862D65">
                              <w:rPr>
                                <w:b/>
                                <w:sz w:val="20"/>
                                <w:szCs w:val="20"/>
                              </w:rPr>
                              <w:t xml:space="preserve">Figure 3. </w:t>
                            </w:r>
                            <w:r w:rsidRPr="00747FC9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OriC</w:t>
                            </w:r>
                            <w:r w:rsidRPr="00862D65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amplification was not detected in ‘non-salmonella’ bacteria by either the ABI 6500 or the </w:t>
                            </w:r>
                            <w:proofErr w:type="spellStart"/>
                            <w:r w:rsidRPr="00862D65">
                              <w:rPr>
                                <w:b/>
                                <w:sz w:val="20"/>
                                <w:szCs w:val="20"/>
                              </w:rPr>
                              <w:t>SmartCycler</w:t>
                            </w:r>
                            <w:proofErr w:type="spellEnd"/>
                            <w:r w:rsidRPr="00862D65">
                              <w:rPr>
                                <w:b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67A84442" w14:textId="27ED612C" w:rsidR="00747FC9" w:rsidRPr="00DE0EA4" w:rsidRDefault="00747FC9" w:rsidP="00862D6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DE0EA4">
                              <w:rPr>
                                <w:sz w:val="18"/>
                                <w:szCs w:val="18"/>
                              </w:rPr>
                              <w:t xml:space="preserve">DNA extracts from ten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different bacteria cultures</w:t>
                            </w:r>
                            <w:r w:rsidRPr="00DE0EA4">
                              <w:rPr>
                                <w:sz w:val="18"/>
                                <w:szCs w:val="18"/>
                              </w:rPr>
                              <w:t xml:space="preserve"> were assayed for </w:t>
                            </w:r>
                            <w:proofErr w:type="gramStart"/>
                            <w:r w:rsidRPr="00747FC9">
                              <w:rPr>
                                <w:i/>
                                <w:sz w:val="18"/>
                                <w:szCs w:val="18"/>
                              </w:rPr>
                              <w:t>OriC</w:t>
                            </w:r>
                            <w:r w:rsidRPr="00DE0EA4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filled symbols) </w:t>
                            </w:r>
                            <w:r w:rsidRPr="00DE0EA4">
                              <w:rPr>
                                <w:sz w:val="18"/>
                                <w:szCs w:val="18"/>
                              </w:rPr>
                              <w:t xml:space="preserve">and </w:t>
                            </w:r>
                            <w:proofErr w:type="spellStart"/>
                            <w:r w:rsidRPr="00747FC9">
                              <w:rPr>
                                <w:i/>
                                <w:sz w:val="18"/>
                                <w:szCs w:val="18"/>
                              </w:rPr>
                              <w:t>gfp</w:t>
                            </w:r>
                            <w:proofErr w:type="spellEnd"/>
                            <w:r w:rsidRPr="00DE0EA4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(open symbols) </w:t>
                            </w:r>
                            <w:r w:rsidRPr="00DE0EA4">
                              <w:rPr>
                                <w:sz w:val="18"/>
                                <w:szCs w:val="18"/>
                              </w:rPr>
                              <w:t xml:space="preserve">in parallel on both PCR machines. The </w:t>
                            </w:r>
                            <w:proofErr w:type="spellStart"/>
                            <w:r w:rsidRPr="00DE0EA4">
                              <w:rPr>
                                <w:sz w:val="18"/>
                                <w:szCs w:val="18"/>
                              </w:rPr>
                              <w:t>ct</w:t>
                            </w:r>
                            <w:proofErr w:type="spellEnd"/>
                            <w:r w:rsidRPr="00DE0EA4">
                              <w:rPr>
                                <w:sz w:val="18"/>
                                <w:szCs w:val="18"/>
                              </w:rPr>
                              <w:t xml:space="preserve"> values for each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sample</w:t>
                            </w:r>
                            <w:r w:rsidRPr="00DE0EA4">
                              <w:rPr>
                                <w:sz w:val="18"/>
                                <w:szCs w:val="18"/>
                              </w:rPr>
                              <w:t xml:space="preserve"> are plotted for the ABI 7500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(red) and the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SmartCycler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(blue</w:t>
                            </w:r>
                            <w:r w:rsidRPr="00DE0EA4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  <w:r w:rsidRPr="00DE0EA4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4E8404FB" w14:textId="77777777" w:rsidR="00747FC9" w:rsidRPr="00862D65" w:rsidRDefault="00747FC9" w:rsidP="00862D65"/>
                          <w:p w14:paraId="3F5A209D" w14:textId="77777777" w:rsidR="00747FC9" w:rsidRDefault="00747FC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D8F7B" id="Text Box 8" o:spid="_x0000_s1028" type="#_x0000_t202" style="position:absolute;left:0;text-align:left;margin-left:0;margin-top:52.2pt;width:232.5pt;height:137.2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" fillcolor="white [3201]" stroked="f" strokeweight=".5pt">
                <v:textbox>
                  <w:txbxContent>
                    <w:p w14:paraId="323F2E32" w14:textId="216C3041" w:rsidR="00747FC9" w:rsidRPr="00862D65" w:rsidRDefault="00747FC9" w:rsidP="00862D65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862D65">
                        <w:rPr>
                          <w:b/>
                          <w:sz w:val="20"/>
                          <w:szCs w:val="20"/>
                        </w:rPr>
                        <w:t xml:space="preserve">Figure 3. </w:t>
                      </w:r>
                      <w:r w:rsidRPr="00747FC9">
                        <w:rPr>
                          <w:b/>
                          <w:i/>
                          <w:sz w:val="20"/>
                          <w:szCs w:val="20"/>
                        </w:rPr>
                        <w:t>OriC</w:t>
                      </w:r>
                      <w:r w:rsidRPr="00862D65">
                        <w:rPr>
                          <w:b/>
                          <w:sz w:val="20"/>
                          <w:szCs w:val="20"/>
                        </w:rPr>
                        <w:t xml:space="preserve"> amplification was not detected in ‘non-salmonella’ bacteria by either the ABI 6500 or the </w:t>
                      </w:r>
                      <w:proofErr w:type="spellStart"/>
                      <w:r w:rsidRPr="00862D65">
                        <w:rPr>
                          <w:b/>
                          <w:sz w:val="20"/>
                          <w:szCs w:val="20"/>
                        </w:rPr>
                        <w:t>SmartCycler</w:t>
                      </w:r>
                      <w:proofErr w:type="spellEnd"/>
                      <w:r w:rsidRPr="00862D65">
                        <w:rPr>
                          <w:b/>
                          <w:sz w:val="20"/>
                          <w:szCs w:val="20"/>
                        </w:rPr>
                        <w:t>.</w:t>
                      </w:r>
                    </w:p>
                    <w:p w14:paraId="67A84442" w14:textId="27ED612C" w:rsidR="00747FC9" w:rsidRPr="00DE0EA4" w:rsidRDefault="00747FC9" w:rsidP="00862D6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DE0EA4">
                        <w:rPr>
                          <w:sz w:val="18"/>
                          <w:szCs w:val="18"/>
                        </w:rPr>
                        <w:t xml:space="preserve">DNA extracts from ten </w:t>
                      </w:r>
                      <w:r>
                        <w:rPr>
                          <w:sz w:val="18"/>
                          <w:szCs w:val="18"/>
                        </w:rPr>
                        <w:t>different bacteria cultures</w:t>
                      </w:r>
                      <w:r w:rsidRPr="00DE0EA4">
                        <w:rPr>
                          <w:sz w:val="18"/>
                          <w:szCs w:val="18"/>
                        </w:rPr>
                        <w:t xml:space="preserve"> were assayed for </w:t>
                      </w:r>
                      <w:proofErr w:type="gramStart"/>
                      <w:r w:rsidRPr="00747FC9">
                        <w:rPr>
                          <w:i/>
                          <w:sz w:val="18"/>
                          <w:szCs w:val="18"/>
                        </w:rPr>
                        <w:t>OriC</w:t>
                      </w:r>
                      <w:r w:rsidRPr="00DE0EA4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 xml:space="preserve"> (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 xml:space="preserve">filled symbols) </w:t>
                      </w:r>
                      <w:r w:rsidRPr="00DE0EA4">
                        <w:rPr>
                          <w:sz w:val="18"/>
                          <w:szCs w:val="18"/>
                        </w:rPr>
                        <w:t xml:space="preserve">and </w:t>
                      </w:r>
                      <w:proofErr w:type="spellStart"/>
                      <w:r w:rsidRPr="00747FC9">
                        <w:rPr>
                          <w:i/>
                          <w:sz w:val="18"/>
                          <w:szCs w:val="18"/>
                        </w:rPr>
                        <w:t>gfp</w:t>
                      </w:r>
                      <w:proofErr w:type="spellEnd"/>
                      <w:r w:rsidRPr="00DE0EA4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 xml:space="preserve">(open symbols) </w:t>
                      </w:r>
                      <w:r w:rsidRPr="00DE0EA4">
                        <w:rPr>
                          <w:sz w:val="18"/>
                          <w:szCs w:val="18"/>
                        </w:rPr>
                        <w:t xml:space="preserve">in parallel on both PCR machines. The </w:t>
                      </w:r>
                      <w:proofErr w:type="spellStart"/>
                      <w:r w:rsidRPr="00DE0EA4">
                        <w:rPr>
                          <w:sz w:val="18"/>
                          <w:szCs w:val="18"/>
                        </w:rPr>
                        <w:t>ct</w:t>
                      </w:r>
                      <w:proofErr w:type="spellEnd"/>
                      <w:r w:rsidRPr="00DE0EA4">
                        <w:rPr>
                          <w:sz w:val="18"/>
                          <w:szCs w:val="18"/>
                        </w:rPr>
                        <w:t xml:space="preserve"> values for each </w:t>
                      </w:r>
                      <w:r>
                        <w:rPr>
                          <w:sz w:val="18"/>
                          <w:szCs w:val="18"/>
                        </w:rPr>
                        <w:t>sample</w:t>
                      </w:r>
                      <w:r w:rsidRPr="00DE0EA4">
                        <w:rPr>
                          <w:sz w:val="18"/>
                          <w:szCs w:val="18"/>
                        </w:rPr>
                        <w:t xml:space="preserve"> are plotted for the ABI 7500 </w:t>
                      </w:r>
                      <w:r>
                        <w:rPr>
                          <w:sz w:val="18"/>
                          <w:szCs w:val="18"/>
                        </w:rPr>
                        <w:t xml:space="preserve">(red) and the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SmartCycler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(blue</w:t>
                      </w:r>
                      <w:r w:rsidRPr="00DE0EA4">
                        <w:rPr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sz w:val="18"/>
                          <w:szCs w:val="18"/>
                        </w:rPr>
                        <w:t>.</w:t>
                      </w:r>
                      <w:r w:rsidRPr="00DE0EA4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4E8404FB" w14:textId="77777777" w:rsidR="00747FC9" w:rsidRPr="00862D65" w:rsidRDefault="00747FC9" w:rsidP="00862D65"/>
                    <w:p w14:paraId="3F5A209D" w14:textId="77777777" w:rsidR="00747FC9" w:rsidRDefault="00747FC9"/>
                  </w:txbxContent>
                </v:textbox>
                <w10:wrap anchorx="margin"/>
              </v:shape>
            </w:pict>
          </mc:Fallback>
        </mc:AlternateContent>
      </w:r>
      <w:r>
        <w:t xml:space="preserve">   </w:t>
      </w:r>
      <w:r w:rsidR="00A204EB">
        <w:rPr>
          <w:noProof/>
        </w:rPr>
        <w:drawing>
          <wp:inline distT="0" distB="0" distL="0" distR="0" wp14:anchorId="6AC23E49" wp14:editId="4B24DECC">
            <wp:extent cx="2865916" cy="286163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14055" cy="290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AB0E2" w14:textId="6C4D8895" w:rsidR="00FA364A" w:rsidRPr="00FA364A" w:rsidRDefault="0086771C" w:rsidP="00FA364A">
      <w:r>
        <w:lastRenderedPageBreak/>
        <w:t xml:space="preserve">As an additional </w:t>
      </w:r>
      <w:proofErr w:type="gramStart"/>
      <w:r>
        <w:t>test</w:t>
      </w:r>
      <w:proofErr w:type="gramEnd"/>
      <w:r>
        <w:t xml:space="preserve"> we also examined the limit of detection </w:t>
      </w:r>
      <w:r w:rsidR="00BC55B9">
        <w:t xml:space="preserve">for </w:t>
      </w:r>
      <w:r w:rsidR="00BC55B9" w:rsidRPr="00747FC9">
        <w:rPr>
          <w:i/>
        </w:rPr>
        <w:t>OriC</w:t>
      </w:r>
      <w:r w:rsidR="00BC55B9">
        <w:t xml:space="preserve"> </w:t>
      </w:r>
      <w:r>
        <w:t xml:space="preserve">for the ABI 7500. To accomplish </w:t>
      </w:r>
      <w:proofErr w:type="gramStart"/>
      <w:r>
        <w:t>this</w:t>
      </w:r>
      <w:proofErr w:type="gramEnd"/>
      <w:r>
        <w:t xml:space="preserve"> we serially diluted one of the salmonella samples (</w:t>
      </w:r>
      <w:r w:rsidRPr="00975B1F">
        <w:rPr>
          <w:b/>
          <w:i/>
        </w:rPr>
        <w:t xml:space="preserve">S. </w:t>
      </w:r>
      <w:proofErr w:type="spellStart"/>
      <w:r w:rsidRPr="00975B1F">
        <w:rPr>
          <w:b/>
          <w:i/>
        </w:rPr>
        <w:t>enterica</w:t>
      </w:r>
      <w:proofErr w:type="spellEnd"/>
      <w:r w:rsidRPr="0086771C">
        <w:t>)</w:t>
      </w:r>
      <w:r>
        <w:t xml:space="preserve"> over a greater range (up to 1:10</w:t>
      </w:r>
      <w:r w:rsidRPr="0086771C">
        <w:rPr>
          <w:vertAlign w:val="superscript"/>
        </w:rPr>
        <w:t>8</w:t>
      </w:r>
      <w:r>
        <w:t>)</w:t>
      </w:r>
      <w:r w:rsidR="00BC55B9">
        <w:t xml:space="preserve"> and tested the dilutions</w:t>
      </w:r>
      <w:r w:rsidR="00FA364A">
        <w:t xml:space="preserve"> </w:t>
      </w:r>
      <w:r w:rsidR="00BC55B9">
        <w:t>for</w:t>
      </w:r>
      <w:r w:rsidR="00BC55B9" w:rsidRPr="00747FC9">
        <w:rPr>
          <w:i/>
        </w:rPr>
        <w:t xml:space="preserve"> OriC</w:t>
      </w:r>
      <w:r w:rsidR="00BC55B9">
        <w:t xml:space="preserve"> </w:t>
      </w:r>
      <w:proofErr w:type="spellStart"/>
      <w:r w:rsidR="00BC55B9">
        <w:t>amplication</w:t>
      </w:r>
      <w:proofErr w:type="spellEnd"/>
      <w:r w:rsidR="00FA364A">
        <w:t>, as described above</w:t>
      </w:r>
      <w:r w:rsidR="00BC55B9">
        <w:t>.</w:t>
      </w:r>
      <w:r w:rsidR="00FA364A">
        <w:t xml:space="preserve"> The total amount of DNA in the samples was estimated using a </w:t>
      </w:r>
      <w:proofErr w:type="spellStart"/>
      <w:r w:rsidR="00FA364A">
        <w:t>NanoDrop</w:t>
      </w:r>
      <w:proofErr w:type="spellEnd"/>
      <w:r w:rsidR="00FA364A">
        <w:t xml:space="preserve"> spectrophotometer to quantify the DNA in the undiluted sample (2.9 µg/ml) and calculating the expected amount for each dilution.</w:t>
      </w:r>
      <w:r w:rsidR="00BC55B9">
        <w:t xml:space="preserve"> Figure 4 plots the </w:t>
      </w:r>
      <w:proofErr w:type="spellStart"/>
      <w:r w:rsidR="00BC55B9">
        <w:t>ct</w:t>
      </w:r>
      <w:proofErr w:type="spellEnd"/>
      <w:r w:rsidR="00BC55B9">
        <w:t xml:space="preserve"> values for the various dilutions (plotted on a log scale). As seen in Fig 2 </w:t>
      </w:r>
      <w:r w:rsidR="00FA364A">
        <w:t>when plotted on a log scale there is a linear</w:t>
      </w:r>
      <w:r w:rsidR="00BC55B9">
        <w:t xml:space="preserve"> </w:t>
      </w:r>
      <w:proofErr w:type="spellStart"/>
      <w:r w:rsidR="00BC55B9">
        <w:t>realtonship</w:t>
      </w:r>
      <w:proofErr w:type="spellEnd"/>
      <w:r w:rsidR="00BC55B9">
        <w:t xml:space="preserve"> </w:t>
      </w:r>
      <w:r w:rsidR="00FA364A">
        <w:t>between</w:t>
      </w:r>
      <w:r w:rsidR="00BC55B9">
        <w:t xml:space="preserve"> the increase in </w:t>
      </w:r>
      <w:proofErr w:type="spellStart"/>
      <w:r w:rsidR="00BC55B9">
        <w:t>ct</w:t>
      </w:r>
      <w:proofErr w:type="spellEnd"/>
      <w:r w:rsidR="00BC55B9">
        <w:t xml:space="preserve"> </w:t>
      </w:r>
      <w:r w:rsidR="00FA364A">
        <w:t>and the</w:t>
      </w:r>
      <w:r w:rsidR="00BC55B9">
        <w:t xml:space="preserve"> </w:t>
      </w:r>
      <w:r w:rsidR="00FA364A">
        <w:t xml:space="preserve">amount of dilution over this range. The assay was performed </w:t>
      </w:r>
      <w:r w:rsidR="00747FC9">
        <w:t xml:space="preserve">in duplicate </w:t>
      </w:r>
      <w:r w:rsidR="00FA364A">
        <w:t xml:space="preserve">on the same samples with similar results. In one case </w:t>
      </w:r>
      <w:r w:rsidR="00FA364A" w:rsidRPr="00747FC9">
        <w:rPr>
          <w:i/>
        </w:rPr>
        <w:t>OriC</w:t>
      </w:r>
      <w:r w:rsidR="00FA364A">
        <w:t xml:space="preserve"> detection was seen in a 1:1000,000 dilution (containing approximately 0.03 ng/ml total DNA).</w:t>
      </w:r>
    </w:p>
    <w:p w14:paraId="33B2668D" w14:textId="0F25302D" w:rsidR="00BC55B9" w:rsidRDefault="00FA364A" w:rsidP="00A41BE4">
      <w:r>
        <w:t xml:space="preserve"> </w:t>
      </w:r>
    </w:p>
    <w:p w14:paraId="41538DBF" w14:textId="34B92C3C" w:rsidR="0086771C" w:rsidRDefault="00747FC9" w:rsidP="00BC55B9">
      <w:pPr>
        <w:ind w:left="720" w:firstLine="720"/>
      </w:pPr>
      <w:r w:rsidRPr="00747FC9"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98E269" wp14:editId="5585AA70">
                <wp:simplePos x="0" y="0"/>
                <wp:positionH relativeFrom="margin">
                  <wp:align>left</wp:align>
                </wp:positionH>
                <wp:positionV relativeFrom="paragraph">
                  <wp:posOffset>3611245</wp:posOffset>
                </wp:positionV>
                <wp:extent cx="5753100" cy="12573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12573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3E9ACE" w14:textId="77777777" w:rsidR="00747FC9" w:rsidRPr="00BC55B9" w:rsidRDefault="00747FC9" w:rsidP="00747FC9">
                            <w:pPr>
                              <w:rPr>
                                <w:b/>
                              </w:rPr>
                            </w:pPr>
                            <w:r w:rsidRPr="00BC55B9">
                              <w:rPr>
                                <w:b/>
                              </w:rPr>
                              <w:t xml:space="preserve">Figure 4. The ABI 7500 detected </w:t>
                            </w:r>
                            <w:r w:rsidRPr="00747FC9">
                              <w:rPr>
                                <w:b/>
                                <w:i/>
                              </w:rPr>
                              <w:t>OriC</w:t>
                            </w:r>
                            <w:r w:rsidRPr="00BC55B9">
                              <w:rPr>
                                <w:b/>
                              </w:rPr>
                              <w:t xml:space="preserve"> amplification in a salmonella DNA extract diluted up to 1:1000,000.</w:t>
                            </w:r>
                          </w:p>
                          <w:p w14:paraId="267B8B5C" w14:textId="133B615D" w:rsidR="00747FC9" w:rsidRPr="00DE0EA4" w:rsidRDefault="00747FC9" w:rsidP="00747FC9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DE0EA4">
                              <w:rPr>
                                <w:sz w:val="18"/>
                                <w:szCs w:val="18"/>
                              </w:rPr>
                              <w:t xml:space="preserve">Serially diluted DNA extracts from </w:t>
                            </w:r>
                            <w:r w:rsidRPr="00747FC9">
                              <w:rPr>
                                <w:i/>
                                <w:sz w:val="18"/>
                                <w:szCs w:val="18"/>
                              </w:rPr>
                              <w:t xml:space="preserve">S. </w:t>
                            </w:r>
                            <w:proofErr w:type="spellStart"/>
                            <w:r w:rsidRPr="00747FC9">
                              <w:rPr>
                                <w:i/>
                                <w:sz w:val="18"/>
                                <w:szCs w:val="18"/>
                              </w:rPr>
                              <w:t>enterica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up to</w:t>
                            </w:r>
                            <w:r w:rsidR="008A36E3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a dilution 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of  1:10</w:t>
                            </w:r>
                            <w:r w:rsidRPr="00747FC9">
                              <w:rPr>
                                <w:sz w:val="18"/>
                                <w:szCs w:val="18"/>
                                <w:vertAlign w:val="superscript"/>
                              </w:rPr>
                              <w:t>8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E0EA4">
                              <w:rPr>
                                <w:sz w:val="18"/>
                                <w:szCs w:val="18"/>
                              </w:rPr>
                              <w:t xml:space="preserve"> were assayed for </w:t>
                            </w:r>
                            <w:r w:rsidRPr="0009324C">
                              <w:rPr>
                                <w:i/>
                                <w:sz w:val="18"/>
                                <w:szCs w:val="18"/>
                              </w:rPr>
                              <w:t>OriC</w:t>
                            </w:r>
                            <w:r w:rsidRPr="00DE0EA4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09324C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on</w:t>
                            </w:r>
                            <w:r w:rsidRPr="00DE0EA4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the </w:t>
                            </w:r>
                            <w:r w:rsidRPr="00DE0EA4">
                              <w:rPr>
                                <w:sz w:val="18"/>
                                <w:szCs w:val="18"/>
                              </w:rPr>
                              <w:t>ABI 7500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. Duplicate runs were performed and the </w:t>
                            </w:r>
                            <w:proofErr w:type="spellStart"/>
                            <w:r w:rsidR="008A36E3">
                              <w:rPr>
                                <w:sz w:val="18"/>
                                <w:szCs w:val="18"/>
                              </w:rPr>
                              <w:t>ct</w:t>
                            </w:r>
                            <w:proofErr w:type="spellEnd"/>
                            <w:r w:rsidR="008A36E3">
                              <w:rPr>
                                <w:sz w:val="18"/>
                                <w:szCs w:val="18"/>
                              </w:rPr>
                              <w:t xml:space="preserve"> values for the </w:t>
                            </w:r>
                            <w:r w:rsidR="008A36E3" w:rsidRPr="008A36E3">
                              <w:rPr>
                                <w:i/>
                                <w:sz w:val="18"/>
                                <w:szCs w:val="18"/>
                              </w:rPr>
                              <w:t xml:space="preserve">OriC </w:t>
                            </w:r>
                            <w:r w:rsidR="008A36E3">
                              <w:rPr>
                                <w:sz w:val="18"/>
                                <w:szCs w:val="18"/>
                              </w:rPr>
                              <w:t xml:space="preserve">assay </w:t>
                            </w:r>
                            <w:r w:rsidR="0009324C">
                              <w:rPr>
                                <w:sz w:val="18"/>
                                <w:szCs w:val="18"/>
                              </w:rPr>
                              <w:t>are plotted here for samples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09324C">
                              <w:rPr>
                                <w:sz w:val="18"/>
                                <w:szCs w:val="18"/>
                              </w:rPr>
                              <w:t>in which</w:t>
                            </w:r>
                            <w:r w:rsidR="0009324C" w:rsidRPr="0009324C">
                              <w:rPr>
                                <w:i/>
                                <w:sz w:val="18"/>
                                <w:szCs w:val="18"/>
                              </w:rPr>
                              <w:t xml:space="preserve"> OriC</w:t>
                            </w:r>
                            <w:r w:rsidR="0009324C">
                              <w:rPr>
                                <w:sz w:val="18"/>
                                <w:szCs w:val="18"/>
                              </w:rPr>
                              <w:t xml:space="preserve"> amplification was detected.</w:t>
                            </w:r>
                            <w:r w:rsidR="008A36E3">
                              <w:rPr>
                                <w:sz w:val="18"/>
                                <w:szCs w:val="18"/>
                              </w:rPr>
                              <w:t xml:space="preserve"> I</w:t>
                            </w:r>
                            <w:r w:rsidR="0009324C">
                              <w:rPr>
                                <w:sz w:val="18"/>
                                <w:szCs w:val="18"/>
                              </w:rPr>
                              <w:t xml:space="preserve">nternal control </w:t>
                            </w:r>
                            <w:r w:rsidR="008A36E3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="0009324C" w:rsidRPr="0009324C">
                              <w:rPr>
                                <w:i/>
                                <w:sz w:val="18"/>
                                <w:szCs w:val="18"/>
                              </w:rPr>
                              <w:t>gfp</w:t>
                            </w:r>
                            <w:proofErr w:type="spellEnd"/>
                            <w:r w:rsidR="008A36E3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  <w:r w:rsidR="0009324C" w:rsidRPr="0009324C">
                              <w:rPr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09324C">
                              <w:rPr>
                                <w:sz w:val="18"/>
                                <w:szCs w:val="18"/>
                              </w:rPr>
                              <w:t>amplification was detected as expected in all samples (data not shown).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8E269" id="Text Box 9" o:spid="_x0000_s1029" type="#_x0000_t202" style="position:absolute;left:0;text-align:left;margin-left:0;margin-top:284.35pt;width:453pt;height:99pt;z-index:25166438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" fillcolor="window" stroked="f" strokeweight=".5pt">
                <v:textbox>
                  <w:txbxContent>
                    <w:p w14:paraId="7D3E9ACE" w14:textId="77777777" w:rsidR="00747FC9" w:rsidRPr="00BC55B9" w:rsidRDefault="00747FC9" w:rsidP="00747FC9">
                      <w:pPr>
                        <w:rPr>
                          <w:b/>
                        </w:rPr>
                      </w:pPr>
                      <w:r w:rsidRPr="00BC55B9">
                        <w:rPr>
                          <w:b/>
                        </w:rPr>
                        <w:t xml:space="preserve">Figure 4. The ABI 7500 detected </w:t>
                      </w:r>
                      <w:r w:rsidRPr="00747FC9">
                        <w:rPr>
                          <w:b/>
                          <w:i/>
                        </w:rPr>
                        <w:t>OriC</w:t>
                      </w:r>
                      <w:r w:rsidRPr="00BC55B9">
                        <w:rPr>
                          <w:b/>
                        </w:rPr>
                        <w:t xml:space="preserve"> amplification in a salmonella DNA extract diluted up to 1:1000,000.</w:t>
                      </w:r>
                    </w:p>
                    <w:p w14:paraId="267B8B5C" w14:textId="133B615D" w:rsidR="00747FC9" w:rsidRPr="00DE0EA4" w:rsidRDefault="00747FC9" w:rsidP="00747FC9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DE0EA4">
                        <w:rPr>
                          <w:sz w:val="18"/>
                          <w:szCs w:val="18"/>
                        </w:rPr>
                        <w:t xml:space="preserve">Serially diluted DNA extracts from </w:t>
                      </w:r>
                      <w:r w:rsidRPr="00747FC9">
                        <w:rPr>
                          <w:i/>
                          <w:sz w:val="18"/>
                          <w:szCs w:val="18"/>
                        </w:rPr>
                        <w:t xml:space="preserve">S. </w:t>
                      </w:r>
                      <w:proofErr w:type="spellStart"/>
                      <w:r w:rsidRPr="00747FC9">
                        <w:rPr>
                          <w:i/>
                          <w:sz w:val="18"/>
                          <w:szCs w:val="18"/>
                        </w:rPr>
                        <w:t>enterica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up to</w:t>
                      </w:r>
                      <w:r w:rsidR="008A36E3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 xml:space="preserve">a dilution 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of  1:10</w:t>
                      </w:r>
                      <w:r w:rsidRPr="00747FC9">
                        <w:rPr>
                          <w:sz w:val="18"/>
                          <w:szCs w:val="18"/>
                          <w:vertAlign w:val="superscript"/>
                        </w:rPr>
                        <w:t>8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DE0EA4">
                        <w:rPr>
                          <w:sz w:val="18"/>
                          <w:szCs w:val="18"/>
                        </w:rPr>
                        <w:t xml:space="preserve"> were assayed for </w:t>
                      </w:r>
                      <w:r w:rsidRPr="0009324C">
                        <w:rPr>
                          <w:i/>
                          <w:sz w:val="18"/>
                          <w:szCs w:val="18"/>
                        </w:rPr>
                        <w:t>OriC</w:t>
                      </w:r>
                      <w:r w:rsidRPr="00DE0EA4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09324C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on</w:t>
                      </w:r>
                      <w:r w:rsidRPr="00DE0EA4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 xml:space="preserve">the </w:t>
                      </w:r>
                      <w:r w:rsidRPr="00DE0EA4">
                        <w:rPr>
                          <w:sz w:val="18"/>
                          <w:szCs w:val="18"/>
                        </w:rPr>
                        <w:t>ABI 7500</w:t>
                      </w:r>
                      <w:r>
                        <w:rPr>
                          <w:sz w:val="18"/>
                          <w:szCs w:val="18"/>
                        </w:rPr>
                        <w:t xml:space="preserve">. Duplicate runs were performed and the </w:t>
                      </w:r>
                      <w:proofErr w:type="spellStart"/>
                      <w:r w:rsidR="008A36E3">
                        <w:rPr>
                          <w:sz w:val="18"/>
                          <w:szCs w:val="18"/>
                        </w:rPr>
                        <w:t>ct</w:t>
                      </w:r>
                      <w:proofErr w:type="spellEnd"/>
                      <w:r w:rsidR="008A36E3">
                        <w:rPr>
                          <w:sz w:val="18"/>
                          <w:szCs w:val="18"/>
                        </w:rPr>
                        <w:t xml:space="preserve"> values for the </w:t>
                      </w:r>
                      <w:r w:rsidR="008A36E3" w:rsidRPr="008A36E3">
                        <w:rPr>
                          <w:i/>
                          <w:sz w:val="18"/>
                          <w:szCs w:val="18"/>
                        </w:rPr>
                        <w:t xml:space="preserve">OriC </w:t>
                      </w:r>
                      <w:r w:rsidR="008A36E3">
                        <w:rPr>
                          <w:sz w:val="18"/>
                          <w:szCs w:val="18"/>
                        </w:rPr>
                        <w:t xml:space="preserve">assay </w:t>
                      </w:r>
                      <w:r w:rsidR="0009324C">
                        <w:rPr>
                          <w:sz w:val="18"/>
                          <w:szCs w:val="18"/>
                        </w:rPr>
                        <w:t>are plotted here for samples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09324C">
                        <w:rPr>
                          <w:sz w:val="18"/>
                          <w:szCs w:val="18"/>
                        </w:rPr>
                        <w:t>in which</w:t>
                      </w:r>
                      <w:r w:rsidR="0009324C" w:rsidRPr="0009324C">
                        <w:rPr>
                          <w:i/>
                          <w:sz w:val="18"/>
                          <w:szCs w:val="18"/>
                        </w:rPr>
                        <w:t xml:space="preserve"> OriC</w:t>
                      </w:r>
                      <w:r w:rsidR="0009324C">
                        <w:rPr>
                          <w:sz w:val="18"/>
                          <w:szCs w:val="18"/>
                        </w:rPr>
                        <w:t xml:space="preserve"> amplification was detected.</w:t>
                      </w:r>
                      <w:r w:rsidR="008A36E3">
                        <w:rPr>
                          <w:sz w:val="18"/>
                          <w:szCs w:val="18"/>
                        </w:rPr>
                        <w:t xml:space="preserve"> I</w:t>
                      </w:r>
                      <w:r w:rsidR="0009324C">
                        <w:rPr>
                          <w:sz w:val="18"/>
                          <w:szCs w:val="18"/>
                        </w:rPr>
                        <w:t xml:space="preserve">nternal control </w:t>
                      </w:r>
                      <w:r w:rsidR="008A36E3">
                        <w:rPr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="0009324C" w:rsidRPr="0009324C">
                        <w:rPr>
                          <w:i/>
                          <w:sz w:val="18"/>
                          <w:szCs w:val="18"/>
                        </w:rPr>
                        <w:t>gfp</w:t>
                      </w:r>
                      <w:proofErr w:type="spellEnd"/>
                      <w:r w:rsidR="008A36E3">
                        <w:rPr>
                          <w:sz w:val="18"/>
                          <w:szCs w:val="18"/>
                        </w:rPr>
                        <w:t>)</w:t>
                      </w:r>
                      <w:r w:rsidR="0009324C" w:rsidRPr="0009324C">
                        <w:rPr>
                          <w:i/>
                          <w:sz w:val="18"/>
                          <w:szCs w:val="18"/>
                        </w:rPr>
                        <w:t xml:space="preserve"> </w:t>
                      </w:r>
                      <w:r w:rsidR="0009324C">
                        <w:rPr>
                          <w:sz w:val="18"/>
                          <w:szCs w:val="18"/>
                        </w:rPr>
                        <w:t>amplification was detected as expected in all samples (data not shown).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C55B9">
        <w:rPr>
          <w:noProof/>
        </w:rPr>
        <w:drawing>
          <wp:inline distT="0" distB="0" distL="0" distR="0" wp14:anchorId="6BEE5E3C" wp14:editId="7067A385">
            <wp:extent cx="3462754" cy="3457575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70186" cy="346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A0E7B" w14:textId="0F89CE39" w:rsidR="00FA364A" w:rsidRDefault="00FA364A" w:rsidP="00A41BE4">
      <w:pPr>
        <w:rPr>
          <w:color w:val="FF0000"/>
        </w:rPr>
      </w:pPr>
    </w:p>
    <w:p w14:paraId="718241C1" w14:textId="47018268" w:rsidR="00FA364A" w:rsidRDefault="00FA364A" w:rsidP="00A41BE4">
      <w:pPr>
        <w:rPr>
          <w:color w:val="FF0000"/>
        </w:rPr>
      </w:pPr>
    </w:p>
    <w:p w14:paraId="1FF4A580" w14:textId="72082C8D" w:rsidR="00747FC9" w:rsidRDefault="00747FC9" w:rsidP="00A41BE4">
      <w:pPr>
        <w:rPr>
          <w:color w:val="FF0000"/>
        </w:rPr>
      </w:pPr>
    </w:p>
    <w:p w14:paraId="3EA214F5" w14:textId="77777777" w:rsidR="00747FC9" w:rsidRDefault="00747FC9" w:rsidP="00A41BE4">
      <w:pPr>
        <w:rPr>
          <w:color w:val="FF0000"/>
        </w:rPr>
      </w:pPr>
    </w:p>
    <w:p w14:paraId="4FAB0F07" w14:textId="6BF056C4" w:rsidR="00215216" w:rsidRDefault="00DF06A8" w:rsidP="00DD75BF">
      <w:pPr>
        <w:pStyle w:val="Heading1"/>
        <w:spacing w:before="0"/>
      </w:pPr>
      <w:r>
        <w:t>Conclusion</w:t>
      </w:r>
    </w:p>
    <w:p w14:paraId="23C5A314" w14:textId="77777777" w:rsidR="00747FC9" w:rsidRDefault="00747FC9" w:rsidP="00215216">
      <w:pPr>
        <w:rPr>
          <w:color w:val="FF0000"/>
        </w:rPr>
      </w:pPr>
    </w:p>
    <w:p w14:paraId="4221DA05" w14:textId="042F4062" w:rsidR="00215216" w:rsidRPr="0040726D" w:rsidRDefault="00215216" w:rsidP="00215216">
      <w:pPr>
        <w:rPr>
          <w:color w:val="FF0000"/>
        </w:rPr>
      </w:pPr>
      <w:r w:rsidRPr="0040726D">
        <w:rPr>
          <w:color w:val="FF0000"/>
        </w:rPr>
        <w:t xml:space="preserve">Given that modifications to the method are unlikely we propose that a simple parallel study be conducted as described above and that should the results of the study show no discernable difference in </w:t>
      </w:r>
      <w:r w:rsidRPr="0040726D">
        <w:rPr>
          <w:color w:val="FF0000"/>
        </w:rPr>
        <w:lastRenderedPageBreak/>
        <w:t>switching platforms, that the method modification be approved on the merits of the parallel study alone.</w:t>
      </w:r>
    </w:p>
    <w:p w14:paraId="219C6143" w14:textId="31C43827" w:rsidR="0040269E" w:rsidRDefault="00023F8E" w:rsidP="00DD75BF">
      <w:pPr>
        <w:pStyle w:val="Heading1"/>
        <w:spacing w:before="0"/>
      </w:pPr>
      <w:r w:rsidRPr="0033338F">
        <w:t>References</w:t>
      </w:r>
    </w:p>
    <w:p w14:paraId="219C6144" w14:textId="01DE7263" w:rsidR="00765A22" w:rsidRPr="00215216" w:rsidRDefault="00215216" w:rsidP="00765A22">
      <w:r>
        <w:t>[Current Method SOP]</w:t>
      </w:r>
    </w:p>
    <w:p w14:paraId="3CA46EF8" w14:textId="7022D25B" w:rsidR="004361FD" w:rsidRDefault="00A704CA" w:rsidP="00215216">
      <w:pPr>
        <w:pStyle w:val="Heading1"/>
        <w:spacing w:before="0"/>
      </w:pPr>
      <w:r>
        <w:t>Supplemental Information</w:t>
      </w:r>
    </w:p>
    <w:p w14:paraId="42FF427E" w14:textId="44F0F837" w:rsidR="00A07FFA" w:rsidRDefault="00A07FFA" w:rsidP="00130F1D">
      <w:pPr>
        <w:rPr>
          <w:b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003"/>
        <w:gridCol w:w="459"/>
        <w:gridCol w:w="459"/>
        <w:gridCol w:w="461"/>
        <w:gridCol w:w="517"/>
        <w:gridCol w:w="459"/>
        <w:gridCol w:w="459"/>
        <w:gridCol w:w="461"/>
        <w:gridCol w:w="517"/>
        <w:gridCol w:w="569"/>
        <w:gridCol w:w="569"/>
        <w:gridCol w:w="569"/>
        <w:gridCol w:w="569"/>
        <w:gridCol w:w="569"/>
        <w:gridCol w:w="570"/>
        <w:gridCol w:w="570"/>
        <w:gridCol w:w="570"/>
      </w:tblGrid>
      <w:tr w:rsidR="00846CEF" w:rsidRPr="00846CEF" w14:paraId="4A5FF374" w14:textId="77777777" w:rsidTr="00ED7272">
        <w:trPr>
          <w:trHeight w:val="142"/>
        </w:trPr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FCB03" w14:textId="77777777" w:rsidR="00846CEF" w:rsidRPr="00846CEF" w:rsidRDefault="00846CEF" w:rsidP="00846CEF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048" w:type="pct"/>
            <w:gridSpan w:val="8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C0602" w14:textId="77777777" w:rsidR="00846CEF" w:rsidRPr="00846CEF" w:rsidRDefault="00846CEF" w:rsidP="00846C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2"/>
                <w:szCs w:val="12"/>
              </w:rPr>
            </w:pPr>
            <w:proofErr w:type="spellStart"/>
            <w:r w:rsidRPr="00846CEF">
              <w:rPr>
                <w:rFonts w:ascii="Calibri" w:eastAsia="Times New Roman" w:hAnsi="Calibri" w:cs="Times New Roman"/>
                <w:b/>
                <w:bCs/>
                <w:color w:val="000000"/>
                <w:sz w:val="12"/>
                <w:szCs w:val="12"/>
              </w:rPr>
              <w:t>SmartCycler</w:t>
            </w:r>
            <w:proofErr w:type="spellEnd"/>
          </w:p>
        </w:tc>
        <w:tc>
          <w:tcPr>
            <w:tcW w:w="2456" w:type="pct"/>
            <w:gridSpan w:val="8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87F6559" w14:textId="77777777" w:rsidR="00846CEF" w:rsidRPr="00846CEF" w:rsidRDefault="00846CEF" w:rsidP="00846C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2"/>
                <w:szCs w:val="12"/>
              </w:rPr>
            </w:pPr>
            <w:r w:rsidRPr="00846CEF">
              <w:rPr>
                <w:rFonts w:ascii="Calibri" w:eastAsia="Times New Roman" w:hAnsi="Calibri" w:cs="Times New Roman"/>
                <w:b/>
                <w:bCs/>
                <w:color w:val="000000"/>
                <w:sz w:val="12"/>
                <w:szCs w:val="12"/>
              </w:rPr>
              <w:t>ABI 7500</w:t>
            </w:r>
          </w:p>
        </w:tc>
      </w:tr>
      <w:tr w:rsidR="00846CEF" w:rsidRPr="00846CEF" w14:paraId="687677E5" w14:textId="77777777" w:rsidTr="00846CEF">
        <w:trPr>
          <w:trHeight w:val="160"/>
        </w:trPr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B872D" w14:textId="77777777" w:rsidR="00846CEF" w:rsidRPr="00846CEF" w:rsidRDefault="00846CEF" w:rsidP="00846C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1024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4DA19C" w14:textId="77777777" w:rsidR="00846CEF" w:rsidRPr="00846CEF" w:rsidRDefault="00846CEF" w:rsidP="00846C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2"/>
                <w:szCs w:val="12"/>
              </w:rPr>
            </w:pPr>
            <w:r w:rsidRPr="00846CEF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2"/>
                <w:szCs w:val="12"/>
              </w:rPr>
              <w:t>OriC</w:t>
            </w:r>
          </w:p>
        </w:tc>
        <w:tc>
          <w:tcPr>
            <w:tcW w:w="1024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C3DDCD3" w14:textId="77777777" w:rsidR="00846CEF" w:rsidRPr="00846CEF" w:rsidRDefault="00846CEF" w:rsidP="00846C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2"/>
                <w:szCs w:val="12"/>
              </w:rPr>
            </w:pPr>
            <w:r w:rsidRPr="00846CEF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2"/>
                <w:szCs w:val="12"/>
              </w:rPr>
              <w:t>GFP</w:t>
            </w:r>
          </w:p>
        </w:tc>
        <w:tc>
          <w:tcPr>
            <w:tcW w:w="1228" w:type="pct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4D6DEF" w14:textId="77777777" w:rsidR="00846CEF" w:rsidRPr="00846CEF" w:rsidRDefault="00846CEF" w:rsidP="00846C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2"/>
                <w:szCs w:val="12"/>
              </w:rPr>
            </w:pPr>
            <w:r w:rsidRPr="00846CEF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2"/>
                <w:szCs w:val="12"/>
              </w:rPr>
              <w:t>OriC</w:t>
            </w:r>
          </w:p>
        </w:tc>
        <w:tc>
          <w:tcPr>
            <w:tcW w:w="1228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17F3739" w14:textId="77777777" w:rsidR="00846CEF" w:rsidRPr="00846CEF" w:rsidRDefault="00846CEF" w:rsidP="00846C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2"/>
                <w:szCs w:val="12"/>
              </w:rPr>
            </w:pPr>
            <w:r w:rsidRPr="00846CEF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2"/>
                <w:szCs w:val="12"/>
              </w:rPr>
              <w:t>GFP</w:t>
            </w:r>
          </w:p>
        </w:tc>
      </w:tr>
      <w:tr w:rsidR="00846CEF" w:rsidRPr="00846CEF" w14:paraId="2C5F28E3" w14:textId="77777777" w:rsidTr="00975385">
        <w:trPr>
          <w:trHeight w:val="160"/>
        </w:trPr>
        <w:tc>
          <w:tcPr>
            <w:tcW w:w="49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E28581" w14:textId="77777777" w:rsidR="00846CEF" w:rsidRPr="00846CEF" w:rsidRDefault="00846CEF" w:rsidP="00846CE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2"/>
                <w:szCs w:val="12"/>
              </w:rPr>
            </w:pPr>
            <w:r w:rsidRPr="00846CEF">
              <w:rPr>
                <w:rFonts w:ascii="Calibri" w:eastAsia="Times New Roman" w:hAnsi="Calibri" w:cs="Times New Roman"/>
                <w:b/>
                <w:bCs/>
                <w:color w:val="000000"/>
                <w:sz w:val="12"/>
                <w:szCs w:val="12"/>
              </w:rPr>
              <w:t>Salmonella spp.</w:t>
            </w:r>
          </w:p>
        </w:tc>
        <w:tc>
          <w:tcPr>
            <w:tcW w:w="24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285C43" w14:textId="7569DC26" w:rsidR="00846CEF" w:rsidRPr="00846CEF" w:rsidRDefault="00846CEF" w:rsidP="00846CEF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10"/>
                <w:szCs w:val="10"/>
              </w:rPr>
            </w:pPr>
            <w:r w:rsidRPr="00ED7272">
              <w:rPr>
                <w:rFonts w:ascii="Calibri" w:eastAsia="Times New Roman" w:hAnsi="Calibri" w:cs="Times New Roman"/>
                <w:b/>
                <w:color w:val="000000"/>
                <w:sz w:val="10"/>
                <w:szCs w:val="10"/>
              </w:rPr>
              <w:t>1:1</w:t>
            </w:r>
          </w:p>
        </w:tc>
        <w:tc>
          <w:tcPr>
            <w:tcW w:w="24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684B3B" w14:textId="77777777" w:rsidR="00846CEF" w:rsidRPr="00846CEF" w:rsidRDefault="00846CEF" w:rsidP="00846CEF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10"/>
                <w:szCs w:val="10"/>
              </w:rPr>
            </w:pPr>
            <w:r w:rsidRPr="00846CEF">
              <w:rPr>
                <w:rFonts w:ascii="Calibri" w:eastAsia="Times New Roman" w:hAnsi="Calibri" w:cs="Times New Roman"/>
                <w:b/>
                <w:color w:val="000000"/>
                <w:sz w:val="10"/>
                <w:szCs w:val="10"/>
              </w:rPr>
              <w:t>1:10</w:t>
            </w:r>
          </w:p>
        </w:tc>
        <w:tc>
          <w:tcPr>
            <w:tcW w:w="24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1B0EEB" w14:textId="77777777" w:rsidR="00846CEF" w:rsidRPr="00846CEF" w:rsidRDefault="00846CEF" w:rsidP="00846CEF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10"/>
                <w:szCs w:val="10"/>
              </w:rPr>
            </w:pPr>
            <w:r w:rsidRPr="00846CEF">
              <w:rPr>
                <w:rFonts w:ascii="Calibri" w:eastAsia="Times New Roman" w:hAnsi="Calibri" w:cs="Times New Roman"/>
                <w:b/>
                <w:color w:val="000000"/>
                <w:sz w:val="10"/>
                <w:szCs w:val="10"/>
              </w:rPr>
              <w:t>1:100</w:t>
            </w:r>
          </w:p>
        </w:tc>
        <w:tc>
          <w:tcPr>
            <w:tcW w:w="27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182A35" w14:textId="77777777" w:rsidR="00846CEF" w:rsidRPr="00846CEF" w:rsidRDefault="00846CEF" w:rsidP="00846CEF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10"/>
                <w:szCs w:val="10"/>
              </w:rPr>
            </w:pPr>
            <w:r w:rsidRPr="00846CEF">
              <w:rPr>
                <w:rFonts w:ascii="Calibri" w:eastAsia="Times New Roman" w:hAnsi="Calibri" w:cs="Times New Roman"/>
                <w:b/>
                <w:color w:val="000000"/>
                <w:sz w:val="10"/>
                <w:szCs w:val="10"/>
              </w:rPr>
              <w:t>1:1000</w:t>
            </w:r>
          </w:p>
        </w:tc>
        <w:tc>
          <w:tcPr>
            <w:tcW w:w="24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180F1F" w14:textId="5F469C58" w:rsidR="00846CEF" w:rsidRPr="00846CEF" w:rsidRDefault="00846CEF" w:rsidP="00846CEF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10"/>
                <w:szCs w:val="10"/>
              </w:rPr>
            </w:pPr>
            <w:r w:rsidRPr="00ED7272">
              <w:rPr>
                <w:rFonts w:ascii="Calibri" w:eastAsia="Times New Roman" w:hAnsi="Calibri" w:cs="Times New Roman"/>
                <w:b/>
                <w:color w:val="000000"/>
                <w:sz w:val="10"/>
                <w:szCs w:val="10"/>
              </w:rPr>
              <w:t>1:1</w:t>
            </w:r>
          </w:p>
        </w:tc>
        <w:tc>
          <w:tcPr>
            <w:tcW w:w="24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08BFE5" w14:textId="77777777" w:rsidR="00846CEF" w:rsidRPr="00846CEF" w:rsidRDefault="00846CEF" w:rsidP="00846CEF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10"/>
                <w:szCs w:val="10"/>
              </w:rPr>
            </w:pPr>
            <w:r w:rsidRPr="00846CEF">
              <w:rPr>
                <w:rFonts w:ascii="Calibri" w:eastAsia="Times New Roman" w:hAnsi="Calibri" w:cs="Times New Roman"/>
                <w:b/>
                <w:color w:val="000000"/>
                <w:sz w:val="10"/>
                <w:szCs w:val="10"/>
              </w:rPr>
              <w:t>1:10</w:t>
            </w:r>
          </w:p>
        </w:tc>
        <w:tc>
          <w:tcPr>
            <w:tcW w:w="24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B6B7C5" w14:textId="77777777" w:rsidR="00846CEF" w:rsidRPr="00846CEF" w:rsidRDefault="00846CEF" w:rsidP="00846CEF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10"/>
                <w:szCs w:val="10"/>
              </w:rPr>
            </w:pPr>
            <w:r w:rsidRPr="00846CEF">
              <w:rPr>
                <w:rFonts w:ascii="Calibri" w:eastAsia="Times New Roman" w:hAnsi="Calibri" w:cs="Times New Roman"/>
                <w:b/>
                <w:color w:val="000000"/>
                <w:sz w:val="10"/>
                <w:szCs w:val="10"/>
              </w:rPr>
              <w:t>1:100</w:t>
            </w:r>
          </w:p>
        </w:tc>
        <w:tc>
          <w:tcPr>
            <w:tcW w:w="27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B4C99E" w14:textId="77777777" w:rsidR="00846CEF" w:rsidRPr="00846CEF" w:rsidRDefault="00846CEF" w:rsidP="00846CEF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10"/>
                <w:szCs w:val="10"/>
              </w:rPr>
            </w:pPr>
            <w:r w:rsidRPr="00846CEF">
              <w:rPr>
                <w:rFonts w:ascii="Calibri" w:eastAsia="Times New Roman" w:hAnsi="Calibri" w:cs="Times New Roman"/>
                <w:b/>
                <w:color w:val="000000"/>
                <w:sz w:val="10"/>
                <w:szCs w:val="10"/>
              </w:rPr>
              <w:t>1:1000</w:t>
            </w:r>
          </w:p>
        </w:tc>
        <w:tc>
          <w:tcPr>
            <w:tcW w:w="30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A7B66D" w14:textId="37AAB9EC" w:rsidR="00846CEF" w:rsidRPr="00846CEF" w:rsidRDefault="00846CEF" w:rsidP="00846CEF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10"/>
                <w:szCs w:val="10"/>
              </w:rPr>
            </w:pPr>
            <w:r w:rsidRPr="00ED7272">
              <w:rPr>
                <w:rFonts w:ascii="Calibri" w:eastAsia="Times New Roman" w:hAnsi="Calibri" w:cs="Times New Roman"/>
                <w:b/>
                <w:color w:val="000000"/>
                <w:sz w:val="10"/>
                <w:szCs w:val="10"/>
              </w:rPr>
              <w:t>1:1</w:t>
            </w:r>
          </w:p>
        </w:tc>
        <w:tc>
          <w:tcPr>
            <w:tcW w:w="30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0E292C" w14:textId="77777777" w:rsidR="00846CEF" w:rsidRPr="00846CEF" w:rsidRDefault="00846CEF" w:rsidP="00846CEF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10"/>
                <w:szCs w:val="10"/>
              </w:rPr>
            </w:pPr>
            <w:r w:rsidRPr="00846CEF">
              <w:rPr>
                <w:rFonts w:ascii="Calibri" w:eastAsia="Times New Roman" w:hAnsi="Calibri" w:cs="Times New Roman"/>
                <w:b/>
                <w:color w:val="000000"/>
                <w:sz w:val="10"/>
                <w:szCs w:val="10"/>
              </w:rPr>
              <w:t>1:10</w:t>
            </w:r>
          </w:p>
        </w:tc>
        <w:tc>
          <w:tcPr>
            <w:tcW w:w="30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4E51F4" w14:textId="77777777" w:rsidR="00846CEF" w:rsidRPr="00846CEF" w:rsidRDefault="00846CEF" w:rsidP="00846CEF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10"/>
                <w:szCs w:val="10"/>
              </w:rPr>
            </w:pPr>
            <w:r w:rsidRPr="00846CEF">
              <w:rPr>
                <w:rFonts w:ascii="Calibri" w:eastAsia="Times New Roman" w:hAnsi="Calibri" w:cs="Times New Roman"/>
                <w:b/>
                <w:color w:val="000000"/>
                <w:sz w:val="10"/>
                <w:szCs w:val="10"/>
              </w:rPr>
              <w:t>1:100</w:t>
            </w:r>
          </w:p>
        </w:tc>
        <w:tc>
          <w:tcPr>
            <w:tcW w:w="30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AAD6BC" w14:textId="77777777" w:rsidR="00846CEF" w:rsidRPr="00846CEF" w:rsidRDefault="00846CEF" w:rsidP="00846CEF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10"/>
                <w:szCs w:val="10"/>
              </w:rPr>
            </w:pPr>
            <w:r w:rsidRPr="00846CEF">
              <w:rPr>
                <w:rFonts w:ascii="Calibri" w:eastAsia="Times New Roman" w:hAnsi="Calibri" w:cs="Times New Roman"/>
                <w:b/>
                <w:color w:val="000000"/>
                <w:sz w:val="10"/>
                <w:szCs w:val="10"/>
              </w:rPr>
              <w:t>1:1000</w:t>
            </w:r>
          </w:p>
        </w:tc>
        <w:tc>
          <w:tcPr>
            <w:tcW w:w="30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FC9CA6" w14:textId="73AAC209" w:rsidR="00846CEF" w:rsidRPr="00846CEF" w:rsidRDefault="00846CEF" w:rsidP="00846CEF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10"/>
                <w:szCs w:val="10"/>
              </w:rPr>
            </w:pPr>
            <w:r w:rsidRPr="00ED7272">
              <w:rPr>
                <w:rFonts w:ascii="Calibri" w:eastAsia="Times New Roman" w:hAnsi="Calibri" w:cs="Times New Roman"/>
                <w:b/>
                <w:color w:val="000000"/>
                <w:sz w:val="10"/>
                <w:szCs w:val="10"/>
              </w:rPr>
              <w:t>1:1</w:t>
            </w:r>
          </w:p>
        </w:tc>
        <w:tc>
          <w:tcPr>
            <w:tcW w:w="30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12688B" w14:textId="77777777" w:rsidR="00846CEF" w:rsidRPr="00846CEF" w:rsidRDefault="00846CEF" w:rsidP="00846CEF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10"/>
                <w:szCs w:val="10"/>
              </w:rPr>
            </w:pPr>
            <w:r w:rsidRPr="00846CEF">
              <w:rPr>
                <w:rFonts w:ascii="Calibri" w:eastAsia="Times New Roman" w:hAnsi="Calibri" w:cs="Times New Roman"/>
                <w:b/>
                <w:color w:val="000000"/>
                <w:sz w:val="10"/>
                <w:szCs w:val="10"/>
              </w:rPr>
              <w:t>1:10</w:t>
            </w:r>
          </w:p>
        </w:tc>
        <w:tc>
          <w:tcPr>
            <w:tcW w:w="30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4166F9" w14:textId="77777777" w:rsidR="00846CEF" w:rsidRPr="00846CEF" w:rsidRDefault="00846CEF" w:rsidP="00846CEF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10"/>
                <w:szCs w:val="10"/>
              </w:rPr>
            </w:pPr>
            <w:r w:rsidRPr="00846CEF">
              <w:rPr>
                <w:rFonts w:ascii="Calibri" w:eastAsia="Times New Roman" w:hAnsi="Calibri" w:cs="Times New Roman"/>
                <w:b/>
                <w:color w:val="000000"/>
                <w:sz w:val="10"/>
                <w:szCs w:val="10"/>
              </w:rPr>
              <w:t>1:100</w:t>
            </w:r>
          </w:p>
        </w:tc>
        <w:tc>
          <w:tcPr>
            <w:tcW w:w="30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184D6D" w14:textId="77777777" w:rsidR="00846CEF" w:rsidRPr="00846CEF" w:rsidRDefault="00846CEF" w:rsidP="00846CEF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10"/>
                <w:szCs w:val="10"/>
              </w:rPr>
            </w:pPr>
            <w:r w:rsidRPr="00846CEF">
              <w:rPr>
                <w:rFonts w:ascii="Calibri" w:eastAsia="Times New Roman" w:hAnsi="Calibri" w:cs="Times New Roman"/>
                <w:b/>
                <w:color w:val="000000"/>
                <w:sz w:val="10"/>
                <w:szCs w:val="10"/>
              </w:rPr>
              <w:t>1:1000</w:t>
            </w:r>
          </w:p>
        </w:tc>
      </w:tr>
      <w:tr w:rsidR="00846CEF" w:rsidRPr="00846CEF" w14:paraId="77C0BA76" w14:textId="77777777" w:rsidTr="00975385">
        <w:trPr>
          <w:trHeight w:val="250"/>
        </w:trPr>
        <w:tc>
          <w:tcPr>
            <w:tcW w:w="496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B06195" w14:textId="70EF74F5" w:rsidR="00846CEF" w:rsidRPr="00846CEF" w:rsidRDefault="00846CEF" w:rsidP="00846CE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12"/>
                <w:szCs w:val="12"/>
              </w:rPr>
            </w:pPr>
            <w:proofErr w:type="spellStart"/>
            <w:r w:rsidRPr="00846CEF">
              <w:rPr>
                <w:rFonts w:ascii="Calibri" w:eastAsia="Times New Roman" w:hAnsi="Calibri" w:cs="Times New Roman"/>
                <w:i/>
                <w:iCs/>
                <w:color w:val="000000"/>
                <w:sz w:val="12"/>
                <w:szCs w:val="12"/>
              </w:rPr>
              <w:t>enterica</w:t>
            </w:r>
            <w:proofErr w:type="spellEnd"/>
          </w:p>
        </w:tc>
        <w:tc>
          <w:tcPr>
            <w:tcW w:w="248" w:type="pc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C7827" w14:textId="77777777" w:rsidR="00846CEF" w:rsidRPr="00846CEF" w:rsidRDefault="00846CEF" w:rsidP="009753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846CE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25.38</w:t>
            </w:r>
          </w:p>
        </w:tc>
        <w:tc>
          <w:tcPr>
            <w:tcW w:w="248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A6701" w14:textId="77777777" w:rsidR="00846CEF" w:rsidRPr="00846CEF" w:rsidRDefault="00846CEF" w:rsidP="009753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846CE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28.19</w:t>
            </w:r>
          </w:p>
        </w:tc>
        <w:tc>
          <w:tcPr>
            <w:tcW w:w="249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E6E5A" w14:textId="77777777" w:rsidR="00846CEF" w:rsidRPr="00846CEF" w:rsidRDefault="00846CEF" w:rsidP="009753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846CE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31.64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C3621" w14:textId="77777777" w:rsidR="00846CEF" w:rsidRPr="00846CEF" w:rsidRDefault="00846CEF" w:rsidP="009753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846CE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35.23</w:t>
            </w:r>
          </w:p>
        </w:tc>
        <w:tc>
          <w:tcPr>
            <w:tcW w:w="248" w:type="pc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57C1B" w14:textId="77777777" w:rsidR="00846CEF" w:rsidRPr="00846CEF" w:rsidRDefault="00846CEF" w:rsidP="009753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846CE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24.73</w:t>
            </w:r>
          </w:p>
        </w:tc>
        <w:tc>
          <w:tcPr>
            <w:tcW w:w="248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71C35" w14:textId="77777777" w:rsidR="00846CEF" w:rsidRPr="00846CEF" w:rsidRDefault="00846CEF" w:rsidP="009753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846CE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22.39</w:t>
            </w:r>
          </w:p>
        </w:tc>
        <w:tc>
          <w:tcPr>
            <w:tcW w:w="249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1F598" w14:textId="77777777" w:rsidR="00846CEF" w:rsidRPr="00846CEF" w:rsidRDefault="00846CEF" w:rsidP="009753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846CE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23.36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D7A7FB" w14:textId="77777777" w:rsidR="00846CEF" w:rsidRPr="00846CEF" w:rsidRDefault="00846CEF" w:rsidP="009753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846CE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24.28</w:t>
            </w:r>
          </w:p>
        </w:tc>
        <w:tc>
          <w:tcPr>
            <w:tcW w:w="307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400E7" w14:textId="77777777" w:rsidR="00846CEF" w:rsidRPr="00846CEF" w:rsidRDefault="00846CEF" w:rsidP="009753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846CE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25.2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38B03" w14:textId="77777777" w:rsidR="00846CEF" w:rsidRPr="00846CEF" w:rsidRDefault="00846CEF" w:rsidP="009753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846CE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29.1018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8DDEA" w14:textId="77777777" w:rsidR="00846CEF" w:rsidRPr="00846CEF" w:rsidRDefault="00846CEF" w:rsidP="009753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846CE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32.8037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61C2B" w14:textId="77777777" w:rsidR="00846CEF" w:rsidRPr="00846CEF" w:rsidRDefault="00846CEF" w:rsidP="009753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846CE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37.2037</w:t>
            </w:r>
          </w:p>
        </w:tc>
        <w:tc>
          <w:tcPr>
            <w:tcW w:w="307" w:type="pc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38660" w14:textId="77777777" w:rsidR="00846CEF" w:rsidRPr="00846CEF" w:rsidRDefault="00846CEF" w:rsidP="009753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846CE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22.1882</w:t>
            </w:r>
          </w:p>
        </w:tc>
        <w:tc>
          <w:tcPr>
            <w:tcW w:w="307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6C1CD" w14:textId="77777777" w:rsidR="00846CEF" w:rsidRPr="00846CEF" w:rsidRDefault="00846CEF" w:rsidP="009753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846CE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22.4293</w:t>
            </w:r>
          </w:p>
        </w:tc>
        <w:tc>
          <w:tcPr>
            <w:tcW w:w="307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5C6C5" w14:textId="77777777" w:rsidR="00846CEF" w:rsidRPr="00846CEF" w:rsidRDefault="00846CEF" w:rsidP="009753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846CE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23.317</w:t>
            </w:r>
          </w:p>
        </w:tc>
        <w:tc>
          <w:tcPr>
            <w:tcW w:w="307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E71941" w14:textId="77777777" w:rsidR="00846CEF" w:rsidRPr="00846CEF" w:rsidRDefault="00846CEF" w:rsidP="009753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846CE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23.5224</w:t>
            </w:r>
          </w:p>
        </w:tc>
      </w:tr>
      <w:tr w:rsidR="00846CEF" w:rsidRPr="00846CEF" w14:paraId="2E086A84" w14:textId="77777777" w:rsidTr="00975385">
        <w:trPr>
          <w:trHeight w:val="225"/>
        </w:trPr>
        <w:tc>
          <w:tcPr>
            <w:tcW w:w="496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BE37C7" w14:textId="34D2DAF8" w:rsidR="00846CEF" w:rsidRPr="00846CEF" w:rsidRDefault="00846CEF" w:rsidP="00846CE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12"/>
                <w:szCs w:val="12"/>
              </w:rPr>
            </w:pPr>
            <w:r w:rsidRPr="00846CEF">
              <w:rPr>
                <w:rFonts w:ascii="Calibri" w:eastAsia="Times New Roman" w:hAnsi="Calibri" w:cs="Times New Roman"/>
                <w:i/>
                <w:iCs/>
                <w:color w:val="000000"/>
                <w:sz w:val="12"/>
                <w:szCs w:val="12"/>
              </w:rPr>
              <w:t>typhimurium</w:t>
            </w:r>
          </w:p>
        </w:tc>
        <w:tc>
          <w:tcPr>
            <w:tcW w:w="248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EB153" w14:textId="77777777" w:rsidR="00846CEF" w:rsidRPr="00846CEF" w:rsidRDefault="00846CEF" w:rsidP="009753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846CE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22.58</w:t>
            </w:r>
          </w:p>
        </w:tc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58370" w14:textId="77777777" w:rsidR="00846CEF" w:rsidRPr="00846CEF" w:rsidRDefault="00846CEF" w:rsidP="009753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846CE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26.61</w:t>
            </w: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021B3" w14:textId="77777777" w:rsidR="00846CEF" w:rsidRPr="00846CEF" w:rsidRDefault="00846CEF" w:rsidP="009753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846CE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29.64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9AAD7" w14:textId="77777777" w:rsidR="00846CEF" w:rsidRPr="00846CEF" w:rsidRDefault="00846CEF" w:rsidP="009753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846CE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33.46</w:t>
            </w:r>
          </w:p>
        </w:tc>
        <w:tc>
          <w:tcPr>
            <w:tcW w:w="248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BD9A3" w14:textId="77777777" w:rsidR="00846CEF" w:rsidRPr="00846CEF" w:rsidRDefault="00846CEF" w:rsidP="009753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846CE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23.83</w:t>
            </w:r>
          </w:p>
        </w:tc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932C3" w14:textId="77777777" w:rsidR="00846CEF" w:rsidRPr="00846CEF" w:rsidRDefault="00846CEF" w:rsidP="009753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846CE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24.25</w:t>
            </w: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D0FB9" w14:textId="77777777" w:rsidR="00846CEF" w:rsidRPr="00846CEF" w:rsidRDefault="00846CEF" w:rsidP="009753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846CE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23.82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F0FE7B" w14:textId="77777777" w:rsidR="00846CEF" w:rsidRPr="00846CEF" w:rsidRDefault="00846CEF" w:rsidP="009753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846CE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24.75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F9019" w14:textId="77777777" w:rsidR="00846CEF" w:rsidRPr="00846CEF" w:rsidRDefault="00846CEF" w:rsidP="009753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846CE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23.5602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7D9A4" w14:textId="77777777" w:rsidR="00846CEF" w:rsidRPr="00846CEF" w:rsidRDefault="00846CEF" w:rsidP="009753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846CE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27.388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511CA" w14:textId="77777777" w:rsidR="00846CEF" w:rsidRPr="00846CEF" w:rsidRDefault="00846CEF" w:rsidP="009753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846CE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30.699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8487A" w14:textId="77777777" w:rsidR="00846CEF" w:rsidRPr="00846CEF" w:rsidRDefault="00846CEF" w:rsidP="009753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846CE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34.6879</w:t>
            </w:r>
          </w:p>
        </w:tc>
        <w:tc>
          <w:tcPr>
            <w:tcW w:w="307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155D8" w14:textId="77777777" w:rsidR="00846CEF" w:rsidRPr="00846CEF" w:rsidRDefault="00846CEF" w:rsidP="009753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846CE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22.0732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74465" w14:textId="77777777" w:rsidR="00846CEF" w:rsidRPr="00846CEF" w:rsidRDefault="00846CEF" w:rsidP="009753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846CE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22.7436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79328" w14:textId="77777777" w:rsidR="00846CEF" w:rsidRPr="00846CEF" w:rsidRDefault="00846CEF" w:rsidP="009753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846CE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22.9821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9555C6" w14:textId="77777777" w:rsidR="00846CEF" w:rsidRPr="00846CEF" w:rsidRDefault="00846CEF" w:rsidP="009753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846CE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23.1765</w:t>
            </w:r>
          </w:p>
        </w:tc>
      </w:tr>
      <w:tr w:rsidR="00846CEF" w:rsidRPr="00846CEF" w14:paraId="11DFC511" w14:textId="77777777" w:rsidTr="00975385">
        <w:trPr>
          <w:trHeight w:val="198"/>
        </w:trPr>
        <w:tc>
          <w:tcPr>
            <w:tcW w:w="496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EB1EC6" w14:textId="0AB90C4A" w:rsidR="00846CEF" w:rsidRPr="00846CEF" w:rsidRDefault="00846CEF" w:rsidP="00846CE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12"/>
                <w:szCs w:val="12"/>
              </w:rPr>
            </w:pPr>
            <w:proofErr w:type="spellStart"/>
            <w:r w:rsidRPr="00846CEF">
              <w:rPr>
                <w:rFonts w:ascii="Calibri" w:eastAsia="Times New Roman" w:hAnsi="Calibri" w:cs="Times New Roman"/>
                <w:i/>
                <w:iCs/>
                <w:color w:val="000000"/>
                <w:sz w:val="12"/>
                <w:szCs w:val="12"/>
              </w:rPr>
              <w:t>irumu</w:t>
            </w:r>
            <w:proofErr w:type="spellEnd"/>
          </w:p>
        </w:tc>
        <w:tc>
          <w:tcPr>
            <w:tcW w:w="248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85D15" w14:textId="77777777" w:rsidR="00846CEF" w:rsidRPr="00846CEF" w:rsidRDefault="00846CEF" w:rsidP="009753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846CE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24.2</w:t>
            </w:r>
          </w:p>
        </w:tc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7CF96" w14:textId="77777777" w:rsidR="00846CEF" w:rsidRPr="00846CEF" w:rsidRDefault="00846CEF" w:rsidP="009753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846CE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27.55</w:t>
            </w: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388FC" w14:textId="77777777" w:rsidR="00846CEF" w:rsidRPr="00846CEF" w:rsidRDefault="00846CEF" w:rsidP="009753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846CE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31.32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AD6B5" w14:textId="77777777" w:rsidR="00846CEF" w:rsidRPr="00846CEF" w:rsidRDefault="00846CEF" w:rsidP="009753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846CE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34.95</w:t>
            </w:r>
          </w:p>
        </w:tc>
        <w:tc>
          <w:tcPr>
            <w:tcW w:w="248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BA934" w14:textId="77777777" w:rsidR="00846CEF" w:rsidRPr="00846CEF" w:rsidRDefault="00846CEF" w:rsidP="009753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846CE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24.22</w:t>
            </w:r>
          </w:p>
        </w:tc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72CB8" w14:textId="77777777" w:rsidR="00846CEF" w:rsidRPr="00846CEF" w:rsidRDefault="00846CEF" w:rsidP="009753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846CE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24.95</w:t>
            </w: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B8036" w14:textId="77777777" w:rsidR="00846CEF" w:rsidRPr="00846CEF" w:rsidRDefault="00846CEF" w:rsidP="009753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846CE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24.78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626AA4" w14:textId="77777777" w:rsidR="00846CEF" w:rsidRPr="00846CEF" w:rsidRDefault="00846CEF" w:rsidP="009753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846CE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24.36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1D2F2" w14:textId="77777777" w:rsidR="00846CEF" w:rsidRPr="00846CEF" w:rsidRDefault="00846CEF" w:rsidP="009753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846CE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24.466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65EB0" w14:textId="77777777" w:rsidR="00846CEF" w:rsidRPr="00846CEF" w:rsidRDefault="00846CEF" w:rsidP="009753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846CE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28.341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B63E6" w14:textId="77777777" w:rsidR="00846CEF" w:rsidRPr="00846CEF" w:rsidRDefault="00846CEF" w:rsidP="009753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846CE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31.7757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43FDA" w14:textId="77777777" w:rsidR="00846CEF" w:rsidRPr="00846CEF" w:rsidRDefault="00846CEF" w:rsidP="009753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846CE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36.0068</w:t>
            </w:r>
          </w:p>
        </w:tc>
        <w:tc>
          <w:tcPr>
            <w:tcW w:w="307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26B1B" w14:textId="77777777" w:rsidR="00846CEF" w:rsidRPr="00846CEF" w:rsidRDefault="00846CEF" w:rsidP="009753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846CE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22.2464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3CDA4" w14:textId="77777777" w:rsidR="00846CEF" w:rsidRPr="00846CEF" w:rsidRDefault="00846CEF" w:rsidP="009753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846CE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22.8154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4D689" w14:textId="77777777" w:rsidR="00846CEF" w:rsidRPr="00846CEF" w:rsidRDefault="00846CEF" w:rsidP="009753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846CE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22.4586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7703F7" w14:textId="77777777" w:rsidR="00846CEF" w:rsidRPr="00846CEF" w:rsidRDefault="00846CEF" w:rsidP="009753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846CE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23.2112</w:t>
            </w:r>
          </w:p>
        </w:tc>
      </w:tr>
      <w:tr w:rsidR="00846CEF" w:rsidRPr="00846CEF" w14:paraId="1659BFB5" w14:textId="77777777" w:rsidTr="00975385">
        <w:trPr>
          <w:trHeight w:val="252"/>
        </w:trPr>
        <w:tc>
          <w:tcPr>
            <w:tcW w:w="496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97E8B4" w14:textId="5B901D64" w:rsidR="00846CEF" w:rsidRPr="00846CEF" w:rsidRDefault="00846CEF" w:rsidP="00846CE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12"/>
                <w:szCs w:val="12"/>
              </w:rPr>
            </w:pPr>
            <w:proofErr w:type="spellStart"/>
            <w:r w:rsidRPr="00846CEF">
              <w:rPr>
                <w:rFonts w:ascii="Calibri" w:eastAsia="Times New Roman" w:hAnsi="Calibri" w:cs="Times New Roman"/>
                <w:i/>
                <w:iCs/>
                <w:color w:val="000000"/>
                <w:sz w:val="12"/>
                <w:szCs w:val="12"/>
              </w:rPr>
              <w:t>newport</w:t>
            </w:r>
            <w:proofErr w:type="spellEnd"/>
          </w:p>
        </w:tc>
        <w:tc>
          <w:tcPr>
            <w:tcW w:w="248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71ED3" w14:textId="77777777" w:rsidR="00846CEF" w:rsidRPr="00846CEF" w:rsidRDefault="00846CEF" w:rsidP="009753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846CE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23.23</w:t>
            </w:r>
          </w:p>
        </w:tc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671E5" w14:textId="77777777" w:rsidR="00846CEF" w:rsidRPr="00846CEF" w:rsidRDefault="00846CEF" w:rsidP="009753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846CE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26.17</w:t>
            </w: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C5819" w14:textId="77777777" w:rsidR="00846CEF" w:rsidRPr="00846CEF" w:rsidRDefault="00846CEF" w:rsidP="009753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846CE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30.72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CA53A" w14:textId="77777777" w:rsidR="00846CEF" w:rsidRPr="00846CEF" w:rsidRDefault="00846CEF" w:rsidP="009753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846CE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34.34</w:t>
            </w:r>
          </w:p>
        </w:tc>
        <w:tc>
          <w:tcPr>
            <w:tcW w:w="248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B7C82" w14:textId="77777777" w:rsidR="00846CEF" w:rsidRPr="00846CEF" w:rsidRDefault="00846CEF" w:rsidP="009753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846CE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24.15</w:t>
            </w:r>
          </w:p>
        </w:tc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46A48" w14:textId="77777777" w:rsidR="00846CEF" w:rsidRPr="00846CEF" w:rsidRDefault="00846CEF" w:rsidP="009753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846CE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23.99</w:t>
            </w: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E2AF0" w14:textId="77777777" w:rsidR="00846CEF" w:rsidRPr="00846CEF" w:rsidRDefault="00846CEF" w:rsidP="009753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846CE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24.51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8230C7" w14:textId="77777777" w:rsidR="00846CEF" w:rsidRPr="00846CEF" w:rsidRDefault="00846CEF" w:rsidP="009753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846CE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23.83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5F1DF" w14:textId="77777777" w:rsidR="00846CEF" w:rsidRPr="00846CEF" w:rsidRDefault="00846CEF" w:rsidP="009753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846CE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23.4715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CDEF7" w14:textId="77777777" w:rsidR="00846CEF" w:rsidRPr="00846CEF" w:rsidRDefault="00846CEF" w:rsidP="009753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846CE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27.2113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2733D" w14:textId="77777777" w:rsidR="00846CEF" w:rsidRPr="00846CEF" w:rsidRDefault="00846CEF" w:rsidP="009753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846CE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30.631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BA5E8" w14:textId="77777777" w:rsidR="00846CEF" w:rsidRPr="00846CEF" w:rsidRDefault="00846CEF" w:rsidP="009753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846CE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34.2715</w:t>
            </w:r>
          </w:p>
        </w:tc>
        <w:tc>
          <w:tcPr>
            <w:tcW w:w="307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87858" w14:textId="77777777" w:rsidR="00846CEF" w:rsidRPr="00846CEF" w:rsidRDefault="00846CEF" w:rsidP="009753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846CE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22.2656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D913F" w14:textId="77777777" w:rsidR="00846CEF" w:rsidRPr="00846CEF" w:rsidRDefault="00846CEF" w:rsidP="009753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846CE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22.5891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A1073" w14:textId="77777777" w:rsidR="00846CEF" w:rsidRPr="00846CEF" w:rsidRDefault="00846CEF" w:rsidP="009753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846CE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22.7199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6601A3" w14:textId="77777777" w:rsidR="00846CEF" w:rsidRPr="00846CEF" w:rsidRDefault="00846CEF" w:rsidP="009753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846CE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22.8615</w:t>
            </w:r>
          </w:p>
        </w:tc>
      </w:tr>
      <w:tr w:rsidR="00846CEF" w:rsidRPr="00846CEF" w14:paraId="37B5EB7C" w14:textId="77777777" w:rsidTr="00975385">
        <w:trPr>
          <w:trHeight w:val="225"/>
        </w:trPr>
        <w:tc>
          <w:tcPr>
            <w:tcW w:w="496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1C2F0A" w14:textId="5275549C" w:rsidR="00846CEF" w:rsidRPr="00846CEF" w:rsidRDefault="00846CEF" w:rsidP="00846CE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12"/>
                <w:szCs w:val="12"/>
              </w:rPr>
            </w:pPr>
            <w:proofErr w:type="spellStart"/>
            <w:r w:rsidRPr="00846CEF">
              <w:rPr>
                <w:rFonts w:ascii="Calibri" w:eastAsia="Times New Roman" w:hAnsi="Calibri" w:cs="Times New Roman"/>
                <w:i/>
                <w:iCs/>
                <w:color w:val="000000"/>
                <w:sz w:val="12"/>
                <w:szCs w:val="12"/>
              </w:rPr>
              <w:t>infantis</w:t>
            </w:r>
            <w:proofErr w:type="spellEnd"/>
          </w:p>
        </w:tc>
        <w:tc>
          <w:tcPr>
            <w:tcW w:w="248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55386" w14:textId="77777777" w:rsidR="00846CEF" w:rsidRPr="00846CEF" w:rsidRDefault="00846CEF" w:rsidP="009753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846CE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24.86</w:t>
            </w:r>
          </w:p>
        </w:tc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1FAB1" w14:textId="77777777" w:rsidR="00846CEF" w:rsidRPr="00846CEF" w:rsidRDefault="00846CEF" w:rsidP="009753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846CE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28.52</w:t>
            </w: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B4F49" w14:textId="77777777" w:rsidR="00846CEF" w:rsidRPr="00846CEF" w:rsidRDefault="00846CEF" w:rsidP="009753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846CE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31.81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D8E71" w14:textId="77777777" w:rsidR="00846CEF" w:rsidRPr="00846CEF" w:rsidRDefault="00846CEF" w:rsidP="009753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846CE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37.29</w:t>
            </w:r>
          </w:p>
        </w:tc>
        <w:tc>
          <w:tcPr>
            <w:tcW w:w="248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E669B" w14:textId="77777777" w:rsidR="00846CEF" w:rsidRPr="00846CEF" w:rsidRDefault="00846CEF" w:rsidP="009753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846CE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24.34</w:t>
            </w:r>
          </w:p>
        </w:tc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3352E" w14:textId="77777777" w:rsidR="00846CEF" w:rsidRPr="00846CEF" w:rsidRDefault="00846CEF" w:rsidP="009753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846CE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24.12</w:t>
            </w: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BFCB3" w14:textId="77777777" w:rsidR="00846CEF" w:rsidRPr="00846CEF" w:rsidRDefault="00846CEF" w:rsidP="009753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846CE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24.15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3A5ACF" w14:textId="77777777" w:rsidR="00846CEF" w:rsidRPr="00846CEF" w:rsidRDefault="00846CEF" w:rsidP="009753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846CE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28.22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A93BC" w14:textId="77777777" w:rsidR="00846CEF" w:rsidRPr="00846CEF" w:rsidRDefault="00846CEF" w:rsidP="009753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846CE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25.1414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279A6" w14:textId="77777777" w:rsidR="00846CEF" w:rsidRPr="00846CEF" w:rsidRDefault="00846CEF" w:rsidP="009753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846CE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28.7304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1B3F0" w14:textId="77777777" w:rsidR="00846CEF" w:rsidRPr="00846CEF" w:rsidRDefault="00846CEF" w:rsidP="009753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846CE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32.0971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0E7D6" w14:textId="77777777" w:rsidR="00846CEF" w:rsidRPr="00846CEF" w:rsidRDefault="00846CEF" w:rsidP="009753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846CE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36.1676</w:t>
            </w:r>
          </w:p>
        </w:tc>
        <w:tc>
          <w:tcPr>
            <w:tcW w:w="307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ADB13" w14:textId="77777777" w:rsidR="00846CEF" w:rsidRPr="00846CEF" w:rsidRDefault="00846CEF" w:rsidP="009753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846CE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22.3003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35C0B" w14:textId="77777777" w:rsidR="00846CEF" w:rsidRPr="00846CEF" w:rsidRDefault="00846CEF" w:rsidP="009753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846CE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22.6304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EDA4C" w14:textId="77777777" w:rsidR="00846CEF" w:rsidRPr="00846CEF" w:rsidRDefault="00846CEF" w:rsidP="009753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846CE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22.6128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99A0AE" w14:textId="77777777" w:rsidR="00846CEF" w:rsidRPr="00846CEF" w:rsidRDefault="00846CEF" w:rsidP="009753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846CE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22.8974</w:t>
            </w:r>
          </w:p>
        </w:tc>
      </w:tr>
      <w:tr w:rsidR="00846CEF" w:rsidRPr="00846CEF" w14:paraId="144ECB3E" w14:textId="77777777" w:rsidTr="00975385">
        <w:trPr>
          <w:trHeight w:val="288"/>
        </w:trPr>
        <w:tc>
          <w:tcPr>
            <w:tcW w:w="496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17B755" w14:textId="6B7B93FA" w:rsidR="00846CEF" w:rsidRPr="00846CEF" w:rsidRDefault="00846CEF" w:rsidP="00846CE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12"/>
                <w:szCs w:val="12"/>
              </w:rPr>
            </w:pPr>
            <w:proofErr w:type="gramStart"/>
            <w:r w:rsidRPr="00846CEF">
              <w:rPr>
                <w:rFonts w:ascii="Calibri" w:eastAsia="Times New Roman" w:hAnsi="Calibri" w:cs="Times New Roman"/>
                <w:i/>
                <w:iCs/>
                <w:color w:val="000000"/>
                <w:sz w:val="12"/>
                <w:szCs w:val="12"/>
              </w:rPr>
              <w:t>4,[</w:t>
            </w:r>
            <w:proofErr w:type="gramEnd"/>
            <w:r w:rsidRPr="00846CEF">
              <w:rPr>
                <w:rFonts w:ascii="Calibri" w:eastAsia="Times New Roman" w:hAnsi="Calibri" w:cs="Times New Roman"/>
                <w:i/>
                <w:iCs/>
                <w:color w:val="000000"/>
                <w:sz w:val="12"/>
                <w:szCs w:val="12"/>
              </w:rPr>
              <w:t xml:space="preserve">5], 12:i:- </w:t>
            </w:r>
          </w:p>
        </w:tc>
        <w:tc>
          <w:tcPr>
            <w:tcW w:w="248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1160F" w14:textId="77777777" w:rsidR="00846CEF" w:rsidRPr="00846CEF" w:rsidRDefault="00846CEF" w:rsidP="009753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846CE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25.09</w:t>
            </w:r>
          </w:p>
        </w:tc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84A04" w14:textId="77777777" w:rsidR="00846CEF" w:rsidRPr="00846CEF" w:rsidRDefault="00846CEF" w:rsidP="009753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846CE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28.29</w:t>
            </w: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C4C01" w14:textId="77777777" w:rsidR="00846CEF" w:rsidRPr="00846CEF" w:rsidRDefault="00846CEF" w:rsidP="009753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846CE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32.19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C7FF5" w14:textId="77777777" w:rsidR="00846CEF" w:rsidRPr="00846CEF" w:rsidRDefault="00846CEF" w:rsidP="009753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846CE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36.17</w:t>
            </w:r>
          </w:p>
        </w:tc>
        <w:tc>
          <w:tcPr>
            <w:tcW w:w="248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59951" w14:textId="77777777" w:rsidR="00846CEF" w:rsidRPr="00846CEF" w:rsidRDefault="00846CEF" w:rsidP="009753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846CE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29.6</w:t>
            </w:r>
          </w:p>
        </w:tc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7A4EC" w14:textId="77777777" w:rsidR="00846CEF" w:rsidRPr="00846CEF" w:rsidRDefault="00846CEF" w:rsidP="009753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846CE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27.32</w:t>
            </w: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ECC2D" w14:textId="77777777" w:rsidR="00846CEF" w:rsidRPr="00846CEF" w:rsidRDefault="00846CEF" w:rsidP="009753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846CE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28.51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6B9709" w14:textId="77777777" w:rsidR="00846CEF" w:rsidRPr="00846CEF" w:rsidRDefault="00846CEF" w:rsidP="009753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846CE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27.36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E396A" w14:textId="77777777" w:rsidR="00846CEF" w:rsidRPr="00846CEF" w:rsidRDefault="00846CEF" w:rsidP="009753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846CE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24.8543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D8F2A" w14:textId="77777777" w:rsidR="00846CEF" w:rsidRPr="00846CEF" w:rsidRDefault="00846CEF" w:rsidP="009753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846CE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28.371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A419C" w14:textId="77777777" w:rsidR="00846CEF" w:rsidRPr="00846CEF" w:rsidRDefault="00846CEF" w:rsidP="009753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846CE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32.1124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3C12E" w14:textId="77777777" w:rsidR="00846CEF" w:rsidRPr="00846CEF" w:rsidRDefault="00846CEF" w:rsidP="009753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846CE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35.8733</w:t>
            </w:r>
          </w:p>
        </w:tc>
        <w:tc>
          <w:tcPr>
            <w:tcW w:w="307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6F4CE" w14:textId="77777777" w:rsidR="00846CEF" w:rsidRPr="00846CEF" w:rsidRDefault="00846CEF" w:rsidP="009753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846CE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22.3114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A3650" w14:textId="77777777" w:rsidR="00846CEF" w:rsidRPr="00846CEF" w:rsidRDefault="00846CEF" w:rsidP="009753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846CE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22.4367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26CBB" w14:textId="77777777" w:rsidR="00846CEF" w:rsidRPr="00846CEF" w:rsidRDefault="00846CEF" w:rsidP="009753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846CE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22.8488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7241B0" w14:textId="77777777" w:rsidR="00846CEF" w:rsidRPr="00846CEF" w:rsidRDefault="00846CEF" w:rsidP="009753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846CE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23.0806</w:t>
            </w:r>
          </w:p>
        </w:tc>
      </w:tr>
      <w:tr w:rsidR="00846CEF" w:rsidRPr="00846CEF" w14:paraId="51EBB60F" w14:textId="77777777" w:rsidTr="00975385">
        <w:trPr>
          <w:trHeight w:val="252"/>
        </w:trPr>
        <w:tc>
          <w:tcPr>
            <w:tcW w:w="496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D7B5E2" w14:textId="4E1499E9" w:rsidR="00846CEF" w:rsidRPr="00846CEF" w:rsidRDefault="00846CEF" w:rsidP="00846CE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12"/>
                <w:szCs w:val="12"/>
              </w:rPr>
            </w:pPr>
            <w:proofErr w:type="spellStart"/>
            <w:r w:rsidRPr="00846CEF">
              <w:rPr>
                <w:rFonts w:ascii="Calibri" w:eastAsia="Times New Roman" w:hAnsi="Calibri" w:cs="Times New Roman"/>
                <w:i/>
                <w:iCs/>
                <w:color w:val="000000"/>
                <w:sz w:val="12"/>
                <w:szCs w:val="12"/>
              </w:rPr>
              <w:t>montevideo</w:t>
            </w:r>
            <w:proofErr w:type="spellEnd"/>
          </w:p>
        </w:tc>
        <w:tc>
          <w:tcPr>
            <w:tcW w:w="248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966F5" w14:textId="77777777" w:rsidR="00846CEF" w:rsidRPr="00846CEF" w:rsidRDefault="00846CEF" w:rsidP="009753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846CE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25.93</w:t>
            </w:r>
          </w:p>
        </w:tc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FA643" w14:textId="77777777" w:rsidR="00846CEF" w:rsidRPr="00846CEF" w:rsidRDefault="00846CEF" w:rsidP="009753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846CE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28.61</w:t>
            </w: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A2956" w14:textId="77777777" w:rsidR="00846CEF" w:rsidRPr="00846CEF" w:rsidRDefault="00846CEF" w:rsidP="009753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846CE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32.42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0AFA6" w14:textId="77777777" w:rsidR="00846CEF" w:rsidRPr="00846CEF" w:rsidRDefault="00846CEF" w:rsidP="009753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846CE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36.14</w:t>
            </w:r>
          </w:p>
        </w:tc>
        <w:tc>
          <w:tcPr>
            <w:tcW w:w="248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F19E4" w14:textId="77777777" w:rsidR="00846CEF" w:rsidRPr="00846CEF" w:rsidRDefault="00846CEF" w:rsidP="009753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846CE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28.45</w:t>
            </w:r>
          </w:p>
        </w:tc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12E92" w14:textId="77777777" w:rsidR="00846CEF" w:rsidRPr="00846CEF" w:rsidRDefault="00846CEF" w:rsidP="009753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846CE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27.39</w:t>
            </w: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482B6" w14:textId="77777777" w:rsidR="00846CEF" w:rsidRPr="00846CEF" w:rsidRDefault="00846CEF" w:rsidP="009753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846CE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27.59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B75AB4" w14:textId="77777777" w:rsidR="00846CEF" w:rsidRPr="00846CEF" w:rsidRDefault="00846CEF" w:rsidP="009753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846CE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28.09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F9C62" w14:textId="77777777" w:rsidR="00846CEF" w:rsidRPr="00846CEF" w:rsidRDefault="00846CEF" w:rsidP="009753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846CE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25.4987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F3226" w14:textId="77777777" w:rsidR="00846CEF" w:rsidRPr="00846CEF" w:rsidRDefault="00846CEF" w:rsidP="009753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846CE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29.1544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3876A" w14:textId="77777777" w:rsidR="00846CEF" w:rsidRPr="00846CEF" w:rsidRDefault="00846CEF" w:rsidP="009753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846CE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32.6437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EBC69" w14:textId="77777777" w:rsidR="00846CEF" w:rsidRPr="00846CEF" w:rsidRDefault="00846CEF" w:rsidP="009753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846CE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36.461</w:t>
            </w:r>
          </w:p>
        </w:tc>
        <w:tc>
          <w:tcPr>
            <w:tcW w:w="307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EC5E3" w14:textId="77777777" w:rsidR="00846CEF" w:rsidRPr="00846CEF" w:rsidRDefault="00846CEF" w:rsidP="009753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846CE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21.9088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A62B7" w14:textId="77777777" w:rsidR="00846CEF" w:rsidRPr="00846CEF" w:rsidRDefault="00846CEF" w:rsidP="009753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846CE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22.7137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9EABC" w14:textId="77777777" w:rsidR="00846CEF" w:rsidRPr="00846CEF" w:rsidRDefault="00846CEF" w:rsidP="009753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846CE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22.7059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0F097B" w14:textId="77777777" w:rsidR="00846CEF" w:rsidRPr="00846CEF" w:rsidRDefault="00846CEF" w:rsidP="009753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846CE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22.85</w:t>
            </w:r>
          </w:p>
        </w:tc>
      </w:tr>
      <w:tr w:rsidR="00846CEF" w:rsidRPr="00846CEF" w14:paraId="325C6A8B" w14:textId="77777777" w:rsidTr="00975385">
        <w:trPr>
          <w:trHeight w:val="225"/>
        </w:trPr>
        <w:tc>
          <w:tcPr>
            <w:tcW w:w="496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B43963" w14:textId="5A677D6C" w:rsidR="00846CEF" w:rsidRPr="00846CEF" w:rsidRDefault="00846CEF" w:rsidP="00846CE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12"/>
                <w:szCs w:val="12"/>
              </w:rPr>
            </w:pPr>
            <w:proofErr w:type="spellStart"/>
            <w:r w:rsidRPr="00846CEF">
              <w:rPr>
                <w:rFonts w:ascii="Calibri" w:eastAsia="Times New Roman" w:hAnsi="Calibri" w:cs="Times New Roman"/>
                <w:i/>
                <w:iCs/>
                <w:color w:val="000000"/>
                <w:sz w:val="12"/>
                <w:szCs w:val="12"/>
              </w:rPr>
              <w:t>cerro</w:t>
            </w:r>
            <w:proofErr w:type="spellEnd"/>
          </w:p>
        </w:tc>
        <w:tc>
          <w:tcPr>
            <w:tcW w:w="248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A5FEF" w14:textId="77777777" w:rsidR="00846CEF" w:rsidRPr="00846CEF" w:rsidRDefault="00846CEF" w:rsidP="009753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846CE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26.04</w:t>
            </w:r>
          </w:p>
        </w:tc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F2CEA" w14:textId="77777777" w:rsidR="00846CEF" w:rsidRPr="00846CEF" w:rsidRDefault="00846CEF" w:rsidP="009753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846CE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29.29</w:t>
            </w: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AE5B9" w14:textId="77777777" w:rsidR="00846CEF" w:rsidRPr="00846CEF" w:rsidRDefault="00846CEF" w:rsidP="009753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846CE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32.69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BC671" w14:textId="77777777" w:rsidR="00846CEF" w:rsidRPr="00846CEF" w:rsidRDefault="00846CEF" w:rsidP="009753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846CE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36.03</w:t>
            </w:r>
          </w:p>
        </w:tc>
        <w:tc>
          <w:tcPr>
            <w:tcW w:w="248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8CDE4" w14:textId="77777777" w:rsidR="00846CEF" w:rsidRPr="00846CEF" w:rsidRDefault="00846CEF" w:rsidP="009753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846CE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27.12</w:t>
            </w:r>
          </w:p>
        </w:tc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F92CD" w14:textId="77777777" w:rsidR="00846CEF" w:rsidRPr="00846CEF" w:rsidRDefault="00846CEF" w:rsidP="009753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846CE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27.26</w:t>
            </w: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F7667" w14:textId="77777777" w:rsidR="00846CEF" w:rsidRPr="00846CEF" w:rsidRDefault="00846CEF" w:rsidP="009753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846CE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27.7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EDFC2C" w14:textId="77777777" w:rsidR="00846CEF" w:rsidRPr="00846CEF" w:rsidRDefault="00846CEF" w:rsidP="009753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846CE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27.52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00B03" w14:textId="77777777" w:rsidR="00846CEF" w:rsidRPr="00846CEF" w:rsidRDefault="00846CEF" w:rsidP="009753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846CE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26.3656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34291" w14:textId="77777777" w:rsidR="00846CEF" w:rsidRPr="00846CEF" w:rsidRDefault="00846CEF" w:rsidP="009753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846CE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29.8812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D6B4C" w14:textId="77777777" w:rsidR="00846CEF" w:rsidRPr="00846CEF" w:rsidRDefault="00846CEF" w:rsidP="009753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846CE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33.6275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A2C68" w14:textId="77777777" w:rsidR="00846CEF" w:rsidRPr="00846CEF" w:rsidRDefault="00846CEF" w:rsidP="009753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846CE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37.9067</w:t>
            </w:r>
          </w:p>
        </w:tc>
        <w:tc>
          <w:tcPr>
            <w:tcW w:w="307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67DE7" w14:textId="77777777" w:rsidR="00846CEF" w:rsidRPr="00846CEF" w:rsidRDefault="00846CEF" w:rsidP="009753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846CE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22.6734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8E4E1" w14:textId="77777777" w:rsidR="00846CEF" w:rsidRPr="00846CEF" w:rsidRDefault="00846CEF" w:rsidP="009753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846CE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22.4442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15D09" w14:textId="77777777" w:rsidR="00846CEF" w:rsidRPr="00846CEF" w:rsidRDefault="00846CEF" w:rsidP="009753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846CE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22.6335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3AFF2E" w14:textId="77777777" w:rsidR="00846CEF" w:rsidRPr="00846CEF" w:rsidRDefault="00846CEF" w:rsidP="009753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846CE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23.2201</w:t>
            </w:r>
          </w:p>
        </w:tc>
      </w:tr>
      <w:tr w:rsidR="00846CEF" w:rsidRPr="00846CEF" w14:paraId="07EAB70C" w14:textId="77777777" w:rsidTr="00975385">
        <w:trPr>
          <w:trHeight w:val="288"/>
        </w:trPr>
        <w:tc>
          <w:tcPr>
            <w:tcW w:w="496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702061" w14:textId="0502D00F" w:rsidR="00846CEF" w:rsidRPr="00846CEF" w:rsidRDefault="00846CEF" w:rsidP="00846CE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12"/>
                <w:szCs w:val="12"/>
              </w:rPr>
            </w:pPr>
            <w:proofErr w:type="spellStart"/>
            <w:r w:rsidRPr="00846CEF">
              <w:rPr>
                <w:rFonts w:ascii="Calibri" w:eastAsia="Times New Roman" w:hAnsi="Calibri" w:cs="Times New Roman"/>
                <w:i/>
                <w:iCs/>
                <w:color w:val="000000"/>
                <w:sz w:val="12"/>
                <w:szCs w:val="12"/>
              </w:rPr>
              <w:t>hadar</w:t>
            </w:r>
            <w:proofErr w:type="spellEnd"/>
          </w:p>
        </w:tc>
        <w:tc>
          <w:tcPr>
            <w:tcW w:w="248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6E076" w14:textId="77777777" w:rsidR="00846CEF" w:rsidRPr="00846CEF" w:rsidRDefault="00846CEF" w:rsidP="009753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846CE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25.16</w:t>
            </w:r>
          </w:p>
        </w:tc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DE3B0" w14:textId="77777777" w:rsidR="00846CEF" w:rsidRPr="00846CEF" w:rsidRDefault="00846CEF" w:rsidP="009753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846CE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28.2</w:t>
            </w: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4A217" w14:textId="77777777" w:rsidR="00846CEF" w:rsidRPr="00846CEF" w:rsidRDefault="00846CEF" w:rsidP="009753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846CE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33.14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B2D50" w14:textId="77777777" w:rsidR="00846CEF" w:rsidRPr="00846CEF" w:rsidRDefault="00846CEF" w:rsidP="009753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846CE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36.24</w:t>
            </w:r>
          </w:p>
        </w:tc>
        <w:tc>
          <w:tcPr>
            <w:tcW w:w="248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6318C" w14:textId="77777777" w:rsidR="00846CEF" w:rsidRPr="00846CEF" w:rsidRDefault="00846CEF" w:rsidP="009753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846CE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27.37</w:t>
            </w:r>
          </w:p>
        </w:tc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7BFC0" w14:textId="77777777" w:rsidR="00846CEF" w:rsidRPr="00846CEF" w:rsidRDefault="00846CEF" w:rsidP="009753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846CE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26.88</w:t>
            </w: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3CDD6" w14:textId="77777777" w:rsidR="00846CEF" w:rsidRPr="00846CEF" w:rsidRDefault="00846CEF" w:rsidP="009753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846CE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29.26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FC8793" w14:textId="77777777" w:rsidR="00846CEF" w:rsidRPr="00846CEF" w:rsidRDefault="00846CEF" w:rsidP="009753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846CE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29.22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9DD8E" w14:textId="77777777" w:rsidR="00846CEF" w:rsidRPr="00846CEF" w:rsidRDefault="00846CEF" w:rsidP="009753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846CE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25.0536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5718B" w14:textId="77777777" w:rsidR="00846CEF" w:rsidRPr="00846CEF" w:rsidRDefault="00846CEF" w:rsidP="009753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846CE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29.0527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1BCFC" w14:textId="77777777" w:rsidR="00846CEF" w:rsidRPr="00846CEF" w:rsidRDefault="00846CEF" w:rsidP="009753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846CE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32.6122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BE112" w14:textId="77777777" w:rsidR="00846CEF" w:rsidRPr="00846CEF" w:rsidRDefault="00846CEF" w:rsidP="009753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846CE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36.4998</w:t>
            </w:r>
          </w:p>
        </w:tc>
        <w:tc>
          <w:tcPr>
            <w:tcW w:w="307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63AFF" w14:textId="77777777" w:rsidR="00846CEF" w:rsidRPr="00846CEF" w:rsidRDefault="00846CEF" w:rsidP="009753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846CE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22.1203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1F8BD" w14:textId="77777777" w:rsidR="00846CEF" w:rsidRPr="00846CEF" w:rsidRDefault="00846CEF" w:rsidP="009753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846CE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22.8639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05C08" w14:textId="77777777" w:rsidR="00846CEF" w:rsidRPr="00846CEF" w:rsidRDefault="00846CEF" w:rsidP="009753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846CE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22.9691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074B90" w14:textId="77777777" w:rsidR="00846CEF" w:rsidRPr="00846CEF" w:rsidRDefault="00846CEF" w:rsidP="009753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846CE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23.0376</w:t>
            </w:r>
          </w:p>
        </w:tc>
      </w:tr>
      <w:tr w:rsidR="00846CEF" w:rsidRPr="00846CEF" w14:paraId="60BFDFB9" w14:textId="77777777" w:rsidTr="00975385">
        <w:trPr>
          <w:trHeight w:val="207"/>
        </w:trPr>
        <w:tc>
          <w:tcPr>
            <w:tcW w:w="4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7CF1C5" w14:textId="0C0B5CC7" w:rsidR="00846CEF" w:rsidRPr="00846CEF" w:rsidRDefault="00846CEF" w:rsidP="00846CE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12"/>
                <w:szCs w:val="12"/>
              </w:rPr>
            </w:pPr>
            <w:proofErr w:type="spellStart"/>
            <w:r w:rsidRPr="00846CEF">
              <w:rPr>
                <w:rFonts w:ascii="Calibri" w:eastAsia="Times New Roman" w:hAnsi="Calibri" w:cs="Times New Roman"/>
                <w:i/>
                <w:iCs/>
                <w:color w:val="000000"/>
                <w:sz w:val="12"/>
                <w:szCs w:val="12"/>
              </w:rPr>
              <w:t>muenchen</w:t>
            </w:r>
            <w:proofErr w:type="spellEnd"/>
          </w:p>
        </w:tc>
        <w:tc>
          <w:tcPr>
            <w:tcW w:w="24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53E511" w14:textId="77777777" w:rsidR="00846CEF" w:rsidRPr="00846CEF" w:rsidRDefault="00846CEF" w:rsidP="009753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846CE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28.29</w:t>
            </w:r>
          </w:p>
        </w:tc>
        <w:tc>
          <w:tcPr>
            <w:tcW w:w="24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877021" w14:textId="77777777" w:rsidR="00846CEF" w:rsidRPr="00846CEF" w:rsidRDefault="00846CEF" w:rsidP="009753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846CE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32.32</w:t>
            </w:r>
          </w:p>
        </w:tc>
        <w:tc>
          <w:tcPr>
            <w:tcW w:w="24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E5693F" w14:textId="77777777" w:rsidR="00846CEF" w:rsidRPr="00846CEF" w:rsidRDefault="00846CEF" w:rsidP="009753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846CE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35.49</w:t>
            </w:r>
          </w:p>
        </w:tc>
        <w:tc>
          <w:tcPr>
            <w:tcW w:w="27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0365C2" w14:textId="77777777" w:rsidR="00846CEF" w:rsidRPr="00846CEF" w:rsidRDefault="00846CEF" w:rsidP="009753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846CE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40.25</w:t>
            </w:r>
          </w:p>
        </w:tc>
        <w:tc>
          <w:tcPr>
            <w:tcW w:w="248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63B572" w14:textId="77777777" w:rsidR="00846CEF" w:rsidRPr="00846CEF" w:rsidRDefault="00846CEF" w:rsidP="009753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846CE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28.75</w:t>
            </w:r>
          </w:p>
        </w:tc>
        <w:tc>
          <w:tcPr>
            <w:tcW w:w="24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349487" w14:textId="77777777" w:rsidR="00846CEF" w:rsidRPr="00846CEF" w:rsidRDefault="00846CEF" w:rsidP="009753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846CE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28.77</w:t>
            </w:r>
          </w:p>
        </w:tc>
        <w:tc>
          <w:tcPr>
            <w:tcW w:w="24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32EF22" w14:textId="77777777" w:rsidR="00846CEF" w:rsidRPr="00846CEF" w:rsidRDefault="00846CEF" w:rsidP="009753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846CE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27.92</w:t>
            </w:r>
          </w:p>
        </w:tc>
        <w:tc>
          <w:tcPr>
            <w:tcW w:w="2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0CE15D" w14:textId="77777777" w:rsidR="00846CEF" w:rsidRPr="00846CEF" w:rsidRDefault="00846CEF" w:rsidP="009753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846CE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32.6</w:t>
            </w:r>
          </w:p>
        </w:tc>
        <w:tc>
          <w:tcPr>
            <w:tcW w:w="307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2E89D9" w14:textId="77777777" w:rsidR="00846CEF" w:rsidRPr="00846CEF" w:rsidRDefault="00846CEF" w:rsidP="009753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846CE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28.0203</w:t>
            </w:r>
          </w:p>
        </w:tc>
        <w:tc>
          <w:tcPr>
            <w:tcW w:w="30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6B143D" w14:textId="77777777" w:rsidR="00846CEF" w:rsidRPr="00846CEF" w:rsidRDefault="00846CEF" w:rsidP="009753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846CE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31.6686</w:t>
            </w:r>
          </w:p>
        </w:tc>
        <w:tc>
          <w:tcPr>
            <w:tcW w:w="30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F429CB" w14:textId="77777777" w:rsidR="00846CEF" w:rsidRPr="00846CEF" w:rsidRDefault="00846CEF" w:rsidP="009753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846CE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35.1989</w:t>
            </w:r>
          </w:p>
        </w:tc>
        <w:tc>
          <w:tcPr>
            <w:tcW w:w="3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F45572" w14:textId="77777777" w:rsidR="00846CEF" w:rsidRPr="00846CEF" w:rsidRDefault="00846CEF" w:rsidP="009753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846CE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None</w:t>
            </w:r>
          </w:p>
        </w:tc>
        <w:tc>
          <w:tcPr>
            <w:tcW w:w="307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7EC445" w14:textId="77777777" w:rsidR="00846CEF" w:rsidRPr="00846CEF" w:rsidRDefault="00846CEF" w:rsidP="009753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846CE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22.4277</w:t>
            </w:r>
          </w:p>
        </w:tc>
        <w:tc>
          <w:tcPr>
            <w:tcW w:w="30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3C33FB" w14:textId="77777777" w:rsidR="00846CEF" w:rsidRPr="00846CEF" w:rsidRDefault="00846CEF" w:rsidP="009753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846CE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22.855</w:t>
            </w:r>
          </w:p>
        </w:tc>
        <w:tc>
          <w:tcPr>
            <w:tcW w:w="30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A2DE68" w14:textId="77777777" w:rsidR="00846CEF" w:rsidRPr="00846CEF" w:rsidRDefault="00846CEF" w:rsidP="009753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846CEF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23.0996</w:t>
            </w:r>
          </w:p>
        </w:tc>
        <w:tc>
          <w:tcPr>
            <w:tcW w:w="3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3AF46E" w14:textId="09E29D8F" w:rsidR="00846CEF" w:rsidRPr="00846CEF" w:rsidRDefault="00846CEF" w:rsidP="009753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</w:pPr>
            <w:r w:rsidRPr="00975385">
              <w:rPr>
                <w:rFonts w:ascii="Calibri" w:eastAsia="Times New Roman" w:hAnsi="Calibri" w:cs="Times New Roman"/>
                <w:color w:val="000000"/>
                <w:sz w:val="10"/>
                <w:szCs w:val="10"/>
              </w:rPr>
              <w:t>--------</w:t>
            </w:r>
          </w:p>
        </w:tc>
      </w:tr>
    </w:tbl>
    <w:p w14:paraId="4F88CFC8" w14:textId="77777777" w:rsidR="00975385" w:rsidRDefault="00975385" w:rsidP="00130F1D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0"/>
        <w:gridCol w:w="810"/>
        <w:gridCol w:w="1170"/>
        <w:gridCol w:w="810"/>
        <w:gridCol w:w="1170"/>
        <w:gridCol w:w="1080"/>
        <w:gridCol w:w="900"/>
      </w:tblGrid>
      <w:tr w:rsidR="00975385" w:rsidRPr="00975385" w14:paraId="25DC0392" w14:textId="77777777" w:rsidTr="00ED7272">
        <w:trPr>
          <w:trHeight w:val="170"/>
        </w:trPr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hideMark/>
          </w:tcPr>
          <w:p w14:paraId="7F3B23F1" w14:textId="77777777" w:rsidR="00975385" w:rsidRPr="00975385" w:rsidRDefault="00975385">
            <w:pPr>
              <w:rPr>
                <w:b/>
                <w:sz w:val="14"/>
                <w:szCs w:val="14"/>
              </w:rPr>
            </w:pPr>
          </w:p>
        </w:tc>
        <w:tc>
          <w:tcPr>
            <w:tcW w:w="1980" w:type="dxa"/>
            <w:gridSpan w:val="2"/>
            <w:tcBorders>
              <w:left w:val="single" w:sz="4" w:space="0" w:color="auto"/>
            </w:tcBorders>
            <w:noWrap/>
            <w:hideMark/>
          </w:tcPr>
          <w:p w14:paraId="1ADECE29" w14:textId="2AC3761A" w:rsidR="00975385" w:rsidRPr="00975385" w:rsidRDefault="00975385" w:rsidP="00975385">
            <w:pPr>
              <w:rPr>
                <w:b/>
                <w:sz w:val="14"/>
                <w:szCs w:val="14"/>
              </w:rPr>
            </w:pPr>
            <w:proofErr w:type="spellStart"/>
            <w:r w:rsidRPr="00975385">
              <w:rPr>
                <w:b/>
                <w:sz w:val="14"/>
                <w:szCs w:val="14"/>
              </w:rPr>
              <w:t>SmartCycler</w:t>
            </w:r>
            <w:proofErr w:type="spellEnd"/>
            <w:r w:rsidRPr="00975385">
              <w:rPr>
                <w:b/>
                <w:sz w:val="14"/>
                <w:szCs w:val="14"/>
              </w:rPr>
              <w:t xml:space="preserve"> (samples 1-5)</w:t>
            </w:r>
          </w:p>
        </w:tc>
        <w:tc>
          <w:tcPr>
            <w:tcW w:w="1980" w:type="dxa"/>
            <w:gridSpan w:val="2"/>
            <w:noWrap/>
            <w:hideMark/>
          </w:tcPr>
          <w:p w14:paraId="7097CD3D" w14:textId="51C1617B" w:rsidR="00975385" w:rsidRPr="00975385" w:rsidRDefault="00975385" w:rsidP="00975385">
            <w:pPr>
              <w:rPr>
                <w:b/>
                <w:sz w:val="14"/>
                <w:szCs w:val="14"/>
              </w:rPr>
            </w:pPr>
            <w:proofErr w:type="spellStart"/>
            <w:r w:rsidRPr="00975385">
              <w:rPr>
                <w:b/>
                <w:sz w:val="14"/>
                <w:szCs w:val="14"/>
              </w:rPr>
              <w:t>SmartCycler</w:t>
            </w:r>
            <w:proofErr w:type="spellEnd"/>
            <w:r w:rsidRPr="00975385">
              <w:rPr>
                <w:b/>
                <w:sz w:val="14"/>
                <w:szCs w:val="14"/>
              </w:rPr>
              <w:t xml:space="preserve"> (samples 6-10)</w:t>
            </w:r>
          </w:p>
        </w:tc>
        <w:tc>
          <w:tcPr>
            <w:tcW w:w="1980" w:type="dxa"/>
            <w:gridSpan w:val="2"/>
            <w:noWrap/>
            <w:hideMark/>
          </w:tcPr>
          <w:p w14:paraId="0AA98EE8" w14:textId="318085DC" w:rsidR="00975385" w:rsidRPr="00975385" w:rsidRDefault="00975385" w:rsidP="00975385">
            <w:pPr>
              <w:rPr>
                <w:b/>
                <w:sz w:val="14"/>
                <w:szCs w:val="14"/>
              </w:rPr>
            </w:pPr>
            <w:r w:rsidRPr="00975385">
              <w:rPr>
                <w:b/>
                <w:sz w:val="14"/>
                <w:szCs w:val="14"/>
              </w:rPr>
              <w:t>ABI 7500</w:t>
            </w:r>
            <w:r>
              <w:rPr>
                <w:b/>
                <w:sz w:val="14"/>
                <w:szCs w:val="14"/>
              </w:rPr>
              <w:t xml:space="preserve"> (samples 1-10)</w:t>
            </w:r>
          </w:p>
        </w:tc>
      </w:tr>
      <w:tr w:rsidR="00975385" w:rsidRPr="00975385" w14:paraId="3E2306EE" w14:textId="77777777" w:rsidTr="00ED7272">
        <w:trPr>
          <w:trHeight w:val="197"/>
        </w:trPr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481AEBE" w14:textId="77777777" w:rsidR="00975385" w:rsidRPr="00975385" w:rsidRDefault="00975385" w:rsidP="00975385">
            <w:pPr>
              <w:rPr>
                <w:b/>
                <w:sz w:val="14"/>
                <w:szCs w:val="14"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  <w:noWrap/>
            <w:hideMark/>
          </w:tcPr>
          <w:p w14:paraId="7E19530F" w14:textId="77777777" w:rsidR="00975385" w:rsidRPr="00975385" w:rsidRDefault="00975385">
            <w:pPr>
              <w:rPr>
                <w:b/>
                <w:i/>
                <w:iCs/>
                <w:sz w:val="14"/>
                <w:szCs w:val="14"/>
              </w:rPr>
            </w:pPr>
            <w:r w:rsidRPr="00975385">
              <w:rPr>
                <w:b/>
                <w:i/>
                <w:iCs/>
                <w:sz w:val="14"/>
                <w:szCs w:val="14"/>
              </w:rPr>
              <w:t>OriC</w:t>
            </w:r>
          </w:p>
        </w:tc>
        <w:tc>
          <w:tcPr>
            <w:tcW w:w="1170" w:type="dxa"/>
            <w:noWrap/>
            <w:hideMark/>
          </w:tcPr>
          <w:p w14:paraId="2C9474D1" w14:textId="77777777" w:rsidR="00975385" w:rsidRPr="00975385" w:rsidRDefault="00975385">
            <w:pPr>
              <w:rPr>
                <w:b/>
                <w:i/>
                <w:iCs/>
                <w:sz w:val="14"/>
                <w:szCs w:val="14"/>
              </w:rPr>
            </w:pPr>
            <w:r w:rsidRPr="00975385">
              <w:rPr>
                <w:b/>
                <w:i/>
                <w:iCs/>
                <w:sz w:val="14"/>
                <w:szCs w:val="14"/>
              </w:rPr>
              <w:t>GFP</w:t>
            </w:r>
          </w:p>
        </w:tc>
        <w:tc>
          <w:tcPr>
            <w:tcW w:w="810" w:type="dxa"/>
            <w:noWrap/>
            <w:hideMark/>
          </w:tcPr>
          <w:p w14:paraId="56522DE5" w14:textId="77777777" w:rsidR="00975385" w:rsidRPr="00975385" w:rsidRDefault="00975385">
            <w:pPr>
              <w:rPr>
                <w:b/>
                <w:i/>
                <w:iCs/>
                <w:sz w:val="14"/>
                <w:szCs w:val="14"/>
              </w:rPr>
            </w:pPr>
            <w:r w:rsidRPr="00975385">
              <w:rPr>
                <w:b/>
                <w:i/>
                <w:iCs/>
                <w:sz w:val="14"/>
                <w:szCs w:val="14"/>
              </w:rPr>
              <w:t>OriC</w:t>
            </w:r>
          </w:p>
        </w:tc>
        <w:tc>
          <w:tcPr>
            <w:tcW w:w="1170" w:type="dxa"/>
            <w:noWrap/>
            <w:hideMark/>
          </w:tcPr>
          <w:p w14:paraId="29B79E55" w14:textId="77777777" w:rsidR="00975385" w:rsidRPr="00975385" w:rsidRDefault="00975385">
            <w:pPr>
              <w:rPr>
                <w:b/>
                <w:i/>
                <w:iCs/>
                <w:sz w:val="14"/>
                <w:szCs w:val="14"/>
              </w:rPr>
            </w:pPr>
            <w:r w:rsidRPr="00975385">
              <w:rPr>
                <w:b/>
                <w:i/>
                <w:iCs/>
                <w:sz w:val="14"/>
                <w:szCs w:val="14"/>
              </w:rPr>
              <w:t>GFP</w:t>
            </w:r>
          </w:p>
        </w:tc>
        <w:tc>
          <w:tcPr>
            <w:tcW w:w="1080" w:type="dxa"/>
            <w:noWrap/>
            <w:hideMark/>
          </w:tcPr>
          <w:p w14:paraId="0441EB30" w14:textId="77777777" w:rsidR="00975385" w:rsidRPr="00975385" w:rsidRDefault="00975385">
            <w:pPr>
              <w:rPr>
                <w:b/>
                <w:i/>
                <w:iCs/>
                <w:sz w:val="14"/>
                <w:szCs w:val="14"/>
              </w:rPr>
            </w:pPr>
            <w:r w:rsidRPr="00975385">
              <w:rPr>
                <w:b/>
                <w:i/>
                <w:iCs/>
                <w:sz w:val="14"/>
                <w:szCs w:val="14"/>
              </w:rPr>
              <w:t>OriC</w:t>
            </w:r>
          </w:p>
        </w:tc>
        <w:tc>
          <w:tcPr>
            <w:tcW w:w="900" w:type="dxa"/>
            <w:noWrap/>
            <w:hideMark/>
          </w:tcPr>
          <w:p w14:paraId="6FE84EC6" w14:textId="77777777" w:rsidR="00975385" w:rsidRPr="00975385" w:rsidRDefault="00975385">
            <w:pPr>
              <w:rPr>
                <w:b/>
                <w:i/>
                <w:iCs/>
                <w:sz w:val="14"/>
                <w:szCs w:val="14"/>
              </w:rPr>
            </w:pPr>
            <w:r w:rsidRPr="00975385">
              <w:rPr>
                <w:b/>
                <w:i/>
                <w:iCs/>
                <w:sz w:val="14"/>
                <w:szCs w:val="14"/>
              </w:rPr>
              <w:t>GFP</w:t>
            </w:r>
          </w:p>
        </w:tc>
      </w:tr>
      <w:tr w:rsidR="00975385" w:rsidRPr="00975385" w14:paraId="0867E83B" w14:textId="77777777" w:rsidTr="00ED7272">
        <w:trPr>
          <w:trHeight w:val="215"/>
        </w:trPr>
        <w:tc>
          <w:tcPr>
            <w:tcW w:w="1530" w:type="dxa"/>
            <w:tcBorders>
              <w:top w:val="single" w:sz="4" w:space="0" w:color="auto"/>
            </w:tcBorders>
            <w:hideMark/>
          </w:tcPr>
          <w:p w14:paraId="60CD9BD2" w14:textId="77777777" w:rsidR="00975385" w:rsidRPr="00975385" w:rsidRDefault="00975385">
            <w:pPr>
              <w:rPr>
                <w:b/>
                <w:sz w:val="14"/>
                <w:szCs w:val="14"/>
              </w:rPr>
            </w:pPr>
            <w:r w:rsidRPr="00975385">
              <w:rPr>
                <w:b/>
                <w:sz w:val="14"/>
                <w:szCs w:val="14"/>
              </w:rPr>
              <w:t>Positive Control</w:t>
            </w:r>
          </w:p>
        </w:tc>
        <w:tc>
          <w:tcPr>
            <w:tcW w:w="810" w:type="dxa"/>
            <w:noWrap/>
            <w:hideMark/>
          </w:tcPr>
          <w:p w14:paraId="4ADFAC71" w14:textId="77777777" w:rsidR="00975385" w:rsidRPr="00ED7272" w:rsidRDefault="00975385" w:rsidP="00975385">
            <w:pPr>
              <w:rPr>
                <w:sz w:val="14"/>
                <w:szCs w:val="14"/>
              </w:rPr>
            </w:pPr>
            <w:r w:rsidRPr="00ED7272">
              <w:rPr>
                <w:sz w:val="14"/>
                <w:szCs w:val="14"/>
              </w:rPr>
              <w:t>30.03</w:t>
            </w:r>
          </w:p>
        </w:tc>
        <w:tc>
          <w:tcPr>
            <w:tcW w:w="1170" w:type="dxa"/>
            <w:noWrap/>
            <w:hideMark/>
          </w:tcPr>
          <w:p w14:paraId="01E74D23" w14:textId="77777777" w:rsidR="00975385" w:rsidRPr="00ED7272" w:rsidRDefault="00975385" w:rsidP="00975385">
            <w:pPr>
              <w:rPr>
                <w:sz w:val="14"/>
                <w:szCs w:val="14"/>
              </w:rPr>
            </w:pPr>
            <w:r w:rsidRPr="00ED7272">
              <w:rPr>
                <w:sz w:val="14"/>
                <w:szCs w:val="14"/>
              </w:rPr>
              <w:t>23.19</w:t>
            </w:r>
          </w:p>
        </w:tc>
        <w:tc>
          <w:tcPr>
            <w:tcW w:w="810" w:type="dxa"/>
            <w:noWrap/>
            <w:hideMark/>
          </w:tcPr>
          <w:p w14:paraId="2186E247" w14:textId="77777777" w:rsidR="00975385" w:rsidRPr="00ED7272" w:rsidRDefault="00975385" w:rsidP="00975385">
            <w:pPr>
              <w:rPr>
                <w:sz w:val="14"/>
                <w:szCs w:val="14"/>
              </w:rPr>
            </w:pPr>
            <w:r w:rsidRPr="00ED7272">
              <w:rPr>
                <w:sz w:val="14"/>
                <w:szCs w:val="14"/>
              </w:rPr>
              <w:t>30.06</w:t>
            </w:r>
          </w:p>
        </w:tc>
        <w:tc>
          <w:tcPr>
            <w:tcW w:w="1170" w:type="dxa"/>
            <w:noWrap/>
            <w:hideMark/>
          </w:tcPr>
          <w:p w14:paraId="4EA377DD" w14:textId="77777777" w:rsidR="00975385" w:rsidRPr="00ED7272" w:rsidRDefault="00975385" w:rsidP="00975385">
            <w:pPr>
              <w:rPr>
                <w:sz w:val="14"/>
                <w:szCs w:val="14"/>
              </w:rPr>
            </w:pPr>
            <w:r w:rsidRPr="00ED7272">
              <w:rPr>
                <w:sz w:val="14"/>
                <w:szCs w:val="14"/>
              </w:rPr>
              <w:t>33.22</w:t>
            </w:r>
          </w:p>
        </w:tc>
        <w:tc>
          <w:tcPr>
            <w:tcW w:w="1080" w:type="dxa"/>
            <w:noWrap/>
            <w:hideMark/>
          </w:tcPr>
          <w:p w14:paraId="703A415C" w14:textId="77777777" w:rsidR="00975385" w:rsidRPr="00ED7272" w:rsidRDefault="00975385" w:rsidP="00975385">
            <w:pPr>
              <w:rPr>
                <w:sz w:val="14"/>
                <w:szCs w:val="14"/>
              </w:rPr>
            </w:pPr>
            <w:r w:rsidRPr="00ED7272">
              <w:rPr>
                <w:sz w:val="14"/>
                <w:szCs w:val="14"/>
              </w:rPr>
              <w:t>30.4976</w:t>
            </w:r>
          </w:p>
        </w:tc>
        <w:tc>
          <w:tcPr>
            <w:tcW w:w="900" w:type="dxa"/>
            <w:noWrap/>
            <w:hideMark/>
          </w:tcPr>
          <w:p w14:paraId="05EA4BBB" w14:textId="77777777" w:rsidR="00975385" w:rsidRPr="00ED7272" w:rsidRDefault="00975385" w:rsidP="00975385">
            <w:pPr>
              <w:rPr>
                <w:sz w:val="14"/>
                <w:szCs w:val="14"/>
              </w:rPr>
            </w:pPr>
            <w:r w:rsidRPr="00ED7272">
              <w:rPr>
                <w:sz w:val="14"/>
                <w:szCs w:val="14"/>
              </w:rPr>
              <w:t>21.9624</w:t>
            </w:r>
          </w:p>
        </w:tc>
      </w:tr>
      <w:tr w:rsidR="00975385" w:rsidRPr="00975385" w14:paraId="7625B220" w14:textId="77777777" w:rsidTr="00ED7272">
        <w:trPr>
          <w:trHeight w:val="170"/>
        </w:trPr>
        <w:tc>
          <w:tcPr>
            <w:tcW w:w="1530" w:type="dxa"/>
            <w:hideMark/>
          </w:tcPr>
          <w:p w14:paraId="1544C1C1" w14:textId="77777777" w:rsidR="00975385" w:rsidRPr="00975385" w:rsidRDefault="00975385">
            <w:pPr>
              <w:rPr>
                <w:b/>
                <w:sz w:val="14"/>
                <w:szCs w:val="14"/>
              </w:rPr>
            </w:pPr>
            <w:r w:rsidRPr="00975385">
              <w:rPr>
                <w:b/>
                <w:sz w:val="14"/>
                <w:szCs w:val="14"/>
              </w:rPr>
              <w:t>NTC</w:t>
            </w:r>
          </w:p>
        </w:tc>
        <w:tc>
          <w:tcPr>
            <w:tcW w:w="810" w:type="dxa"/>
            <w:noWrap/>
            <w:hideMark/>
          </w:tcPr>
          <w:p w14:paraId="09C9C3F0" w14:textId="77777777" w:rsidR="00975385" w:rsidRPr="00ED7272" w:rsidRDefault="00975385" w:rsidP="00975385">
            <w:pPr>
              <w:rPr>
                <w:sz w:val="14"/>
                <w:szCs w:val="14"/>
              </w:rPr>
            </w:pPr>
            <w:r w:rsidRPr="00ED7272">
              <w:rPr>
                <w:sz w:val="14"/>
                <w:szCs w:val="14"/>
              </w:rPr>
              <w:t>0</w:t>
            </w:r>
          </w:p>
        </w:tc>
        <w:tc>
          <w:tcPr>
            <w:tcW w:w="1170" w:type="dxa"/>
            <w:noWrap/>
            <w:hideMark/>
          </w:tcPr>
          <w:p w14:paraId="1C6E71DB" w14:textId="77777777" w:rsidR="00975385" w:rsidRPr="00ED7272" w:rsidRDefault="00975385" w:rsidP="00975385">
            <w:pPr>
              <w:rPr>
                <w:sz w:val="14"/>
                <w:szCs w:val="14"/>
              </w:rPr>
            </w:pPr>
            <w:r w:rsidRPr="00ED7272">
              <w:rPr>
                <w:sz w:val="14"/>
                <w:szCs w:val="14"/>
              </w:rPr>
              <w:t>22.54</w:t>
            </w:r>
          </w:p>
        </w:tc>
        <w:tc>
          <w:tcPr>
            <w:tcW w:w="810" w:type="dxa"/>
            <w:noWrap/>
            <w:hideMark/>
          </w:tcPr>
          <w:p w14:paraId="5412A3B7" w14:textId="77777777" w:rsidR="00975385" w:rsidRPr="00ED7272" w:rsidRDefault="00975385" w:rsidP="00975385">
            <w:pPr>
              <w:rPr>
                <w:sz w:val="14"/>
                <w:szCs w:val="14"/>
              </w:rPr>
            </w:pPr>
            <w:r w:rsidRPr="00ED7272">
              <w:rPr>
                <w:sz w:val="14"/>
                <w:szCs w:val="14"/>
              </w:rPr>
              <w:t>0</w:t>
            </w:r>
          </w:p>
        </w:tc>
        <w:tc>
          <w:tcPr>
            <w:tcW w:w="1170" w:type="dxa"/>
            <w:noWrap/>
            <w:hideMark/>
          </w:tcPr>
          <w:p w14:paraId="6A1F966B" w14:textId="77777777" w:rsidR="00975385" w:rsidRPr="00ED7272" w:rsidRDefault="00975385" w:rsidP="00975385">
            <w:pPr>
              <w:rPr>
                <w:sz w:val="14"/>
                <w:szCs w:val="14"/>
              </w:rPr>
            </w:pPr>
            <w:r w:rsidRPr="00ED7272">
              <w:rPr>
                <w:sz w:val="14"/>
                <w:szCs w:val="14"/>
              </w:rPr>
              <w:t>28.99</w:t>
            </w:r>
          </w:p>
        </w:tc>
        <w:tc>
          <w:tcPr>
            <w:tcW w:w="1080" w:type="dxa"/>
            <w:noWrap/>
            <w:hideMark/>
          </w:tcPr>
          <w:p w14:paraId="58DA7923" w14:textId="77777777" w:rsidR="00975385" w:rsidRPr="00ED7272" w:rsidRDefault="00975385" w:rsidP="00975385">
            <w:pPr>
              <w:rPr>
                <w:sz w:val="14"/>
                <w:szCs w:val="14"/>
              </w:rPr>
            </w:pPr>
            <w:r w:rsidRPr="00ED7272">
              <w:rPr>
                <w:sz w:val="14"/>
                <w:szCs w:val="14"/>
              </w:rPr>
              <w:t>0</w:t>
            </w:r>
          </w:p>
        </w:tc>
        <w:tc>
          <w:tcPr>
            <w:tcW w:w="900" w:type="dxa"/>
            <w:noWrap/>
            <w:hideMark/>
          </w:tcPr>
          <w:p w14:paraId="50660DA1" w14:textId="77777777" w:rsidR="00975385" w:rsidRPr="00ED7272" w:rsidRDefault="00975385" w:rsidP="00975385">
            <w:pPr>
              <w:rPr>
                <w:sz w:val="14"/>
                <w:szCs w:val="14"/>
              </w:rPr>
            </w:pPr>
            <w:r w:rsidRPr="00ED7272">
              <w:rPr>
                <w:sz w:val="14"/>
                <w:szCs w:val="14"/>
              </w:rPr>
              <w:t>22.5627</w:t>
            </w:r>
          </w:p>
        </w:tc>
      </w:tr>
    </w:tbl>
    <w:p w14:paraId="59208DF8" w14:textId="4FE3EA54" w:rsidR="00130F1D" w:rsidRPr="00846CEF" w:rsidRDefault="00846CEF" w:rsidP="00130F1D">
      <w:pPr>
        <w:rPr>
          <w:b/>
        </w:rPr>
      </w:pPr>
      <w:r w:rsidRPr="00846CEF">
        <w:rPr>
          <w:b/>
        </w:rPr>
        <w:t>Table 1. Salmonella spp</w:t>
      </w:r>
      <w:r w:rsidR="00975385">
        <w:rPr>
          <w:b/>
        </w:rPr>
        <w:t>.</w:t>
      </w:r>
      <w:r w:rsidRPr="00846CEF">
        <w:rPr>
          <w:b/>
        </w:rPr>
        <w:t xml:space="preserve"> </w:t>
      </w:r>
      <w:proofErr w:type="spellStart"/>
      <w:r w:rsidRPr="00846CEF">
        <w:rPr>
          <w:b/>
        </w:rPr>
        <w:t>ct</w:t>
      </w:r>
      <w:proofErr w:type="spellEnd"/>
      <w:r w:rsidRPr="00846CEF">
        <w:rPr>
          <w:b/>
        </w:rPr>
        <w:t xml:space="preserve"> values for OriC and </w:t>
      </w:r>
      <w:proofErr w:type="spellStart"/>
      <w:r w:rsidRPr="00846CEF">
        <w:rPr>
          <w:b/>
        </w:rPr>
        <w:t>gfp</w:t>
      </w:r>
      <w:proofErr w:type="spellEnd"/>
      <w:r w:rsidRPr="00846CEF">
        <w:rPr>
          <w:b/>
        </w:rPr>
        <w:t xml:space="preserve"> assays</w:t>
      </w:r>
    </w:p>
    <w:p w14:paraId="50F33D3B" w14:textId="086E7C6D" w:rsidR="00130F1D" w:rsidRDefault="00130F1D" w:rsidP="00130F1D"/>
    <w:tbl>
      <w:tblPr>
        <w:tblW w:w="5490" w:type="dxa"/>
        <w:tblLook w:val="04A0" w:firstRow="1" w:lastRow="0" w:firstColumn="1" w:lastColumn="0" w:noHBand="0" w:noVBand="1"/>
      </w:tblPr>
      <w:tblGrid>
        <w:gridCol w:w="2250"/>
        <w:gridCol w:w="810"/>
        <w:gridCol w:w="810"/>
        <w:gridCol w:w="720"/>
        <w:gridCol w:w="900"/>
      </w:tblGrid>
      <w:tr w:rsidR="008A36E3" w:rsidRPr="008A36E3" w14:paraId="3C14288E" w14:textId="77777777" w:rsidTr="007C52A3">
        <w:trPr>
          <w:trHeight w:val="178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C3F78" w14:textId="77777777" w:rsidR="008A36E3" w:rsidRPr="008A36E3" w:rsidRDefault="008A36E3" w:rsidP="008A36E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6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D6BCEB0" w14:textId="77777777" w:rsidR="008A36E3" w:rsidRPr="008A36E3" w:rsidRDefault="008A36E3" w:rsidP="008A36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8A36E3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SmartCycler</w:t>
            </w:r>
            <w:proofErr w:type="spellEnd"/>
          </w:p>
        </w:tc>
        <w:tc>
          <w:tcPr>
            <w:tcW w:w="16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BE50597" w14:textId="77777777" w:rsidR="008A36E3" w:rsidRPr="008A36E3" w:rsidRDefault="008A36E3" w:rsidP="008A36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8A36E3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ABI 7500</w:t>
            </w:r>
          </w:p>
        </w:tc>
      </w:tr>
      <w:tr w:rsidR="008A36E3" w:rsidRPr="008A36E3" w14:paraId="35C50430" w14:textId="77777777" w:rsidTr="007C52A3">
        <w:trPr>
          <w:trHeight w:val="232"/>
        </w:trPr>
        <w:tc>
          <w:tcPr>
            <w:tcW w:w="2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6499FD" w14:textId="77777777" w:rsidR="008A36E3" w:rsidRPr="008A36E3" w:rsidRDefault="008A36E3" w:rsidP="008A36E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8A36E3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Bacteria</w:t>
            </w:r>
          </w:p>
        </w:tc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7466E9" w14:textId="77777777" w:rsidR="008A36E3" w:rsidRPr="008A36E3" w:rsidRDefault="008A36E3" w:rsidP="008A36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6"/>
                <w:szCs w:val="16"/>
              </w:rPr>
            </w:pPr>
            <w:r w:rsidRPr="008A36E3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6"/>
                <w:szCs w:val="16"/>
              </w:rPr>
              <w:t>OriC</w:t>
            </w:r>
          </w:p>
        </w:tc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9CD6FC" w14:textId="77777777" w:rsidR="008A36E3" w:rsidRPr="008A36E3" w:rsidRDefault="008A36E3" w:rsidP="008A36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6"/>
                <w:szCs w:val="16"/>
              </w:rPr>
            </w:pPr>
            <w:r w:rsidRPr="008A36E3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6"/>
                <w:szCs w:val="16"/>
              </w:rPr>
              <w:t>GFP</w:t>
            </w:r>
          </w:p>
        </w:tc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F028F6" w14:textId="77777777" w:rsidR="008A36E3" w:rsidRPr="008A36E3" w:rsidRDefault="008A36E3" w:rsidP="008A36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6"/>
                <w:szCs w:val="16"/>
              </w:rPr>
            </w:pPr>
            <w:r w:rsidRPr="008A36E3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6"/>
                <w:szCs w:val="16"/>
              </w:rPr>
              <w:t>OriC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602DAC" w14:textId="77777777" w:rsidR="008A36E3" w:rsidRPr="008A36E3" w:rsidRDefault="008A36E3" w:rsidP="008A36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6"/>
                <w:szCs w:val="16"/>
              </w:rPr>
            </w:pPr>
            <w:r w:rsidRPr="008A36E3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6"/>
                <w:szCs w:val="16"/>
              </w:rPr>
              <w:t>GFP</w:t>
            </w:r>
          </w:p>
        </w:tc>
      </w:tr>
      <w:tr w:rsidR="008A36E3" w:rsidRPr="008A36E3" w14:paraId="5982A7BF" w14:textId="77777777" w:rsidTr="008A36E3">
        <w:trPr>
          <w:trHeight w:val="300"/>
        </w:trPr>
        <w:tc>
          <w:tcPr>
            <w:tcW w:w="22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3E8412" w14:textId="77777777" w:rsidR="008A36E3" w:rsidRPr="008A36E3" w:rsidRDefault="008A36E3" w:rsidP="008A36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</w:rPr>
            </w:pPr>
            <w:r w:rsidRPr="008A36E3"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</w:rPr>
              <w:t>Escherichia coli</w:t>
            </w:r>
          </w:p>
        </w:tc>
        <w:tc>
          <w:tcPr>
            <w:tcW w:w="81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D9031" w14:textId="77777777" w:rsidR="008A36E3" w:rsidRPr="008A36E3" w:rsidRDefault="008A36E3" w:rsidP="007C5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A36E3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715FA0" w14:textId="77777777" w:rsidR="008A36E3" w:rsidRPr="008A36E3" w:rsidRDefault="008A36E3" w:rsidP="007C5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A36E3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29.88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E3CF7" w14:textId="77777777" w:rsidR="008A36E3" w:rsidRPr="008A36E3" w:rsidRDefault="008A36E3" w:rsidP="007C5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A36E3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25A047" w14:textId="77777777" w:rsidR="008A36E3" w:rsidRPr="008A36E3" w:rsidRDefault="008A36E3" w:rsidP="007C5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A36E3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22.2911</w:t>
            </w:r>
          </w:p>
        </w:tc>
      </w:tr>
      <w:tr w:rsidR="008A36E3" w:rsidRPr="008A36E3" w14:paraId="5D09CBF5" w14:textId="77777777" w:rsidTr="007C52A3">
        <w:trPr>
          <w:trHeight w:val="207"/>
        </w:trPr>
        <w:tc>
          <w:tcPr>
            <w:tcW w:w="22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6A3012" w14:textId="77777777" w:rsidR="008A36E3" w:rsidRPr="008A36E3" w:rsidRDefault="008A36E3" w:rsidP="008A36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</w:rPr>
            </w:pPr>
            <w:r w:rsidRPr="008A36E3"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</w:rPr>
              <w:t>Pseudomonas aeruginosa</w:t>
            </w:r>
          </w:p>
        </w:tc>
        <w:tc>
          <w:tcPr>
            <w:tcW w:w="81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2C24E" w14:textId="77777777" w:rsidR="008A36E3" w:rsidRPr="008A36E3" w:rsidRDefault="008A36E3" w:rsidP="007C5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A36E3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A52B23" w14:textId="77777777" w:rsidR="008A36E3" w:rsidRPr="008A36E3" w:rsidRDefault="008A36E3" w:rsidP="007C5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A36E3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29.24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4C0D8" w14:textId="77777777" w:rsidR="008A36E3" w:rsidRPr="008A36E3" w:rsidRDefault="008A36E3" w:rsidP="007C5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A36E3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170439" w14:textId="77777777" w:rsidR="008A36E3" w:rsidRPr="008A36E3" w:rsidRDefault="008A36E3" w:rsidP="007C5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A36E3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22.8407</w:t>
            </w:r>
          </w:p>
        </w:tc>
      </w:tr>
      <w:tr w:rsidR="008A36E3" w:rsidRPr="008A36E3" w14:paraId="0CD8D3F9" w14:textId="77777777" w:rsidTr="008A36E3">
        <w:trPr>
          <w:trHeight w:val="300"/>
        </w:trPr>
        <w:tc>
          <w:tcPr>
            <w:tcW w:w="22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E25A42" w14:textId="77777777" w:rsidR="008A36E3" w:rsidRPr="008A36E3" w:rsidRDefault="008A36E3" w:rsidP="008A36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</w:rPr>
            </w:pPr>
            <w:r w:rsidRPr="008A36E3"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</w:rPr>
              <w:t>Enterobacter cloacae</w:t>
            </w:r>
          </w:p>
        </w:tc>
        <w:tc>
          <w:tcPr>
            <w:tcW w:w="81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D712B" w14:textId="77777777" w:rsidR="008A36E3" w:rsidRPr="008A36E3" w:rsidRDefault="008A36E3" w:rsidP="007C5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A36E3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DB3445" w14:textId="77777777" w:rsidR="008A36E3" w:rsidRPr="008A36E3" w:rsidRDefault="008A36E3" w:rsidP="007C5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A36E3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29.52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11701" w14:textId="77777777" w:rsidR="008A36E3" w:rsidRPr="008A36E3" w:rsidRDefault="008A36E3" w:rsidP="007C5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A36E3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8C5654" w14:textId="77777777" w:rsidR="008A36E3" w:rsidRPr="008A36E3" w:rsidRDefault="008A36E3" w:rsidP="007C5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A36E3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22.3521</w:t>
            </w:r>
          </w:p>
        </w:tc>
      </w:tr>
      <w:tr w:rsidR="008A36E3" w:rsidRPr="008A36E3" w14:paraId="254A7978" w14:textId="77777777" w:rsidTr="008A36E3">
        <w:trPr>
          <w:trHeight w:val="300"/>
        </w:trPr>
        <w:tc>
          <w:tcPr>
            <w:tcW w:w="22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48A9E1" w14:textId="77777777" w:rsidR="008A36E3" w:rsidRPr="008A36E3" w:rsidRDefault="008A36E3" w:rsidP="008A36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8A36E3"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</w:rPr>
              <w:t>Shigella</w:t>
            </w:r>
            <w:proofErr w:type="spellEnd"/>
            <w:r w:rsidRPr="008A36E3"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8A36E3"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</w:rPr>
              <w:t>flexneri</w:t>
            </w:r>
            <w:proofErr w:type="spellEnd"/>
          </w:p>
        </w:tc>
        <w:tc>
          <w:tcPr>
            <w:tcW w:w="81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A264E" w14:textId="77777777" w:rsidR="008A36E3" w:rsidRPr="008A36E3" w:rsidRDefault="008A36E3" w:rsidP="007C5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A36E3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8C6B0F" w14:textId="77777777" w:rsidR="008A36E3" w:rsidRPr="008A36E3" w:rsidRDefault="008A36E3" w:rsidP="007C5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A36E3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29.09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3E781" w14:textId="77777777" w:rsidR="008A36E3" w:rsidRPr="008A36E3" w:rsidRDefault="008A36E3" w:rsidP="007C5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A36E3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051D85" w14:textId="77777777" w:rsidR="008A36E3" w:rsidRPr="008A36E3" w:rsidRDefault="008A36E3" w:rsidP="007C5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A36E3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21.5908</w:t>
            </w:r>
          </w:p>
        </w:tc>
      </w:tr>
      <w:tr w:rsidR="008A36E3" w:rsidRPr="008A36E3" w14:paraId="2DCF8B28" w14:textId="77777777" w:rsidTr="008A36E3">
        <w:trPr>
          <w:trHeight w:val="300"/>
        </w:trPr>
        <w:tc>
          <w:tcPr>
            <w:tcW w:w="22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22B7B4" w14:textId="77777777" w:rsidR="008A36E3" w:rsidRPr="008A36E3" w:rsidRDefault="008A36E3" w:rsidP="008A36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8A36E3"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</w:rPr>
              <w:t>Shigella</w:t>
            </w:r>
            <w:proofErr w:type="spellEnd"/>
            <w:r w:rsidRPr="008A36E3"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8A36E3"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</w:rPr>
              <w:t>sonnei</w:t>
            </w:r>
            <w:proofErr w:type="spellEnd"/>
          </w:p>
        </w:tc>
        <w:tc>
          <w:tcPr>
            <w:tcW w:w="81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E3655" w14:textId="77777777" w:rsidR="008A36E3" w:rsidRPr="008A36E3" w:rsidRDefault="008A36E3" w:rsidP="007C5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A36E3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A7085C" w14:textId="77777777" w:rsidR="008A36E3" w:rsidRPr="008A36E3" w:rsidRDefault="008A36E3" w:rsidP="007C5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A36E3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32.95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89513" w14:textId="77777777" w:rsidR="008A36E3" w:rsidRPr="008A36E3" w:rsidRDefault="008A36E3" w:rsidP="007C5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A36E3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7BEA11" w14:textId="77777777" w:rsidR="008A36E3" w:rsidRPr="008A36E3" w:rsidRDefault="008A36E3" w:rsidP="007C5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A36E3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23.6302</w:t>
            </w:r>
          </w:p>
        </w:tc>
      </w:tr>
      <w:tr w:rsidR="008A36E3" w:rsidRPr="008A36E3" w14:paraId="60AF7913" w14:textId="77777777" w:rsidTr="008A36E3">
        <w:trPr>
          <w:trHeight w:val="243"/>
        </w:trPr>
        <w:tc>
          <w:tcPr>
            <w:tcW w:w="22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1A5679" w14:textId="77777777" w:rsidR="008A36E3" w:rsidRPr="008A36E3" w:rsidRDefault="008A36E3" w:rsidP="008A36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8A36E3"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</w:rPr>
              <w:t>Stenotrophomonas</w:t>
            </w:r>
            <w:proofErr w:type="spellEnd"/>
            <w:r w:rsidRPr="008A36E3"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8A36E3"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</w:rPr>
              <w:t>maltophilia</w:t>
            </w:r>
            <w:proofErr w:type="spellEnd"/>
          </w:p>
        </w:tc>
        <w:tc>
          <w:tcPr>
            <w:tcW w:w="81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42ABD" w14:textId="77777777" w:rsidR="008A36E3" w:rsidRPr="008A36E3" w:rsidRDefault="008A36E3" w:rsidP="007C5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A36E3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9852C7" w14:textId="77777777" w:rsidR="008A36E3" w:rsidRPr="008A36E3" w:rsidRDefault="008A36E3" w:rsidP="007C5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A36E3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29.25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C6607" w14:textId="77777777" w:rsidR="008A36E3" w:rsidRPr="008A36E3" w:rsidRDefault="008A36E3" w:rsidP="007C5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A36E3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D2C3D3" w14:textId="77777777" w:rsidR="008A36E3" w:rsidRPr="008A36E3" w:rsidRDefault="008A36E3" w:rsidP="007C5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A36E3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23.3602</w:t>
            </w:r>
          </w:p>
        </w:tc>
      </w:tr>
      <w:tr w:rsidR="008A36E3" w:rsidRPr="008A36E3" w14:paraId="257F00F1" w14:textId="77777777" w:rsidTr="008A36E3">
        <w:trPr>
          <w:trHeight w:val="270"/>
        </w:trPr>
        <w:tc>
          <w:tcPr>
            <w:tcW w:w="22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C4CA35" w14:textId="77777777" w:rsidR="008A36E3" w:rsidRPr="008A36E3" w:rsidRDefault="008A36E3" w:rsidP="008A36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</w:rPr>
            </w:pPr>
            <w:r w:rsidRPr="008A36E3"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</w:rPr>
              <w:t>Proteus mirabilis</w:t>
            </w:r>
          </w:p>
        </w:tc>
        <w:tc>
          <w:tcPr>
            <w:tcW w:w="81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E3A36" w14:textId="77777777" w:rsidR="008A36E3" w:rsidRPr="008A36E3" w:rsidRDefault="008A36E3" w:rsidP="007C5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A36E3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5BCCC3" w14:textId="77777777" w:rsidR="008A36E3" w:rsidRPr="008A36E3" w:rsidRDefault="008A36E3" w:rsidP="007C5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A36E3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28.51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B0F95" w14:textId="77777777" w:rsidR="008A36E3" w:rsidRPr="008A36E3" w:rsidRDefault="008A36E3" w:rsidP="007C5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A36E3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21B08E" w14:textId="77777777" w:rsidR="008A36E3" w:rsidRPr="008A36E3" w:rsidRDefault="008A36E3" w:rsidP="007C5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A36E3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22.7452</w:t>
            </w:r>
          </w:p>
        </w:tc>
      </w:tr>
      <w:tr w:rsidR="008A36E3" w:rsidRPr="008A36E3" w14:paraId="373309C8" w14:textId="77777777" w:rsidTr="008A36E3">
        <w:trPr>
          <w:trHeight w:val="300"/>
        </w:trPr>
        <w:tc>
          <w:tcPr>
            <w:tcW w:w="22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53F0B9" w14:textId="77777777" w:rsidR="008A36E3" w:rsidRPr="008A36E3" w:rsidRDefault="008A36E3" w:rsidP="008A36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8A36E3"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</w:rPr>
              <w:t>Morganella</w:t>
            </w:r>
            <w:proofErr w:type="spellEnd"/>
            <w:r w:rsidRPr="008A36E3"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8A36E3"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</w:rPr>
              <w:t>morganii</w:t>
            </w:r>
            <w:proofErr w:type="spellEnd"/>
          </w:p>
        </w:tc>
        <w:tc>
          <w:tcPr>
            <w:tcW w:w="81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6B482" w14:textId="77777777" w:rsidR="008A36E3" w:rsidRPr="008A36E3" w:rsidRDefault="008A36E3" w:rsidP="007C5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A36E3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87CE1E" w14:textId="77777777" w:rsidR="008A36E3" w:rsidRPr="008A36E3" w:rsidRDefault="008A36E3" w:rsidP="007C5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A36E3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28.62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B4E82" w14:textId="77777777" w:rsidR="008A36E3" w:rsidRPr="008A36E3" w:rsidRDefault="008A36E3" w:rsidP="007C5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A36E3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FFA393" w14:textId="77777777" w:rsidR="008A36E3" w:rsidRPr="008A36E3" w:rsidRDefault="008A36E3" w:rsidP="007C5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A36E3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24.1818</w:t>
            </w:r>
          </w:p>
        </w:tc>
      </w:tr>
      <w:tr w:rsidR="008A36E3" w:rsidRPr="008A36E3" w14:paraId="4913E87D" w14:textId="77777777" w:rsidTr="008A36E3">
        <w:trPr>
          <w:trHeight w:val="207"/>
        </w:trPr>
        <w:tc>
          <w:tcPr>
            <w:tcW w:w="22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0B0D28" w14:textId="77777777" w:rsidR="008A36E3" w:rsidRPr="008A36E3" w:rsidRDefault="008A36E3" w:rsidP="008A36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8A36E3"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</w:rPr>
              <w:t>Citrobacter</w:t>
            </w:r>
            <w:proofErr w:type="spellEnd"/>
            <w:r w:rsidRPr="008A36E3"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8A36E3"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</w:rPr>
              <w:t>freundii</w:t>
            </w:r>
            <w:proofErr w:type="spellEnd"/>
          </w:p>
        </w:tc>
        <w:tc>
          <w:tcPr>
            <w:tcW w:w="81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486A9" w14:textId="77777777" w:rsidR="008A36E3" w:rsidRPr="008A36E3" w:rsidRDefault="008A36E3" w:rsidP="007C5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A36E3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AEADAE" w14:textId="77777777" w:rsidR="008A36E3" w:rsidRPr="008A36E3" w:rsidRDefault="008A36E3" w:rsidP="007C5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A36E3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29.8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9AD1A" w14:textId="77777777" w:rsidR="008A36E3" w:rsidRPr="008A36E3" w:rsidRDefault="008A36E3" w:rsidP="007C5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A36E3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827D76" w14:textId="77777777" w:rsidR="008A36E3" w:rsidRPr="008A36E3" w:rsidRDefault="008A36E3" w:rsidP="007C5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A36E3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23.5153</w:t>
            </w:r>
          </w:p>
        </w:tc>
      </w:tr>
      <w:tr w:rsidR="008A36E3" w:rsidRPr="008A36E3" w14:paraId="2F395FED" w14:textId="77777777" w:rsidTr="008A36E3">
        <w:trPr>
          <w:trHeight w:val="270"/>
        </w:trPr>
        <w:tc>
          <w:tcPr>
            <w:tcW w:w="22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CAEE56" w14:textId="77777777" w:rsidR="008A36E3" w:rsidRPr="008A36E3" w:rsidRDefault="008A36E3" w:rsidP="008A36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8A36E3"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</w:rPr>
              <w:t>Citrobacter</w:t>
            </w:r>
            <w:proofErr w:type="spellEnd"/>
            <w:r w:rsidRPr="008A36E3"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8A36E3"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</w:rPr>
              <w:t>freundii</w:t>
            </w:r>
            <w:proofErr w:type="spellEnd"/>
            <w:r w:rsidRPr="008A36E3"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</w:rPr>
              <w:t xml:space="preserve"> </w:t>
            </w:r>
            <w:r w:rsidRPr="008A36E3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complex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26146F" w14:textId="77777777" w:rsidR="008A36E3" w:rsidRPr="008A36E3" w:rsidRDefault="008A36E3" w:rsidP="007C5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A36E3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EAD331" w14:textId="77777777" w:rsidR="008A36E3" w:rsidRPr="008A36E3" w:rsidRDefault="008A36E3" w:rsidP="007C5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A36E3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29.05</w:t>
            </w:r>
          </w:p>
        </w:tc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B4FC15" w14:textId="77777777" w:rsidR="008A36E3" w:rsidRPr="008A36E3" w:rsidRDefault="008A36E3" w:rsidP="007C5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A36E3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378015" w14:textId="77777777" w:rsidR="008A36E3" w:rsidRPr="008A36E3" w:rsidRDefault="008A36E3" w:rsidP="007C5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A36E3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22.5894</w:t>
            </w:r>
          </w:p>
        </w:tc>
      </w:tr>
    </w:tbl>
    <w:p w14:paraId="6DE7210E" w14:textId="74D49545" w:rsidR="00215216" w:rsidRDefault="00215216" w:rsidP="00215216"/>
    <w:tbl>
      <w:tblPr>
        <w:tblW w:w="2599" w:type="pct"/>
        <w:tblLook w:val="04A0" w:firstRow="1" w:lastRow="0" w:firstColumn="1" w:lastColumn="0" w:noHBand="0" w:noVBand="1"/>
      </w:tblPr>
      <w:tblGrid>
        <w:gridCol w:w="2070"/>
        <w:gridCol w:w="836"/>
        <w:gridCol w:w="598"/>
        <w:gridCol w:w="678"/>
        <w:gridCol w:w="678"/>
      </w:tblGrid>
      <w:tr w:rsidR="007C52A3" w:rsidRPr="007C52A3" w14:paraId="0BB9CE4E" w14:textId="77777777" w:rsidTr="007C52A3">
        <w:trPr>
          <w:trHeight w:val="205"/>
        </w:trPr>
        <w:tc>
          <w:tcPr>
            <w:tcW w:w="21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F521F" w14:textId="77777777" w:rsidR="007C52A3" w:rsidRPr="007C52A3" w:rsidRDefault="007C52A3" w:rsidP="007C52A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1475" w:type="pct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E2416" w14:textId="77777777" w:rsidR="007C52A3" w:rsidRPr="007C52A3" w:rsidRDefault="007C52A3" w:rsidP="007C5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4"/>
                <w:szCs w:val="14"/>
              </w:rPr>
            </w:pPr>
            <w:proofErr w:type="spellStart"/>
            <w:r w:rsidRPr="007C52A3">
              <w:rPr>
                <w:rFonts w:ascii="Calibri" w:eastAsia="Times New Roman" w:hAnsi="Calibri" w:cs="Times New Roman"/>
                <w:b/>
                <w:color w:val="000000"/>
                <w:sz w:val="14"/>
                <w:szCs w:val="14"/>
              </w:rPr>
              <w:t>SmartCycler</w:t>
            </w:r>
            <w:proofErr w:type="spellEnd"/>
          </w:p>
        </w:tc>
        <w:tc>
          <w:tcPr>
            <w:tcW w:w="1395" w:type="pct"/>
            <w:gridSpan w:val="2"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D7B3C01" w14:textId="77777777" w:rsidR="007C52A3" w:rsidRPr="007C52A3" w:rsidRDefault="007C52A3" w:rsidP="007C5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4"/>
                <w:szCs w:val="14"/>
              </w:rPr>
            </w:pPr>
            <w:r w:rsidRPr="007C52A3">
              <w:rPr>
                <w:rFonts w:ascii="Calibri" w:eastAsia="Times New Roman" w:hAnsi="Calibri" w:cs="Times New Roman"/>
                <w:b/>
                <w:color w:val="000000"/>
                <w:sz w:val="14"/>
                <w:szCs w:val="14"/>
              </w:rPr>
              <w:t>ABI 7500</w:t>
            </w:r>
          </w:p>
        </w:tc>
      </w:tr>
      <w:tr w:rsidR="007C52A3" w:rsidRPr="007C52A3" w14:paraId="47778DDA" w14:textId="77777777" w:rsidTr="007C52A3">
        <w:trPr>
          <w:trHeight w:val="187"/>
        </w:trPr>
        <w:tc>
          <w:tcPr>
            <w:tcW w:w="21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C34F0" w14:textId="77777777" w:rsidR="007C52A3" w:rsidRPr="007C52A3" w:rsidRDefault="007C52A3" w:rsidP="007C5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</w:p>
        </w:tc>
        <w:tc>
          <w:tcPr>
            <w:tcW w:w="860" w:type="pct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7DAA4" w14:textId="77777777" w:rsidR="007C52A3" w:rsidRPr="007C52A3" w:rsidRDefault="007C52A3" w:rsidP="007C52A3">
            <w:pPr>
              <w:spacing w:after="0" w:line="240" w:lineRule="auto"/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14"/>
                <w:szCs w:val="14"/>
              </w:rPr>
            </w:pPr>
            <w:r w:rsidRPr="007C52A3"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14"/>
                <w:szCs w:val="14"/>
              </w:rPr>
              <w:t>OriC</w:t>
            </w:r>
          </w:p>
        </w:tc>
        <w:tc>
          <w:tcPr>
            <w:tcW w:w="615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B9E5E" w14:textId="77777777" w:rsidR="007C52A3" w:rsidRPr="007C52A3" w:rsidRDefault="007C52A3" w:rsidP="007C52A3">
            <w:pPr>
              <w:spacing w:after="0" w:line="240" w:lineRule="auto"/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14"/>
                <w:szCs w:val="14"/>
              </w:rPr>
            </w:pPr>
            <w:r w:rsidRPr="007C52A3"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14"/>
                <w:szCs w:val="14"/>
              </w:rPr>
              <w:t>GFP</w:t>
            </w:r>
          </w:p>
        </w:tc>
        <w:tc>
          <w:tcPr>
            <w:tcW w:w="698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75F5B" w14:textId="77777777" w:rsidR="007C52A3" w:rsidRPr="007C52A3" w:rsidRDefault="007C52A3" w:rsidP="007C52A3">
            <w:pPr>
              <w:spacing w:after="0" w:line="240" w:lineRule="auto"/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14"/>
                <w:szCs w:val="14"/>
              </w:rPr>
            </w:pPr>
            <w:r w:rsidRPr="007C52A3"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14"/>
                <w:szCs w:val="14"/>
              </w:rPr>
              <w:t>OriC</w:t>
            </w:r>
          </w:p>
        </w:tc>
        <w:tc>
          <w:tcPr>
            <w:tcW w:w="698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21EC6C" w14:textId="77777777" w:rsidR="007C52A3" w:rsidRPr="007C52A3" w:rsidRDefault="007C52A3" w:rsidP="007C52A3">
            <w:pPr>
              <w:spacing w:after="0" w:line="240" w:lineRule="auto"/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14"/>
                <w:szCs w:val="14"/>
              </w:rPr>
            </w:pPr>
            <w:r w:rsidRPr="007C52A3"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14"/>
                <w:szCs w:val="14"/>
              </w:rPr>
              <w:t>GFP</w:t>
            </w:r>
          </w:p>
        </w:tc>
      </w:tr>
      <w:tr w:rsidR="007C52A3" w:rsidRPr="007C52A3" w14:paraId="19A8CB8D" w14:textId="77777777" w:rsidTr="007C52A3">
        <w:trPr>
          <w:trHeight w:val="223"/>
        </w:trPr>
        <w:tc>
          <w:tcPr>
            <w:tcW w:w="2130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89BAE4" w14:textId="77777777" w:rsidR="007C52A3" w:rsidRPr="007C52A3" w:rsidRDefault="007C52A3" w:rsidP="007C52A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14"/>
                <w:szCs w:val="14"/>
              </w:rPr>
            </w:pPr>
            <w:r w:rsidRPr="007C52A3">
              <w:rPr>
                <w:rFonts w:ascii="Calibri" w:eastAsia="Times New Roman" w:hAnsi="Calibri" w:cs="Times New Roman"/>
                <w:b/>
                <w:color w:val="000000"/>
                <w:sz w:val="14"/>
                <w:szCs w:val="14"/>
              </w:rPr>
              <w:t>Positive Control</w:t>
            </w:r>
          </w:p>
        </w:tc>
        <w:tc>
          <w:tcPr>
            <w:tcW w:w="860" w:type="pc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38D60" w14:textId="77777777" w:rsidR="007C52A3" w:rsidRPr="007C52A3" w:rsidRDefault="007C52A3" w:rsidP="007C5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7C52A3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30.02</w:t>
            </w:r>
          </w:p>
        </w:tc>
        <w:tc>
          <w:tcPr>
            <w:tcW w:w="615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E37FD5" w14:textId="77777777" w:rsidR="007C52A3" w:rsidRPr="007C52A3" w:rsidRDefault="007C52A3" w:rsidP="007C5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7C52A3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28.6</w:t>
            </w:r>
          </w:p>
        </w:tc>
        <w:tc>
          <w:tcPr>
            <w:tcW w:w="698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BCDB1" w14:textId="77777777" w:rsidR="007C52A3" w:rsidRPr="007C52A3" w:rsidRDefault="007C52A3" w:rsidP="007C5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7C52A3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29.5851</w:t>
            </w:r>
          </w:p>
        </w:tc>
        <w:tc>
          <w:tcPr>
            <w:tcW w:w="698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FEEBCC" w14:textId="77777777" w:rsidR="007C52A3" w:rsidRPr="007C52A3" w:rsidRDefault="007C52A3" w:rsidP="007C5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7C52A3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23.0802</w:t>
            </w:r>
          </w:p>
        </w:tc>
      </w:tr>
      <w:tr w:rsidR="007C52A3" w:rsidRPr="007C52A3" w14:paraId="42659B6A" w14:textId="77777777" w:rsidTr="007C52A3">
        <w:trPr>
          <w:trHeight w:val="135"/>
        </w:trPr>
        <w:tc>
          <w:tcPr>
            <w:tcW w:w="213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959CE9" w14:textId="77777777" w:rsidR="007C52A3" w:rsidRPr="007C52A3" w:rsidRDefault="007C52A3" w:rsidP="007C52A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14"/>
                <w:szCs w:val="14"/>
              </w:rPr>
            </w:pPr>
            <w:r w:rsidRPr="007C52A3">
              <w:rPr>
                <w:rFonts w:ascii="Calibri" w:eastAsia="Times New Roman" w:hAnsi="Calibri" w:cs="Times New Roman"/>
                <w:b/>
                <w:color w:val="000000"/>
                <w:sz w:val="14"/>
                <w:szCs w:val="14"/>
              </w:rPr>
              <w:t>NTC</w:t>
            </w:r>
          </w:p>
        </w:tc>
        <w:tc>
          <w:tcPr>
            <w:tcW w:w="86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B19BCB" w14:textId="77777777" w:rsidR="007C52A3" w:rsidRPr="007C52A3" w:rsidRDefault="007C52A3" w:rsidP="007C5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7C52A3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0</w:t>
            </w:r>
          </w:p>
        </w:tc>
        <w:tc>
          <w:tcPr>
            <w:tcW w:w="6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B28C0A" w14:textId="77777777" w:rsidR="007C52A3" w:rsidRPr="007C52A3" w:rsidRDefault="007C52A3" w:rsidP="007C5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7C52A3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28.34</w:t>
            </w:r>
          </w:p>
        </w:tc>
        <w:tc>
          <w:tcPr>
            <w:tcW w:w="698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B35EE8" w14:textId="77777777" w:rsidR="007C52A3" w:rsidRPr="007C52A3" w:rsidRDefault="007C52A3" w:rsidP="007C5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7C52A3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4CCD1C" w14:textId="77777777" w:rsidR="007C52A3" w:rsidRPr="007C52A3" w:rsidRDefault="007C52A3" w:rsidP="007C5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7C52A3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24.0308</w:t>
            </w:r>
          </w:p>
        </w:tc>
      </w:tr>
    </w:tbl>
    <w:p w14:paraId="0A27AD33" w14:textId="4949DBD7" w:rsidR="007C52A3" w:rsidRPr="00846CEF" w:rsidRDefault="00690459" w:rsidP="007C52A3">
      <w:pPr>
        <w:rPr>
          <w:b/>
        </w:rPr>
      </w:pPr>
      <w:r>
        <w:rPr>
          <w:b/>
        </w:rPr>
        <w:t>Table 2</w:t>
      </w:r>
      <w:r w:rsidR="007C52A3" w:rsidRPr="00846CEF">
        <w:rPr>
          <w:b/>
        </w:rPr>
        <w:t xml:space="preserve">. </w:t>
      </w:r>
      <w:r w:rsidR="007C52A3">
        <w:rPr>
          <w:b/>
        </w:rPr>
        <w:t>‘Non-</w:t>
      </w:r>
      <w:r w:rsidR="007C52A3" w:rsidRPr="00846CEF">
        <w:rPr>
          <w:b/>
        </w:rPr>
        <w:t>Salmonella</w:t>
      </w:r>
      <w:r w:rsidR="007C52A3">
        <w:rPr>
          <w:b/>
        </w:rPr>
        <w:t>’</w:t>
      </w:r>
      <w:r w:rsidR="007C52A3" w:rsidRPr="00846CEF">
        <w:rPr>
          <w:b/>
        </w:rPr>
        <w:t xml:space="preserve"> </w:t>
      </w:r>
      <w:proofErr w:type="spellStart"/>
      <w:r w:rsidR="007C52A3" w:rsidRPr="00846CEF">
        <w:rPr>
          <w:b/>
        </w:rPr>
        <w:t>ct</w:t>
      </w:r>
      <w:proofErr w:type="spellEnd"/>
      <w:r w:rsidR="007C52A3" w:rsidRPr="00846CEF">
        <w:rPr>
          <w:b/>
        </w:rPr>
        <w:t xml:space="preserve"> values for OriC and </w:t>
      </w:r>
      <w:proofErr w:type="spellStart"/>
      <w:r w:rsidR="007C52A3" w:rsidRPr="00846CEF">
        <w:rPr>
          <w:b/>
        </w:rPr>
        <w:t>gfp</w:t>
      </w:r>
      <w:proofErr w:type="spellEnd"/>
      <w:r w:rsidR="007C52A3" w:rsidRPr="00846CEF">
        <w:rPr>
          <w:b/>
        </w:rPr>
        <w:t xml:space="preserve"> assays</w:t>
      </w:r>
    </w:p>
    <w:p w14:paraId="1A6F6012" w14:textId="48E0ADB3" w:rsidR="007C52A3" w:rsidRDefault="007C52A3" w:rsidP="00215216"/>
    <w:p w14:paraId="6E7477B4" w14:textId="4D1A8E91" w:rsidR="006664C3" w:rsidRDefault="006664C3" w:rsidP="00215216"/>
    <w:p w14:paraId="0EDC3E00" w14:textId="77777777" w:rsidR="006664C3" w:rsidRDefault="006664C3" w:rsidP="0021521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0"/>
        <w:gridCol w:w="1780"/>
        <w:gridCol w:w="960"/>
        <w:gridCol w:w="960"/>
        <w:gridCol w:w="960"/>
        <w:gridCol w:w="960"/>
      </w:tblGrid>
      <w:tr w:rsidR="006664C3" w:rsidRPr="00BE088D" w14:paraId="3753AB11" w14:textId="77777777" w:rsidTr="00E14D58">
        <w:trPr>
          <w:trHeight w:val="30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7B7AF39" w14:textId="77777777" w:rsidR="006664C3" w:rsidRPr="006664C3" w:rsidRDefault="006664C3" w:rsidP="006664C3">
            <w:pPr>
              <w:rPr>
                <w:sz w:val="16"/>
                <w:szCs w:val="16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hideMark/>
          </w:tcPr>
          <w:p w14:paraId="7CC9E389" w14:textId="77777777" w:rsidR="006664C3" w:rsidRPr="006664C3" w:rsidRDefault="006664C3" w:rsidP="006664C3">
            <w:pPr>
              <w:rPr>
                <w:sz w:val="16"/>
                <w:szCs w:val="16"/>
              </w:rPr>
            </w:pPr>
          </w:p>
        </w:tc>
        <w:tc>
          <w:tcPr>
            <w:tcW w:w="3840" w:type="dxa"/>
            <w:gridSpan w:val="4"/>
            <w:tcBorders>
              <w:left w:val="single" w:sz="4" w:space="0" w:color="auto"/>
            </w:tcBorders>
            <w:noWrap/>
            <w:hideMark/>
          </w:tcPr>
          <w:p w14:paraId="562DD510" w14:textId="625DA229" w:rsidR="006664C3" w:rsidRPr="006664C3" w:rsidRDefault="006664C3" w:rsidP="006664C3">
            <w:pPr>
              <w:jc w:val="center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ct</w:t>
            </w:r>
            <w:proofErr w:type="spellEnd"/>
          </w:p>
        </w:tc>
      </w:tr>
      <w:tr w:rsidR="006664C3" w:rsidRPr="00BE088D" w14:paraId="67CAA79A" w14:textId="77777777" w:rsidTr="006664C3">
        <w:trPr>
          <w:trHeight w:val="278"/>
        </w:trPr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D6865E" w14:textId="77777777" w:rsidR="006664C3" w:rsidRPr="006664C3" w:rsidRDefault="006664C3" w:rsidP="006664C3">
            <w:pPr>
              <w:rPr>
                <w:sz w:val="16"/>
                <w:szCs w:val="16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3ED79CD" w14:textId="77777777" w:rsidR="006664C3" w:rsidRPr="006664C3" w:rsidRDefault="006664C3" w:rsidP="006664C3">
            <w:pPr>
              <w:rPr>
                <w:sz w:val="16"/>
                <w:szCs w:val="16"/>
              </w:rPr>
            </w:pPr>
          </w:p>
        </w:tc>
        <w:tc>
          <w:tcPr>
            <w:tcW w:w="1920" w:type="dxa"/>
            <w:gridSpan w:val="2"/>
            <w:tcBorders>
              <w:left w:val="single" w:sz="4" w:space="0" w:color="auto"/>
            </w:tcBorders>
            <w:noWrap/>
            <w:hideMark/>
          </w:tcPr>
          <w:p w14:paraId="4866630C" w14:textId="7028B1CC" w:rsidR="006664C3" w:rsidRPr="006664C3" w:rsidRDefault="006664C3" w:rsidP="006664C3">
            <w:pPr>
              <w:jc w:val="center"/>
              <w:rPr>
                <w:b/>
                <w:sz w:val="16"/>
                <w:szCs w:val="16"/>
              </w:rPr>
            </w:pPr>
            <w:r w:rsidRPr="006664C3">
              <w:rPr>
                <w:b/>
                <w:sz w:val="16"/>
                <w:szCs w:val="16"/>
              </w:rPr>
              <w:t>duplicate 1</w:t>
            </w:r>
          </w:p>
        </w:tc>
        <w:tc>
          <w:tcPr>
            <w:tcW w:w="1920" w:type="dxa"/>
            <w:gridSpan w:val="2"/>
            <w:noWrap/>
            <w:hideMark/>
          </w:tcPr>
          <w:p w14:paraId="1AF29855" w14:textId="196FC64D" w:rsidR="006664C3" w:rsidRPr="006664C3" w:rsidRDefault="006664C3" w:rsidP="006664C3">
            <w:pPr>
              <w:jc w:val="center"/>
              <w:rPr>
                <w:b/>
                <w:sz w:val="16"/>
                <w:szCs w:val="16"/>
              </w:rPr>
            </w:pPr>
            <w:r w:rsidRPr="006664C3">
              <w:rPr>
                <w:b/>
                <w:sz w:val="16"/>
                <w:szCs w:val="16"/>
              </w:rPr>
              <w:t>duplicate 2</w:t>
            </w:r>
          </w:p>
        </w:tc>
      </w:tr>
      <w:tr w:rsidR="006664C3" w:rsidRPr="00BE088D" w14:paraId="396750B7" w14:textId="77777777" w:rsidTr="000D26B0">
        <w:trPr>
          <w:trHeight w:val="300"/>
        </w:trPr>
        <w:tc>
          <w:tcPr>
            <w:tcW w:w="246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648CBE06" w14:textId="77777777" w:rsidR="006664C3" w:rsidRPr="006664C3" w:rsidRDefault="006664C3" w:rsidP="006664C3">
            <w:pPr>
              <w:jc w:val="center"/>
              <w:rPr>
                <w:b/>
                <w:sz w:val="16"/>
                <w:szCs w:val="16"/>
              </w:rPr>
            </w:pPr>
            <w:r w:rsidRPr="006664C3">
              <w:rPr>
                <w:b/>
                <w:sz w:val="16"/>
                <w:szCs w:val="16"/>
              </w:rPr>
              <w:t>Dilution</w:t>
            </w:r>
          </w:p>
        </w:tc>
        <w:tc>
          <w:tcPr>
            <w:tcW w:w="178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0662C86C" w14:textId="77777777" w:rsidR="006664C3" w:rsidRPr="006664C3" w:rsidRDefault="006664C3" w:rsidP="006664C3">
            <w:pPr>
              <w:jc w:val="center"/>
              <w:rPr>
                <w:b/>
                <w:sz w:val="16"/>
                <w:szCs w:val="16"/>
              </w:rPr>
            </w:pPr>
            <w:r w:rsidRPr="006664C3">
              <w:rPr>
                <w:b/>
                <w:sz w:val="16"/>
                <w:szCs w:val="16"/>
              </w:rPr>
              <w:t>total DNA (ng/ml)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noWrap/>
            <w:hideMark/>
          </w:tcPr>
          <w:p w14:paraId="16AF7B5A" w14:textId="77777777" w:rsidR="006664C3" w:rsidRPr="006664C3" w:rsidRDefault="006664C3" w:rsidP="006664C3">
            <w:pPr>
              <w:jc w:val="center"/>
              <w:rPr>
                <w:b/>
                <w:sz w:val="16"/>
                <w:szCs w:val="16"/>
              </w:rPr>
            </w:pPr>
            <w:r w:rsidRPr="006664C3">
              <w:rPr>
                <w:b/>
                <w:sz w:val="16"/>
                <w:szCs w:val="16"/>
              </w:rPr>
              <w:t>OriC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noWrap/>
            <w:hideMark/>
          </w:tcPr>
          <w:p w14:paraId="651BF44D" w14:textId="77777777" w:rsidR="006664C3" w:rsidRPr="006664C3" w:rsidRDefault="006664C3" w:rsidP="006664C3">
            <w:pPr>
              <w:jc w:val="center"/>
              <w:rPr>
                <w:b/>
                <w:sz w:val="16"/>
                <w:szCs w:val="16"/>
              </w:rPr>
            </w:pPr>
            <w:proofErr w:type="spellStart"/>
            <w:r w:rsidRPr="006664C3">
              <w:rPr>
                <w:b/>
                <w:sz w:val="16"/>
                <w:szCs w:val="16"/>
              </w:rPr>
              <w:t>gfp</w:t>
            </w:r>
            <w:proofErr w:type="spellEnd"/>
          </w:p>
        </w:tc>
        <w:tc>
          <w:tcPr>
            <w:tcW w:w="960" w:type="dxa"/>
            <w:tcBorders>
              <w:bottom w:val="single" w:sz="4" w:space="0" w:color="auto"/>
            </w:tcBorders>
            <w:noWrap/>
            <w:hideMark/>
          </w:tcPr>
          <w:p w14:paraId="7C78082F" w14:textId="77777777" w:rsidR="006664C3" w:rsidRPr="006664C3" w:rsidRDefault="006664C3" w:rsidP="006664C3">
            <w:pPr>
              <w:jc w:val="center"/>
              <w:rPr>
                <w:b/>
                <w:sz w:val="16"/>
                <w:szCs w:val="16"/>
              </w:rPr>
            </w:pPr>
            <w:r w:rsidRPr="006664C3">
              <w:rPr>
                <w:b/>
                <w:sz w:val="16"/>
                <w:szCs w:val="16"/>
              </w:rPr>
              <w:t>OriC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noWrap/>
            <w:hideMark/>
          </w:tcPr>
          <w:p w14:paraId="23DEE797" w14:textId="77777777" w:rsidR="006664C3" w:rsidRPr="006664C3" w:rsidRDefault="006664C3" w:rsidP="006664C3">
            <w:pPr>
              <w:jc w:val="center"/>
              <w:rPr>
                <w:b/>
                <w:sz w:val="16"/>
                <w:szCs w:val="16"/>
              </w:rPr>
            </w:pPr>
            <w:proofErr w:type="spellStart"/>
            <w:r w:rsidRPr="006664C3">
              <w:rPr>
                <w:b/>
                <w:sz w:val="16"/>
                <w:szCs w:val="16"/>
              </w:rPr>
              <w:t>gfp</w:t>
            </w:r>
            <w:proofErr w:type="spellEnd"/>
          </w:p>
        </w:tc>
      </w:tr>
      <w:tr w:rsidR="006664C3" w:rsidRPr="00BE088D" w14:paraId="39A8508A" w14:textId="77777777" w:rsidTr="000D26B0">
        <w:trPr>
          <w:trHeight w:val="300"/>
        </w:trPr>
        <w:tc>
          <w:tcPr>
            <w:tcW w:w="2460" w:type="dxa"/>
            <w:tcBorders>
              <w:bottom w:val="nil"/>
            </w:tcBorders>
            <w:noWrap/>
            <w:hideMark/>
          </w:tcPr>
          <w:p w14:paraId="4B90538C" w14:textId="77777777" w:rsidR="006664C3" w:rsidRPr="006664C3" w:rsidRDefault="006664C3" w:rsidP="006664C3">
            <w:pPr>
              <w:jc w:val="center"/>
              <w:rPr>
                <w:b/>
                <w:sz w:val="16"/>
                <w:szCs w:val="16"/>
              </w:rPr>
            </w:pPr>
            <w:r w:rsidRPr="006664C3">
              <w:rPr>
                <w:b/>
                <w:sz w:val="16"/>
                <w:szCs w:val="16"/>
              </w:rPr>
              <w:t>1</w:t>
            </w:r>
          </w:p>
        </w:tc>
        <w:tc>
          <w:tcPr>
            <w:tcW w:w="1780" w:type="dxa"/>
            <w:tcBorders>
              <w:bottom w:val="nil"/>
            </w:tcBorders>
            <w:noWrap/>
            <w:hideMark/>
          </w:tcPr>
          <w:p w14:paraId="7AE1FE3E" w14:textId="77777777" w:rsidR="006664C3" w:rsidRPr="006664C3" w:rsidRDefault="006664C3" w:rsidP="006664C3">
            <w:pPr>
              <w:jc w:val="center"/>
              <w:rPr>
                <w:sz w:val="16"/>
                <w:szCs w:val="16"/>
              </w:rPr>
            </w:pPr>
            <w:r w:rsidRPr="006664C3">
              <w:rPr>
                <w:sz w:val="16"/>
                <w:szCs w:val="16"/>
              </w:rPr>
              <w:t>2900.0000</w:t>
            </w:r>
          </w:p>
        </w:tc>
        <w:tc>
          <w:tcPr>
            <w:tcW w:w="960" w:type="dxa"/>
            <w:tcBorders>
              <w:bottom w:val="nil"/>
            </w:tcBorders>
            <w:noWrap/>
            <w:hideMark/>
          </w:tcPr>
          <w:p w14:paraId="4AE38F4D" w14:textId="77777777" w:rsidR="006664C3" w:rsidRPr="006664C3" w:rsidRDefault="006664C3" w:rsidP="006664C3">
            <w:pPr>
              <w:jc w:val="center"/>
              <w:rPr>
                <w:sz w:val="16"/>
                <w:szCs w:val="16"/>
              </w:rPr>
            </w:pPr>
            <w:r w:rsidRPr="006664C3">
              <w:rPr>
                <w:sz w:val="16"/>
                <w:szCs w:val="16"/>
              </w:rPr>
              <w:t>24.7441</w:t>
            </w:r>
          </w:p>
        </w:tc>
        <w:tc>
          <w:tcPr>
            <w:tcW w:w="960" w:type="dxa"/>
            <w:tcBorders>
              <w:bottom w:val="nil"/>
            </w:tcBorders>
            <w:noWrap/>
            <w:hideMark/>
          </w:tcPr>
          <w:p w14:paraId="16FD63B4" w14:textId="77777777" w:rsidR="006664C3" w:rsidRPr="006664C3" w:rsidRDefault="006664C3" w:rsidP="006664C3">
            <w:pPr>
              <w:jc w:val="center"/>
              <w:rPr>
                <w:sz w:val="16"/>
                <w:szCs w:val="16"/>
              </w:rPr>
            </w:pPr>
            <w:r w:rsidRPr="006664C3">
              <w:rPr>
                <w:sz w:val="16"/>
                <w:szCs w:val="16"/>
              </w:rPr>
              <w:t>24.6176</w:t>
            </w:r>
          </w:p>
        </w:tc>
        <w:tc>
          <w:tcPr>
            <w:tcW w:w="960" w:type="dxa"/>
            <w:tcBorders>
              <w:bottom w:val="nil"/>
            </w:tcBorders>
            <w:noWrap/>
            <w:hideMark/>
          </w:tcPr>
          <w:p w14:paraId="11E6A4FE" w14:textId="77777777" w:rsidR="006664C3" w:rsidRPr="006664C3" w:rsidRDefault="006664C3" w:rsidP="006664C3">
            <w:pPr>
              <w:jc w:val="center"/>
              <w:rPr>
                <w:sz w:val="16"/>
                <w:szCs w:val="16"/>
              </w:rPr>
            </w:pPr>
            <w:r w:rsidRPr="006664C3">
              <w:rPr>
                <w:sz w:val="16"/>
                <w:szCs w:val="16"/>
              </w:rPr>
              <w:t>24.9231</w:t>
            </w:r>
          </w:p>
        </w:tc>
        <w:tc>
          <w:tcPr>
            <w:tcW w:w="960" w:type="dxa"/>
            <w:tcBorders>
              <w:bottom w:val="nil"/>
            </w:tcBorders>
            <w:noWrap/>
            <w:hideMark/>
          </w:tcPr>
          <w:p w14:paraId="58546B61" w14:textId="77777777" w:rsidR="006664C3" w:rsidRPr="006664C3" w:rsidRDefault="006664C3" w:rsidP="006664C3">
            <w:pPr>
              <w:jc w:val="center"/>
              <w:rPr>
                <w:sz w:val="16"/>
                <w:szCs w:val="16"/>
              </w:rPr>
            </w:pPr>
            <w:r w:rsidRPr="006664C3">
              <w:rPr>
                <w:sz w:val="16"/>
                <w:szCs w:val="16"/>
              </w:rPr>
              <w:t>25.1521</w:t>
            </w:r>
          </w:p>
        </w:tc>
      </w:tr>
      <w:tr w:rsidR="006664C3" w:rsidRPr="00BE088D" w14:paraId="55F32334" w14:textId="77777777" w:rsidTr="000D26B0">
        <w:trPr>
          <w:trHeight w:val="300"/>
        </w:trPr>
        <w:tc>
          <w:tcPr>
            <w:tcW w:w="2460" w:type="dxa"/>
            <w:tcBorders>
              <w:top w:val="nil"/>
              <w:bottom w:val="nil"/>
            </w:tcBorders>
            <w:noWrap/>
            <w:hideMark/>
          </w:tcPr>
          <w:p w14:paraId="092691FB" w14:textId="77777777" w:rsidR="006664C3" w:rsidRPr="006664C3" w:rsidRDefault="006664C3" w:rsidP="006664C3">
            <w:pPr>
              <w:jc w:val="center"/>
              <w:rPr>
                <w:b/>
                <w:sz w:val="16"/>
                <w:szCs w:val="16"/>
              </w:rPr>
            </w:pPr>
            <w:r w:rsidRPr="006664C3">
              <w:rPr>
                <w:b/>
                <w:sz w:val="16"/>
                <w:szCs w:val="16"/>
              </w:rPr>
              <w:t>10</w:t>
            </w:r>
          </w:p>
        </w:tc>
        <w:tc>
          <w:tcPr>
            <w:tcW w:w="1780" w:type="dxa"/>
            <w:tcBorders>
              <w:top w:val="nil"/>
              <w:bottom w:val="nil"/>
            </w:tcBorders>
            <w:noWrap/>
            <w:hideMark/>
          </w:tcPr>
          <w:p w14:paraId="27BB077A" w14:textId="77777777" w:rsidR="006664C3" w:rsidRPr="006664C3" w:rsidRDefault="006664C3" w:rsidP="006664C3">
            <w:pPr>
              <w:jc w:val="center"/>
              <w:rPr>
                <w:sz w:val="16"/>
                <w:szCs w:val="16"/>
              </w:rPr>
            </w:pPr>
            <w:r w:rsidRPr="006664C3">
              <w:rPr>
                <w:sz w:val="16"/>
                <w:szCs w:val="16"/>
              </w:rPr>
              <w:t>290.0000</w:t>
            </w:r>
          </w:p>
        </w:tc>
        <w:tc>
          <w:tcPr>
            <w:tcW w:w="960" w:type="dxa"/>
            <w:tcBorders>
              <w:top w:val="nil"/>
              <w:bottom w:val="nil"/>
            </w:tcBorders>
            <w:noWrap/>
            <w:hideMark/>
          </w:tcPr>
          <w:p w14:paraId="4D1A9D20" w14:textId="77777777" w:rsidR="006664C3" w:rsidRPr="006664C3" w:rsidRDefault="006664C3" w:rsidP="006664C3">
            <w:pPr>
              <w:jc w:val="center"/>
              <w:rPr>
                <w:sz w:val="16"/>
                <w:szCs w:val="16"/>
              </w:rPr>
            </w:pPr>
            <w:r w:rsidRPr="006664C3">
              <w:rPr>
                <w:sz w:val="16"/>
                <w:szCs w:val="16"/>
              </w:rPr>
              <w:t>28.8911</w:t>
            </w:r>
          </w:p>
        </w:tc>
        <w:tc>
          <w:tcPr>
            <w:tcW w:w="960" w:type="dxa"/>
            <w:tcBorders>
              <w:top w:val="nil"/>
              <w:bottom w:val="nil"/>
            </w:tcBorders>
            <w:noWrap/>
            <w:hideMark/>
          </w:tcPr>
          <w:p w14:paraId="110AAB3F" w14:textId="77777777" w:rsidR="006664C3" w:rsidRPr="006664C3" w:rsidRDefault="006664C3" w:rsidP="006664C3">
            <w:pPr>
              <w:jc w:val="center"/>
              <w:rPr>
                <w:sz w:val="16"/>
                <w:szCs w:val="16"/>
              </w:rPr>
            </w:pPr>
            <w:r w:rsidRPr="006664C3">
              <w:rPr>
                <w:sz w:val="16"/>
                <w:szCs w:val="16"/>
              </w:rPr>
              <w:t>26.2434</w:t>
            </w:r>
          </w:p>
        </w:tc>
        <w:tc>
          <w:tcPr>
            <w:tcW w:w="960" w:type="dxa"/>
            <w:tcBorders>
              <w:top w:val="nil"/>
              <w:bottom w:val="nil"/>
            </w:tcBorders>
            <w:noWrap/>
            <w:hideMark/>
          </w:tcPr>
          <w:p w14:paraId="61584276" w14:textId="77777777" w:rsidR="006664C3" w:rsidRPr="006664C3" w:rsidRDefault="006664C3" w:rsidP="006664C3">
            <w:pPr>
              <w:jc w:val="center"/>
              <w:rPr>
                <w:sz w:val="16"/>
                <w:szCs w:val="16"/>
              </w:rPr>
            </w:pPr>
            <w:r w:rsidRPr="006664C3">
              <w:rPr>
                <w:sz w:val="16"/>
                <w:szCs w:val="16"/>
              </w:rPr>
              <w:t>28.8485</w:t>
            </w:r>
          </w:p>
        </w:tc>
        <w:tc>
          <w:tcPr>
            <w:tcW w:w="960" w:type="dxa"/>
            <w:tcBorders>
              <w:top w:val="nil"/>
              <w:bottom w:val="nil"/>
            </w:tcBorders>
            <w:noWrap/>
            <w:hideMark/>
          </w:tcPr>
          <w:p w14:paraId="11FA9A03" w14:textId="77777777" w:rsidR="006664C3" w:rsidRPr="006664C3" w:rsidRDefault="006664C3" w:rsidP="006664C3">
            <w:pPr>
              <w:jc w:val="center"/>
              <w:rPr>
                <w:sz w:val="16"/>
                <w:szCs w:val="16"/>
              </w:rPr>
            </w:pPr>
            <w:r w:rsidRPr="006664C3">
              <w:rPr>
                <w:sz w:val="16"/>
                <w:szCs w:val="16"/>
              </w:rPr>
              <w:t>26.1645</w:t>
            </w:r>
          </w:p>
        </w:tc>
      </w:tr>
      <w:tr w:rsidR="006664C3" w:rsidRPr="00BE088D" w14:paraId="1648B2C1" w14:textId="77777777" w:rsidTr="000D26B0">
        <w:trPr>
          <w:trHeight w:val="300"/>
        </w:trPr>
        <w:tc>
          <w:tcPr>
            <w:tcW w:w="2460" w:type="dxa"/>
            <w:tcBorders>
              <w:top w:val="nil"/>
              <w:bottom w:val="nil"/>
            </w:tcBorders>
            <w:noWrap/>
            <w:hideMark/>
          </w:tcPr>
          <w:p w14:paraId="6B9A71FB" w14:textId="77777777" w:rsidR="006664C3" w:rsidRPr="006664C3" w:rsidRDefault="006664C3" w:rsidP="006664C3">
            <w:pPr>
              <w:jc w:val="center"/>
              <w:rPr>
                <w:b/>
                <w:sz w:val="16"/>
                <w:szCs w:val="16"/>
              </w:rPr>
            </w:pPr>
            <w:r w:rsidRPr="006664C3">
              <w:rPr>
                <w:b/>
                <w:sz w:val="16"/>
                <w:szCs w:val="16"/>
              </w:rPr>
              <w:t>100</w:t>
            </w:r>
          </w:p>
        </w:tc>
        <w:tc>
          <w:tcPr>
            <w:tcW w:w="1780" w:type="dxa"/>
            <w:tcBorders>
              <w:top w:val="nil"/>
              <w:bottom w:val="nil"/>
            </w:tcBorders>
            <w:noWrap/>
            <w:hideMark/>
          </w:tcPr>
          <w:p w14:paraId="1F13A033" w14:textId="77777777" w:rsidR="006664C3" w:rsidRPr="006664C3" w:rsidRDefault="006664C3" w:rsidP="006664C3">
            <w:pPr>
              <w:jc w:val="center"/>
              <w:rPr>
                <w:sz w:val="16"/>
                <w:szCs w:val="16"/>
              </w:rPr>
            </w:pPr>
            <w:r w:rsidRPr="006664C3">
              <w:rPr>
                <w:sz w:val="16"/>
                <w:szCs w:val="16"/>
              </w:rPr>
              <w:t>29.0000</w:t>
            </w:r>
          </w:p>
        </w:tc>
        <w:tc>
          <w:tcPr>
            <w:tcW w:w="960" w:type="dxa"/>
            <w:tcBorders>
              <w:top w:val="nil"/>
              <w:bottom w:val="nil"/>
            </w:tcBorders>
            <w:noWrap/>
            <w:hideMark/>
          </w:tcPr>
          <w:p w14:paraId="4EF57B4D" w14:textId="77777777" w:rsidR="006664C3" w:rsidRPr="006664C3" w:rsidRDefault="006664C3" w:rsidP="006664C3">
            <w:pPr>
              <w:jc w:val="center"/>
              <w:rPr>
                <w:sz w:val="16"/>
                <w:szCs w:val="16"/>
              </w:rPr>
            </w:pPr>
            <w:r w:rsidRPr="006664C3">
              <w:rPr>
                <w:sz w:val="16"/>
                <w:szCs w:val="16"/>
              </w:rPr>
              <w:t>32.4059</w:t>
            </w:r>
          </w:p>
        </w:tc>
        <w:tc>
          <w:tcPr>
            <w:tcW w:w="960" w:type="dxa"/>
            <w:tcBorders>
              <w:top w:val="nil"/>
              <w:bottom w:val="nil"/>
            </w:tcBorders>
            <w:noWrap/>
            <w:hideMark/>
          </w:tcPr>
          <w:p w14:paraId="3A880A58" w14:textId="77777777" w:rsidR="006664C3" w:rsidRPr="006664C3" w:rsidRDefault="006664C3" w:rsidP="006664C3">
            <w:pPr>
              <w:jc w:val="center"/>
              <w:rPr>
                <w:sz w:val="16"/>
                <w:szCs w:val="16"/>
              </w:rPr>
            </w:pPr>
            <w:r w:rsidRPr="006664C3">
              <w:rPr>
                <w:sz w:val="16"/>
                <w:szCs w:val="16"/>
              </w:rPr>
              <w:t>25.9435</w:t>
            </w:r>
          </w:p>
        </w:tc>
        <w:tc>
          <w:tcPr>
            <w:tcW w:w="960" w:type="dxa"/>
            <w:tcBorders>
              <w:top w:val="nil"/>
              <w:bottom w:val="nil"/>
            </w:tcBorders>
            <w:noWrap/>
            <w:hideMark/>
          </w:tcPr>
          <w:p w14:paraId="1001B5DA" w14:textId="77777777" w:rsidR="006664C3" w:rsidRPr="006664C3" w:rsidRDefault="006664C3" w:rsidP="006664C3">
            <w:pPr>
              <w:jc w:val="center"/>
              <w:rPr>
                <w:sz w:val="16"/>
                <w:szCs w:val="16"/>
              </w:rPr>
            </w:pPr>
            <w:r w:rsidRPr="006664C3">
              <w:rPr>
                <w:sz w:val="16"/>
                <w:szCs w:val="16"/>
              </w:rPr>
              <w:t>32.3956</w:t>
            </w:r>
          </w:p>
        </w:tc>
        <w:tc>
          <w:tcPr>
            <w:tcW w:w="960" w:type="dxa"/>
            <w:tcBorders>
              <w:top w:val="nil"/>
              <w:bottom w:val="nil"/>
            </w:tcBorders>
            <w:noWrap/>
            <w:hideMark/>
          </w:tcPr>
          <w:p w14:paraId="2CAA248B" w14:textId="77777777" w:rsidR="006664C3" w:rsidRPr="006664C3" w:rsidRDefault="006664C3" w:rsidP="006664C3">
            <w:pPr>
              <w:jc w:val="center"/>
              <w:rPr>
                <w:sz w:val="16"/>
                <w:szCs w:val="16"/>
              </w:rPr>
            </w:pPr>
            <w:r w:rsidRPr="006664C3">
              <w:rPr>
                <w:sz w:val="16"/>
                <w:szCs w:val="16"/>
              </w:rPr>
              <w:t>26.3966</w:t>
            </w:r>
          </w:p>
        </w:tc>
      </w:tr>
      <w:tr w:rsidR="006664C3" w:rsidRPr="00BE088D" w14:paraId="1CC4FFFA" w14:textId="77777777" w:rsidTr="000D26B0">
        <w:trPr>
          <w:trHeight w:val="300"/>
        </w:trPr>
        <w:tc>
          <w:tcPr>
            <w:tcW w:w="2460" w:type="dxa"/>
            <w:tcBorders>
              <w:top w:val="nil"/>
              <w:bottom w:val="nil"/>
            </w:tcBorders>
            <w:noWrap/>
            <w:hideMark/>
          </w:tcPr>
          <w:p w14:paraId="7DFE49CF" w14:textId="77777777" w:rsidR="006664C3" w:rsidRPr="006664C3" w:rsidRDefault="006664C3" w:rsidP="006664C3">
            <w:pPr>
              <w:jc w:val="center"/>
              <w:rPr>
                <w:b/>
                <w:sz w:val="16"/>
                <w:szCs w:val="16"/>
              </w:rPr>
            </w:pPr>
            <w:r w:rsidRPr="006664C3">
              <w:rPr>
                <w:b/>
                <w:sz w:val="16"/>
                <w:szCs w:val="16"/>
              </w:rPr>
              <w:t>1000</w:t>
            </w:r>
          </w:p>
        </w:tc>
        <w:tc>
          <w:tcPr>
            <w:tcW w:w="1780" w:type="dxa"/>
            <w:tcBorders>
              <w:top w:val="nil"/>
              <w:bottom w:val="nil"/>
            </w:tcBorders>
            <w:noWrap/>
            <w:hideMark/>
          </w:tcPr>
          <w:p w14:paraId="1F629724" w14:textId="77777777" w:rsidR="006664C3" w:rsidRPr="006664C3" w:rsidRDefault="006664C3" w:rsidP="006664C3">
            <w:pPr>
              <w:jc w:val="center"/>
              <w:rPr>
                <w:sz w:val="16"/>
                <w:szCs w:val="16"/>
              </w:rPr>
            </w:pPr>
            <w:r w:rsidRPr="006664C3">
              <w:rPr>
                <w:sz w:val="16"/>
                <w:szCs w:val="16"/>
              </w:rPr>
              <w:t>2.9000</w:t>
            </w:r>
          </w:p>
        </w:tc>
        <w:tc>
          <w:tcPr>
            <w:tcW w:w="960" w:type="dxa"/>
            <w:tcBorders>
              <w:top w:val="nil"/>
              <w:bottom w:val="nil"/>
            </w:tcBorders>
            <w:noWrap/>
            <w:hideMark/>
          </w:tcPr>
          <w:p w14:paraId="244D0D2E" w14:textId="77777777" w:rsidR="006664C3" w:rsidRPr="006664C3" w:rsidRDefault="006664C3" w:rsidP="006664C3">
            <w:pPr>
              <w:jc w:val="center"/>
              <w:rPr>
                <w:sz w:val="16"/>
                <w:szCs w:val="16"/>
              </w:rPr>
            </w:pPr>
            <w:r w:rsidRPr="006664C3">
              <w:rPr>
                <w:sz w:val="16"/>
                <w:szCs w:val="16"/>
              </w:rPr>
              <w:t>36.1345</w:t>
            </w:r>
          </w:p>
        </w:tc>
        <w:tc>
          <w:tcPr>
            <w:tcW w:w="960" w:type="dxa"/>
            <w:tcBorders>
              <w:top w:val="nil"/>
              <w:bottom w:val="nil"/>
            </w:tcBorders>
            <w:noWrap/>
            <w:hideMark/>
          </w:tcPr>
          <w:p w14:paraId="3AFF7407" w14:textId="77777777" w:rsidR="006664C3" w:rsidRPr="006664C3" w:rsidRDefault="006664C3" w:rsidP="006664C3">
            <w:pPr>
              <w:jc w:val="center"/>
              <w:rPr>
                <w:sz w:val="16"/>
                <w:szCs w:val="16"/>
              </w:rPr>
            </w:pPr>
            <w:r w:rsidRPr="006664C3">
              <w:rPr>
                <w:sz w:val="16"/>
                <w:szCs w:val="16"/>
              </w:rPr>
              <w:t>26.2888</w:t>
            </w:r>
          </w:p>
        </w:tc>
        <w:tc>
          <w:tcPr>
            <w:tcW w:w="960" w:type="dxa"/>
            <w:tcBorders>
              <w:top w:val="nil"/>
              <w:bottom w:val="nil"/>
            </w:tcBorders>
            <w:noWrap/>
            <w:hideMark/>
          </w:tcPr>
          <w:p w14:paraId="751313F8" w14:textId="77777777" w:rsidR="006664C3" w:rsidRPr="006664C3" w:rsidRDefault="006664C3" w:rsidP="006664C3">
            <w:pPr>
              <w:jc w:val="center"/>
              <w:rPr>
                <w:sz w:val="16"/>
                <w:szCs w:val="16"/>
              </w:rPr>
            </w:pPr>
            <w:r w:rsidRPr="006664C3">
              <w:rPr>
                <w:sz w:val="16"/>
                <w:szCs w:val="16"/>
              </w:rPr>
              <w:t>35.3033</w:t>
            </w:r>
          </w:p>
        </w:tc>
        <w:tc>
          <w:tcPr>
            <w:tcW w:w="960" w:type="dxa"/>
            <w:tcBorders>
              <w:top w:val="nil"/>
              <w:bottom w:val="nil"/>
            </w:tcBorders>
            <w:noWrap/>
            <w:hideMark/>
          </w:tcPr>
          <w:p w14:paraId="77F212B7" w14:textId="77777777" w:rsidR="006664C3" w:rsidRPr="006664C3" w:rsidRDefault="006664C3" w:rsidP="006664C3">
            <w:pPr>
              <w:jc w:val="center"/>
              <w:rPr>
                <w:sz w:val="16"/>
                <w:szCs w:val="16"/>
              </w:rPr>
            </w:pPr>
            <w:r w:rsidRPr="006664C3">
              <w:rPr>
                <w:sz w:val="16"/>
                <w:szCs w:val="16"/>
              </w:rPr>
              <w:t>26.2873</w:t>
            </w:r>
          </w:p>
        </w:tc>
      </w:tr>
      <w:tr w:rsidR="006664C3" w:rsidRPr="00BE088D" w14:paraId="3364ED62" w14:textId="77777777" w:rsidTr="000D26B0">
        <w:trPr>
          <w:trHeight w:val="300"/>
        </w:trPr>
        <w:tc>
          <w:tcPr>
            <w:tcW w:w="2460" w:type="dxa"/>
            <w:tcBorders>
              <w:top w:val="nil"/>
              <w:bottom w:val="nil"/>
            </w:tcBorders>
            <w:noWrap/>
            <w:hideMark/>
          </w:tcPr>
          <w:p w14:paraId="4C9CD949" w14:textId="77777777" w:rsidR="006664C3" w:rsidRPr="006664C3" w:rsidRDefault="006664C3" w:rsidP="006664C3">
            <w:pPr>
              <w:jc w:val="center"/>
              <w:rPr>
                <w:b/>
                <w:sz w:val="16"/>
                <w:szCs w:val="16"/>
              </w:rPr>
            </w:pPr>
            <w:r w:rsidRPr="006664C3">
              <w:rPr>
                <w:b/>
                <w:sz w:val="16"/>
                <w:szCs w:val="16"/>
              </w:rPr>
              <w:t>10000</w:t>
            </w:r>
          </w:p>
        </w:tc>
        <w:tc>
          <w:tcPr>
            <w:tcW w:w="1780" w:type="dxa"/>
            <w:tcBorders>
              <w:top w:val="nil"/>
              <w:bottom w:val="nil"/>
            </w:tcBorders>
            <w:noWrap/>
            <w:hideMark/>
          </w:tcPr>
          <w:p w14:paraId="38489997" w14:textId="77777777" w:rsidR="006664C3" w:rsidRPr="006664C3" w:rsidRDefault="006664C3" w:rsidP="006664C3">
            <w:pPr>
              <w:jc w:val="center"/>
              <w:rPr>
                <w:sz w:val="16"/>
                <w:szCs w:val="16"/>
              </w:rPr>
            </w:pPr>
            <w:r w:rsidRPr="006664C3">
              <w:rPr>
                <w:sz w:val="16"/>
                <w:szCs w:val="16"/>
              </w:rPr>
              <w:t>0.2900</w:t>
            </w:r>
          </w:p>
        </w:tc>
        <w:tc>
          <w:tcPr>
            <w:tcW w:w="960" w:type="dxa"/>
            <w:tcBorders>
              <w:top w:val="nil"/>
              <w:bottom w:val="nil"/>
            </w:tcBorders>
            <w:noWrap/>
            <w:hideMark/>
          </w:tcPr>
          <w:p w14:paraId="5439080D" w14:textId="77777777" w:rsidR="006664C3" w:rsidRPr="006664C3" w:rsidRDefault="006664C3" w:rsidP="006664C3">
            <w:pPr>
              <w:jc w:val="center"/>
              <w:rPr>
                <w:sz w:val="16"/>
                <w:szCs w:val="16"/>
              </w:rPr>
            </w:pPr>
            <w:r w:rsidRPr="006664C3">
              <w:rPr>
                <w:sz w:val="16"/>
                <w:szCs w:val="16"/>
              </w:rPr>
              <w:t>40.061</w:t>
            </w:r>
          </w:p>
        </w:tc>
        <w:tc>
          <w:tcPr>
            <w:tcW w:w="960" w:type="dxa"/>
            <w:tcBorders>
              <w:top w:val="nil"/>
              <w:bottom w:val="nil"/>
            </w:tcBorders>
            <w:noWrap/>
            <w:hideMark/>
          </w:tcPr>
          <w:p w14:paraId="2AF6BE87" w14:textId="77777777" w:rsidR="006664C3" w:rsidRPr="006664C3" w:rsidRDefault="006664C3" w:rsidP="006664C3">
            <w:pPr>
              <w:jc w:val="center"/>
              <w:rPr>
                <w:sz w:val="16"/>
                <w:szCs w:val="16"/>
              </w:rPr>
            </w:pPr>
            <w:r w:rsidRPr="006664C3">
              <w:rPr>
                <w:sz w:val="16"/>
                <w:szCs w:val="16"/>
              </w:rPr>
              <w:t>26.1724</w:t>
            </w:r>
          </w:p>
        </w:tc>
        <w:tc>
          <w:tcPr>
            <w:tcW w:w="960" w:type="dxa"/>
            <w:tcBorders>
              <w:top w:val="nil"/>
              <w:bottom w:val="nil"/>
            </w:tcBorders>
            <w:noWrap/>
            <w:hideMark/>
          </w:tcPr>
          <w:p w14:paraId="56F818C8" w14:textId="77777777" w:rsidR="006664C3" w:rsidRPr="006664C3" w:rsidRDefault="006664C3" w:rsidP="006664C3">
            <w:pPr>
              <w:jc w:val="center"/>
              <w:rPr>
                <w:sz w:val="16"/>
                <w:szCs w:val="16"/>
              </w:rPr>
            </w:pPr>
            <w:r w:rsidRPr="006664C3">
              <w:rPr>
                <w:sz w:val="16"/>
                <w:szCs w:val="16"/>
              </w:rPr>
              <w:t>37.5997</w:t>
            </w:r>
          </w:p>
        </w:tc>
        <w:tc>
          <w:tcPr>
            <w:tcW w:w="960" w:type="dxa"/>
            <w:tcBorders>
              <w:top w:val="nil"/>
              <w:bottom w:val="nil"/>
            </w:tcBorders>
            <w:noWrap/>
            <w:hideMark/>
          </w:tcPr>
          <w:p w14:paraId="06DBA566" w14:textId="77777777" w:rsidR="006664C3" w:rsidRPr="006664C3" w:rsidRDefault="006664C3" w:rsidP="006664C3">
            <w:pPr>
              <w:jc w:val="center"/>
              <w:rPr>
                <w:sz w:val="16"/>
                <w:szCs w:val="16"/>
              </w:rPr>
            </w:pPr>
            <w:r w:rsidRPr="006664C3">
              <w:rPr>
                <w:sz w:val="16"/>
                <w:szCs w:val="16"/>
              </w:rPr>
              <w:t>26.5653</w:t>
            </w:r>
          </w:p>
        </w:tc>
      </w:tr>
      <w:tr w:rsidR="006664C3" w:rsidRPr="00BE088D" w14:paraId="2C6547CB" w14:textId="77777777" w:rsidTr="000D26B0">
        <w:trPr>
          <w:trHeight w:val="300"/>
        </w:trPr>
        <w:tc>
          <w:tcPr>
            <w:tcW w:w="2460" w:type="dxa"/>
            <w:tcBorders>
              <w:top w:val="nil"/>
              <w:bottom w:val="nil"/>
            </w:tcBorders>
            <w:noWrap/>
            <w:hideMark/>
          </w:tcPr>
          <w:p w14:paraId="41F38C56" w14:textId="77777777" w:rsidR="006664C3" w:rsidRPr="006664C3" w:rsidRDefault="006664C3" w:rsidP="006664C3">
            <w:pPr>
              <w:jc w:val="center"/>
              <w:rPr>
                <w:b/>
                <w:sz w:val="16"/>
                <w:szCs w:val="16"/>
              </w:rPr>
            </w:pPr>
            <w:r w:rsidRPr="006664C3">
              <w:rPr>
                <w:b/>
                <w:sz w:val="16"/>
                <w:szCs w:val="16"/>
              </w:rPr>
              <w:t>100000</w:t>
            </w:r>
          </w:p>
        </w:tc>
        <w:tc>
          <w:tcPr>
            <w:tcW w:w="1780" w:type="dxa"/>
            <w:tcBorders>
              <w:top w:val="nil"/>
              <w:bottom w:val="nil"/>
            </w:tcBorders>
            <w:noWrap/>
            <w:hideMark/>
          </w:tcPr>
          <w:p w14:paraId="375BA0E0" w14:textId="77777777" w:rsidR="006664C3" w:rsidRPr="006664C3" w:rsidRDefault="006664C3" w:rsidP="006664C3">
            <w:pPr>
              <w:jc w:val="center"/>
              <w:rPr>
                <w:sz w:val="16"/>
                <w:szCs w:val="16"/>
              </w:rPr>
            </w:pPr>
            <w:r w:rsidRPr="006664C3">
              <w:rPr>
                <w:sz w:val="16"/>
                <w:szCs w:val="16"/>
              </w:rPr>
              <w:t>0.0290</w:t>
            </w:r>
          </w:p>
        </w:tc>
        <w:tc>
          <w:tcPr>
            <w:tcW w:w="960" w:type="dxa"/>
            <w:tcBorders>
              <w:top w:val="nil"/>
              <w:bottom w:val="nil"/>
            </w:tcBorders>
            <w:noWrap/>
            <w:hideMark/>
          </w:tcPr>
          <w:p w14:paraId="51377EDA" w14:textId="77777777" w:rsidR="006664C3" w:rsidRPr="006664C3" w:rsidRDefault="006664C3" w:rsidP="006664C3">
            <w:pPr>
              <w:jc w:val="center"/>
              <w:rPr>
                <w:sz w:val="16"/>
                <w:szCs w:val="16"/>
              </w:rPr>
            </w:pPr>
            <w:r w:rsidRPr="006664C3">
              <w:rPr>
                <w:sz w:val="16"/>
                <w:szCs w:val="16"/>
              </w:rPr>
              <w:t>41.9576</w:t>
            </w:r>
          </w:p>
        </w:tc>
        <w:tc>
          <w:tcPr>
            <w:tcW w:w="960" w:type="dxa"/>
            <w:tcBorders>
              <w:top w:val="nil"/>
              <w:bottom w:val="nil"/>
            </w:tcBorders>
            <w:noWrap/>
            <w:hideMark/>
          </w:tcPr>
          <w:p w14:paraId="590A43FD" w14:textId="77777777" w:rsidR="006664C3" w:rsidRPr="006664C3" w:rsidRDefault="006664C3" w:rsidP="006664C3">
            <w:pPr>
              <w:jc w:val="center"/>
              <w:rPr>
                <w:sz w:val="16"/>
                <w:szCs w:val="16"/>
              </w:rPr>
            </w:pPr>
            <w:r w:rsidRPr="006664C3">
              <w:rPr>
                <w:sz w:val="16"/>
                <w:szCs w:val="16"/>
              </w:rPr>
              <w:t>26.2918</w:t>
            </w:r>
          </w:p>
        </w:tc>
        <w:tc>
          <w:tcPr>
            <w:tcW w:w="960" w:type="dxa"/>
            <w:tcBorders>
              <w:top w:val="nil"/>
              <w:bottom w:val="nil"/>
            </w:tcBorders>
            <w:noWrap/>
            <w:hideMark/>
          </w:tcPr>
          <w:p w14:paraId="79DF3618" w14:textId="77777777" w:rsidR="006664C3" w:rsidRPr="006664C3" w:rsidRDefault="006664C3" w:rsidP="006664C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noWrap/>
            <w:hideMark/>
          </w:tcPr>
          <w:p w14:paraId="032B3A39" w14:textId="77777777" w:rsidR="006664C3" w:rsidRPr="006664C3" w:rsidRDefault="006664C3" w:rsidP="006664C3">
            <w:pPr>
              <w:jc w:val="center"/>
              <w:rPr>
                <w:sz w:val="16"/>
                <w:szCs w:val="16"/>
              </w:rPr>
            </w:pPr>
            <w:r w:rsidRPr="006664C3">
              <w:rPr>
                <w:sz w:val="16"/>
                <w:szCs w:val="16"/>
              </w:rPr>
              <w:t>26.2598</w:t>
            </w:r>
          </w:p>
        </w:tc>
      </w:tr>
      <w:tr w:rsidR="006664C3" w:rsidRPr="00BE088D" w14:paraId="5F96E718" w14:textId="77777777" w:rsidTr="000D26B0">
        <w:trPr>
          <w:trHeight w:val="300"/>
        </w:trPr>
        <w:tc>
          <w:tcPr>
            <w:tcW w:w="2460" w:type="dxa"/>
            <w:tcBorders>
              <w:top w:val="nil"/>
              <w:bottom w:val="nil"/>
            </w:tcBorders>
            <w:noWrap/>
            <w:hideMark/>
          </w:tcPr>
          <w:p w14:paraId="447FFB3C" w14:textId="77777777" w:rsidR="006664C3" w:rsidRPr="006664C3" w:rsidRDefault="006664C3" w:rsidP="006664C3">
            <w:pPr>
              <w:jc w:val="center"/>
              <w:rPr>
                <w:b/>
                <w:sz w:val="16"/>
                <w:szCs w:val="16"/>
              </w:rPr>
            </w:pPr>
            <w:r w:rsidRPr="006664C3">
              <w:rPr>
                <w:b/>
                <w:sz w:val="16"/>
                <w:szCs w:val="16"/>
              </w:rPr>
              <w:t>1000000</w:t>
            </w:r>
          </w:p>
        </w:tc>
        <w:tc>
          <w:tcPr>
            <w:tcW w:w="1780" w:type="dxa"/>
            <w:tcBorders>
              <w:top w:val="nil"/>
              <w:bottom w:val="nil"/>
            </w:tcBorders>
            <w:noWrap/>
            <w:hideMark/>
          </w:tcPr>
          <w:p w14:paraId="7CD5F806" w14:textId="77777777" w:rsidR="006664C3" w:rsidRPr="006664C3" w:rsidRDefault="006664C3" w:rsidP="006664C3">
            <w:pPr>
              <w:jc w:val="center"/>
              <w:rPr>
                <w:sz w:val="16"/>
                <w:szCs w:val="16"/>
              </w:rPr>
            </w:pPr>
            <w:r w:rsidRPr="006664C3">
              <w:rPr>
                <w:sz w:val="16"/>
                <w:szCs w:val="16"/>
              </w:rPr>
              <w:t>0.0029</w:t>
            </w:r>
          </w:p>
        </w:tc>
        <w:tc>
          <w:tcPr>
            <w:tcW w:w="960" w:type="dxa"/>
            <w:tcBorders>
              <w:top w:val="nil"/>
              <w:bottom w:val="nil"/>
            </w:tcBorders>
            <w:noWrap/>
            <w:hideMark/>
          </w:tcPr>
          <w:p w14:paraId="3798E61B" w14:textId="77777777" w:rsidR="006664C3" w:rsidRPr="006664C3" w:rsidRDefault="006664C3" w:rsidP="006664C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noWrap/>
            <w:hideMark/>
          </w:tcPr>
          <w:p w14:paraId="7FC0713F" w14:textId="77777777" w:rsidR="006664C3" w:rsidRPr="006664C3" w:rsidRDefault="006664C3" w:rsidP="006664C3">
            <w:pPr>
              <w:jc w:val="center"/>
              <w:rPr>
                <w:sz w:val="16"/>
                <w:szCs w:val="16"/>
              </w:rPr>
            </w:pPr>
            <w:r w:rsidRPr="006664C3">
              <w:rPr>
                <w:sz w:val="16"/>
                <w:szCs w:val="16"/>
              </w:rPr>
              <w:t>26.1396</w:t>
            </w:r>
          </w:p>
        </w:tc>
        <w:tc>
          <w:tcPr>
            <w:tcW w:w="960" w:type="dxa"/>
            <w:tcBorders>
              <w:top w:val="nil"/>
              <w:bottom w:val="nil"/>
            </w:tcBorders>
            <w:noWrap/>
            <w:hideMark/>
          </w:tcPr>
          <w:p w14:paraId="14C57D1E" w14:textId="77777777" w:rsidR="006664C3" w:rsidRPr="006664C3" w:rsidRDefault="006664C3" w:rsidP="006664C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noWrap/>
            <w:hideMark/>
          </w:tcPr>
          <w:p w14:paraId="775DABDB" w14:textId="77777777" w:rsidR="006664C3" w:rsidRPr="006664C3" w:rsidRDefault="006664C3" w:rsidP="006664C3">
            <w:pPr>
              <w:jc w:val="center"/>
              <w:rPr>
                <w:sz w:val="16"/>
                <w:szCs w:val="16"/>
              </w:rPr>
            </w:pPr>
            <w:r w:rsidRPr="006664C3">
              <w:rPr>
                <w:sz w:val="16"/>
                <w:szCs w:val="16"/>
              </w:rPr>
              <w:t>26.2357</w:t>
            </w:r>
          </w:p>
        </w:tc>
      </w:tr>
      <w:tr w:rsidR="006664C3" w:rsidRPr="00BE088D" w14:paraId="056177C9" w14:textId="77777777" w:rsidTr="000D26B0">
        <w:trPr>
          <w:trHeight w:val="300"/>
        </w:trPr>
        <w:tc>
          <w:tcPr>
            <w:tcW w:w="2460" w:type="dxa"/>
            <w:tcBorders>
              <w:top w:val="nil"/>
            </w:tcBorders>
            <w:noWrap/>
            <w:hideMark/>
          </w:tcPr>
          <w:p w14:paraId="3B2C6B58" w14:textId="77777777" w:rsidR="006664C3" w:rsidRPr="006664C3" w:rsidRDefault="006664C3" w:rsidP="006664C3">
            <w:pPr>
              <w:jc w:val="center"/>
              <w:rPr>
                <w:b/>
                <w:sz w:val="16"/>
                <w:szCs w:val="16"/>
              </w:rPr>
            </w:pPr>
            <w:r w:rsidRPr="006664C3">
              <w:rPr>
                <w:b/>
                <w:sz w:val="16"/>
                <w:szCs w:val="16"/>
              </w:rPr>
              <w:t>10000000</w:t>
            </w:r>
          </w:p>
        </w:tc>
        <w:tc>
          <w:tcPr>
            <w:tcW w:w="1780" w:type="dxa"/>
            <w:tcBorders>
              <w:top w:val="nil"/>
            </w:tcBorders>
            <w:noWrap/>
            <w:hideMark/>
          </w:tcPr>
          <w:p w14:paraId="321EF0D4" w14:textId="77777777" w:rsidR="006664C3" w:rsidRPr="006664C3" w:rsidRDefault="006664C3" w:rsidP="006664C3">
            <w:pPr>
              <w:jc w:val="center"/>
              <w:rPr>
                <w:sz w:val="16"/>
                <w:szCs w:val="16"/>
              </w:rPr>
            </w:pPr>
            <w:r w:rsidRPr="006664C3">
              <w:rPr>
                <w:sz w:val="16"/>
                <w:szCs w:val="16"/>
              </w:rPr>
              <w:t>0.0003</w:t>
            </w:r>
          </w:p>
        </w:tc>
        <w:tc>
          <w:tcPr>
            <w:tcW w:w="960" w:type="dxa"/>
            <w:tcBorders>
              <w:top w:val="nil"/>
            </w:tcBorders>
            <w:noWrap/>
            <w:hideMark/>
          </w:tcPr>
          <w:p w14:paraId="6809B108" w14:textId="77777777" w:rsidR="006664C3" w:rsidRPr="006664C3" w:rsidRDefault="006664C3" w:rsidP="006664C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</w:tcBorders>
            <w:noWrap/>
            <w:hideMark/>
          </w:tcPr>
          <w:p w14:paraId="56D96CB3" w14:textId="77777777" w:rsidR="006664C3" w:rsidRPr="006664C3" w:rsidRDefault="006664C3" w:rsidP="006664C3">
            <w:pPr>
              <w:jc w:val="center"/>
              <w:rPr>
                <w:sz w:val="16"/>
                <w:szCs w:val="16"/>
              </w:rPr>
            </w:pPr>
            <w:r w:rsidRPr="006664C3">
              <w:rPr>
                <w:sz w:val="16"/>
                <w:szCs w:val="16"/>
              </w:rPr>
              <w:t>25.4276</w:t>
            </w:r>
          </w:p>
        </w:tc>
        <w:tc>
          <w:tcPr>
            <w:tcW w:w="960" w:type="dxa"/>
            <w:tcBorders>
              <w:top w:val="nil"/>
            </w:tcBorders>
            <w:noWrap/>
            <w:hideMark/>
          </w:tcPr>
          <w:p w14:paraId="6E2C0556" w14:textId="77777777" w:rsidR="006664C3" w:rsidRPr="006664C3" w:rsidRDefault="006664C3" w:rsidP="006664C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</w:tcBorders>
            <w:noWrap/>
            <w:hideMark/>
          </w:tcPr>
          <w:p w14:paraId="29D5AD2E" w14:textId="77777777" w:rsidR="006664C3" w:rsidRPr="006664C3" w:rsidRDefault="006664C3" w:rsidP="006664C3">
            <w:pPr>
              <w:jc w:val="center"/>
              <w:rPr>
                <w:sz w:val="16"/>
                <w:szCs w:val="16"/>
              </w:rPr>
            </w:pPr>
            <w:r w:rsidRPr="006664C3">
              <w:rPr>
                <w:sz w:val="16"/>
                <w:szCs w:val="16"/>
              </w:rPr>
              <w:t>25.7268</w:t>
            </w:r>
          </w:p>
        </w:tc>
        <w:bookmarkStart w:id="0" w:name="_GoBack"/>
        <w:bookmarkEnd w:id="0"/>
      </w:tr>
    </w:tbl>
    <w:p w14:paraId="0AD2B171" w14:textId="77777777" w:rsidR="006664C3" w:rsidRDefault="006664C3" w:rsidP="0021521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0"/>
        <w:gridCol w:w="1339"/>
        <w:gridCol w:w="960"/>
      </w:tblGrid>
      <w:tr w:rsidR="006664C3" w:rsidRPr="006664C3" w14:paraId="49EB0BFE" w14:textId="77777777" w:rsidTr="000D26B0">
        <w:trPr>
          <w:trHeight w:val="188"/>
        </w:trPr>
        <w:tc>
          <w:tcPr>
            <w:tcW w:w="1780" w:type="dxa"/>
            <w:tcBorders>
              <w:top w:val="nil"/>
              <w:left w:val="nil"/>
              <w:bottom w:val="single" w:sz="4" w:space="0" w:color="auto"/>
            </w:tcBorders>
            <w:noWrap/>
            <w:hideMark/>
          </w:tcPr>
          <w:p w14:paraId="63FD8B79" w14:textId="77777777" w:rsidR="006664C3" w:rsidRPr="006664C3" w:rsidRDefault="006664C3">
            <w:pPr>
              <w:rPr>
                <w:b/>
                <w:sz w:val="16"/>
                <w:szCs w:val="16"/>
              </w:rPr>
            </w:pPr>
          </w:p>
        </w:tc>
        <w:tc>
          <w:tcPr>
            <w:tcW w:w="1339" w:type="dxa"/>
            <w:tcBorders>
              <w:bottom w:val="single" w:sz="4" w:space="0" w:color="auto"/>
            </w:tcBorders>
            <w:noWrap/>
            <w:hideMark/>
          </w:tcPr>
          <w:p w14:paraId="10DC9014" w14:textId="77777777" w:rsidR="006664C3" w:rsidRPr="006664C3" w:rsidRDefault="006664C3">
            <w:pPr>
              <w:rPr>
                <w:b/>
                <w:sz w:val="16"/>
                <w:szCs w:val="16"/>
              </w:rPr>
            </w:pPr>
            <w:r w:rsidRPr="006664C3">
              <w:rPr>
                <w:b/>
                <w:sz w:val="16"/>
                <w:szCs w:val="16"/>
              </w:rPr>
              <w:t>OriC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noWrap/>
            <w:hideMark/>
          </w:tcPr>
          <w:p w14:paraId="7890110D" w14:textId="77777777" w:rsidR="006664C3" w:rsidRPr="006664C3" w:rsidRDefault="006664C3">
            <w:pPr>
              <w:rPr>
                <w:b/>
                <w:sz w:val="16"/>
                <w:szCs w:val="16"/>
              </w:rPr>
            </w:pPr>
            <w:proofErr w:type="spellStart"/>
            <w:r w:rsidRPr="006664C3">
              <w:rPr>
                <w:b/>
                <w:sz w:val="16"/>
                <w:szCs w:val="16"/>
              </w:rPr>
              <w:t>gfp</w:t>
            </w:r>
            <w:proofErr w:type="spellEnd"/>
          </w:p>
        </w:tc>
      </w:tr>
      <w:tr w:rsidR="006664C3" w:rsidRPr="006664C3" w14:paraId="5F6E423C" w14:textId="77777777" w:rsidTr="000D26B0">
        <w:trPr>
          <w:trHeight w:val="233"/>
        </w:trPr>
        <w:tc>
          <w:tcPr>
            <w:tcW w:w="1780" w:type="dxa"/>
            <w:tcBorders>
              <w:bottom w:val="nil"/>
            </w:tcBorders>
            <w:noWrap/>
            <w:hideMark/>
          </w:tcPr>
          <w:p w14:paraId="5937FB3E" w14:textId="62DA0F7E" w:rsidR="006664C3" w:rsidRPr="006664C3" w:rsidRDefault="006664C3">
            <w:pPr>
              <w:rPr>
                <w:b/>
                <w:sz w:val="16"/>
                <w:szCs w:val="16"/>
              </w:rPr>
            </w:pPr>
            <w:r w:rsidRPr="006664C3">
              <w:rPr>
                <w:b/>
                <w:sz w:val="16"/>
                <w:szCs w:val="16"/>
              </w:rPr>
              <w:t>Positive control</w:t>
            </w:r>
          </w:p>
        </w:tc>
        <w:tc>
          <w:tcPr>
            <w:tcW w:w="1339" w:type="dxa"/>
            <w:tcBorders>
              <w:bottom w:val="nil"/>
            </w:tcBorders>
            <w:noWrap/>
            <w:hideMark/>
          </w:tcPr>
          <w:p w14:paraId="53AE6FE9" w14:textId="77777777" w:rsidR="006664C3" w:rsidRPr="006664C3" w:rsidRDefault="006664C3" w:rsidP="006664C3">
            <w:pPr>
              <w:rPr>
                <w:sz w:val="16"/>
                <w:szCs w:val="16"/>
              </w:rPr>
            </w:pPr>
            <w:r w:rsidRPr="006664C3">
              <w:rPr>
                <w:sz w:val="16"/>
                <w:szCs w:val="16"/>
              </w:rPr>
              <w:t>30.0916</w:t>
            </w:r>
          </w:p>
        </w:tc>
        <w:tc>
          <w:tcPr>
            <w:tcW w:w="960" w:type="dxa"/>
            <w:tcBorders>
              <w:bottom w:val="nil"/>
            </w:tcBorders>
            <w:noWrap/>
            <w:hideMark/>
          </w:tcPr>
          <w:p w14:paraId="6608172F" w14:textId="77777777" w:rsidR="006664C3" w:rsidRPr="006664C3" w:rsidRDefault="006664C3" w:rsidP="006664C3">
            <w:pPr>
              <w:rPr>
                <w:sz w:val="16"/>
                <w:szCs w:val="16"/>
              </w:rPr>
            </w:pPr>
            <w:r w:rsidRPr="006664C3">
              <w:rPr>
                <w:sz w:val="16"/>
                <w:szCs w:val="16"/>
              </w:rPr>
              <w:t>25.388</w:t>
            </w:r>
          </w:p>
        </w:tc>
      </w:tr>
      <w:tr w:rsidR="006664C3" w:rsidRPr="006664C3" w14:paraId="14C7B72E" w14:textId="77777777" w:rsidTr="000D26B0">
        <w:trPr>
          <w:trHeight w:val="117"/>
        </w:trPr>
        <w:tc>
          <w:tcPr>
            <w:tcW w:w="1780" w:type="dxa"/>
            <w:tcBorders>
              <w:top w:val="nil"/>
              <w:bottom w:val="single" w:sz="4" w:space="0" w:color="auto"/>
            </w:tcBorders>
            <w:noWrap/>
            <w:hideMark/>
          </w:tcPr>
          <w:p w14:paraId="23EFE1AC" w14:textId="42C7C829" w:rsidR="006664C3" w:rsidRPr="006664C3" w:rsidRDefault="006664C3">
            <w:pPr>
              <w:rPr>
                <w:b/>
                <w:sz w:val="16"/>
                <w:szCs w:val="16"/>
              </w:rPr>
            </w:pPr>
            <w:r w:rsidRPr="006664C3">
              <w:rPr>
                <w:b/>
                <w:sz w:val="16"/>
                <w:szCs w:val="16"/>
              </w:rPr>
              <w:t>NTC</w:t>
            </w:r>
          </w:p>
        </w:tc>
        <w:tc>
          <w:tcPr>
            <w:tcW w:w="1339" w:type="dxa"/>
            <w:tcBorders>
              <w:top w:val="nil"/>
            </w:tcBorders>
            <w:noWrap/>
          </w:tcPr>
          <w:p w14:paraId="44B15036" w14:textId="4A4CAB79" w:rsidR="006664C3" w:rsidRPr="006664C3" w:rsidRDefault="006664C3">
            <w:pPr>
              <w:rPr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</w:tcBorders>
            <w:noWrap/>
            <w:hideMark/>
          </w:tcPr>
          <w:p w14:paraId="615F0174" w14:textId="77777777" w:rsidR="006664C3" w:rsidRPr="006664C3" w:rsidRDefault="006664C3" w:rsidP="006664C3">
            <w:pPr>
              <w:rPr>
                <w:sz w:val="16"/>
                <w:szCs w:val="16"/>
              </w:rPr>
            </w:pPr>
            <w:r w:rsidRPr="006664C3">
              <w:rPr>
                <w:sz w:val="16"/>
                <w:szCs w:val="16"/>
              </w:rPr>
              <w:t>25.4436</w:t>
            </w:r>
          </w:p>
        </w:tc>
      </w:tr>
    </w:tbl>
    <w:p w14:paraId="662D5091" w14:textId="2E1F99AD" w:rsidR="00BE088D" w:rsidRPr="006664C3" w:rsidRDefault="006664C3" w:rsidP="00215216">
      <w:pPr>
        <w:rPr>
          <w:b/>
        </w:rPr>
      </w:pPr>
      <w:r w:rsidRPr="006664C3">
        <w:rPr>
          <w:b/>
        </w:rPr>
        <w:t xml:space="preserve">Table 3. Limit of detection </w:t>
      </w:r>
      <w:r w:rsidR="00F03B93">
        <w:rPr>
          <w:b/>
        </w:rPr>
        <w:t xml:space="preserve">results </w:t>
      </w:r>
      <w:r w:rsidRPr="006664C3">
        <w:rPr>
          <w:b/>
        </w:rPr>
        <w:t>for ABI 7500</w:t>
      </w:r>
    </w:p>
    <w:sectPr w:rsidR="00BE088D" w:rsidRPr="006664C3" w:rsidSect="00507824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49E57F" w14:textId="77777777" w:rsidR="00447FC3" w:rsidRDefault="00447FC3" w:rsidP="0053014B">
      <w:pPr>
        <w:spacing w:after="0" w:line="240" w:lineRule="auto"/>
      </w:pPr>
      <w:r>
        <w:separator/>
      </w:r>
    </w:p>
  </w:endnote>
  <w:endnote w:type="continuationSeparator" w:id="0">
    <w:p w14:paraId="39483B37" w14:textId="77777777" w:rsidR="00447FC3" w:rsidRDefault="00447FC3" w:rsidP="005301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28032409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14:paraId="219C614D" w14:textId="0FEA305D" w:rsidR="00747FC9" w:rsidRDefault="00747FC9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03B93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03B93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19C614E" w14:textId="77777777" w:rsidR="00747FC9" w:rsidRDefault="00747FC9">
    <w:pPr>
      <w:pStyle w:val="Footer"/>
    </w:pPr>
    <w:r>
      <w:t>1/26/2016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55466E" w14:textId="77777777" w:rsidR="00447FC3" w:rsidRDefault="00447FC3" w:rsidP="0053014B">
      <w:pPr>
        <w:spacing w:after="0" w:line="240" w:lineRule="auto"/>
      </w:pPr>
      <w:r>
        <w:separator/>
      </w:r>
    </w:p>
  </w:footnote>
  <w:footnote w:type="continuationSeparator" w:id="0">
    <w:p w14:paraId="359594E0" w14:textId="77777777" w:rsidR="00447FC3" w:rsidRDefault="00447FC3" w:rsidP="005301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9C614B" w14:textId="77777777" w:rsidR="00747FC9" w:rsidRDefault="00747FC9" w:rsidP="0053014B">
    <w:pPr>
      <w:pStyle w:val="Header"/>
      <w:jc w:val="right"/>
    </w:pPr>
    <w:r>
      <w:rPr>
        <w:noProof/>
      </w:rPr>
      <w:drawing>
        <wp:inline distT="0" distB="0" distL="0" distR="0" wp14:anchorId="219C614F" wp14:editId="219C6150">
          <wp:extent cx="2435274" cy="365760"/>
          <wp:effectExtent l="0" t="0" r="3175" b="0"/>
          <wp:docPr id="2" name="Picture 2" descr="C:\Users\loumeauw\Desktop\Division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loumeauw\Desktop\Division 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35274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19C614C" w14:textId="77777777" w:rsidR="00747FC9" w:rsidRDefault="00747F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8319B2"/>
    <w:multiLevelType w:val="hybridMultilevel"/>
    <w:tmpl w:val="25C0A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664831"/>
    <w:multiLevelType w:val="hybridMultilevel"/>
    <w:tmpl w:val="CCEAA1DA"/>
    <w:lvl w:ilvl="0" w:tplc="CAB2A8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69E"/>
    <w:rsid w:val="00023F8E"/>
    <w:rsid w:val="000331C4"/>
    <w:rsid w:val="0004011C"/>
    <w:rsid w:val="00043417"/>
    <w:rsid w:val="0006476E"/>
    <w:rsid w:val="000839F4"/>
    <w:rsid w:val="0009324C"/>
    <w:rsid w:val="000D26B0"/>
    <w:rsid w:val="000D7A9B"/>
    <w:rsid w:val="000E2259"/>
    <w:rsid w:val="00130F1D"/>
    <w:rsid w:val="00165B7C"/>
    <w:rsid w:val="0017716E"/>
    <w:rsid w:val="00190E26"/>
    <w:rsid w:val="001B0726"/>
    <w:rsid w:val="001C55F8"/>
    <w:rsid w:val="001F2D77"/>
    <w:rsid w:val="00207C50"/>
    <w:rsid w:val="00215216"/>
    <w:rsid w:val="00231A40"/>
    <w:rsid w:val="002676F4"/>
    <w:rsid w:val="00284E6A"/>
    <w:rsid w:val="002B007A"/>
    <w:rsid w:val="002C2700"/>
    <w:rsid w:val="002D1EE5"/>
    <w:rsid w:val="002F429E"/>
    <w:rsid w:val="00310338"/>
    <w:rsid w:val="003116C1"/>
    <w:rsid w:val="0033338F"/>
    <w:rsid w:val="003341AA"/>
    <w:rsid w:val="00355838"/>
    <w:rsid w:val="0037058B"/>
    <w:rsid w:val="003B7166"/>
    <w:rsid w:val="003F0186"/>
    <w:rsid w:val="0040269E"/>
    <w:rsid w:val="00406850"/>
    <w:rsid w:val="0040726D"/>
    <w:rsid w:val="004106A3"/>
    <w:rsid w:val="00433C05"/>
    <w:rsid w:val="004361FD"/>
    <w:rsid w:val="004443AB"/>
    <w:rsid w:val="00447FC3"/>
    <w:rsid w:val="00480DC2"/>
    <w:rsid w:val="00483644"/>
    <w:rsid w:val="00485E46"/>
    <w:rsid w:val="004A4309"/>
    <w:rsid w:val="004B2C6B"/>
    <w:rsid w:val="004E50AF"/>
    <w:rsid w:val="005018BB"/>
    <w:rsid w:val="00506169"/>
    <w:rsid w:val="00507824"/>
    <w:rsid w:val="00511B08"/>
    <w:rsid w:val="00516058"/>
    <w:rsid w:val="0053014B"/>
    <w:rsid w:val="00541E39"/>
    <w:rsid w:val="00552733"/>
    <w:rsid w:val="0055564D"/>
    <w:rsid w:val="00595BF3"/>
    <w:rsid w:val="005A788F"/>
    <w:rsid w:val="005C5D51"/>
    <w:rsid w:val="005D152E"/>
    <w:rsid w:val="005D611F"/>
    <w:rsid w:val="006048E9"/>
    <w:rsid w:val="00610637"/>
    <w:rsid w:val="00652E4A"/>
    <w:rsid w:val="006664C3"/>
    <w:rsid w:val="006735C8"/>
    <w:rsid w:val="006743D9"/>
    <w:rsid w:val="0068290D"/>
    <w:rsid w:val="00690459"/>
    <w:rsid w:val="00692958"/>
    <w:rsid w:val="006A65D4"/>
    <w:rsid w:val="006C7ADA"/>
    <w:rsid w:val="006D6C2F"/>
    <w:rsid w:val="006E4362"/>
    <w:rsid w:val="00710196"/>
    <w:rsid w:val="007160BA"/>
    <w:rsid w:val="00716A06"/>
    <w:rsid w:val="00741AA0"/>
    <w:rsid w:val="00746DA3"/>
    <w:rsid w:val="00747FC9"/>
    <w:rsid w:val="00750399"/>
    <w:rsid w:val="00751BA9"/>
    <w:rsid w:val="00754BF7"/>
    <w:rsid w:val="007552DC"/>
    <w:rsid w:val="00765A22"/>
    <w:rsid w:val="00781862"/>
    <w:rsid w:val="00787C1D"/>
    <w:rsid w:val="0079787E"/>
    <w:rsid w:val="007B2556"/>
    <w:rsid w:val="007B773B"/>
    <w:rsid w:val="007C52A3"/>
    <w:rsid w:val="008010BA"/>
    <w:rsid w:val="00846CEF"/>
    <w:rsid w:val="0085565D"/>
    <w:rsid w:val="00862D65"/>
    <w:rsid w:val="0086771C"/>
    <w:rsid w:val="0087303F"/>
    <w:rsid w:val="00882A99"/>
    <w:rsid w:val="00892B79"/>
    <w:rsid w:val="008A36E3"/>
    <w:rsid w:val="008A3D93"/>
    <w:rsid w:val="008C02A0"/>
    <w:rsid w:val="008F0C83"/>
    <w:rsid w:val="00911D7C"/>
    <w:rsid w:val="00950A43"/>
    <w:rsid w:val="009553D7"/>
    <w:rsid w:val="00975385"/>
    <w:rsid w:val="00975B1F"/>
    <w:rsid w:val="009955C3"/>
    <w:rsid w:val="009C1397"/>
    <w:rsid w:val="009C220D"/>
    <w:rsid w:val="009F3581"/>
    <w:rsid w:val="00A07FFA"/>
    <w:rsid w:val="00A204EB"/>
    <w:rsid w:val="00A41BE4"/>
    <w:rsid w:val="00A55ECF"/>
    <w:rsid w:val="00A610CD"/>
    <w:rsid w:val="00A61534"/>
    <w:rsid w:val="00A61A9D"/>
    <w:rsid w:val="00A704CA"/>
    <w:rsid w:val="00A75342"/>
    <w:rsid w:val="00A96FF0"/>
    <w:rsid w:val="00AA570F"/>
    <w:rsid w:val="00AB5652"/>
    <w:rsid w:val="00B66927"/>
    <w:rsid w:val="00BA4244"/>
    <w:rsid w:val="00BB0C24"/>
    <w:rsid w:val="00BB5BBE"/>
    <w:rsid w:val="00BB743F"/>
    <w:rsid w:val="00BC55B9"/>
    <w:rsid w:val="00BD49A6"/>
    <w:rsid w:val="00BE088D"/>
    <w:rsid w:val="00BE334C"/>
    <w:rsid w:val="00BF0061"/>
    <w:rsid w:val="00C12A9C"/>
    <w:rsid w:val="00C43DB5"/>
    <w:rsid w:val="00C52167"/>
    <w:rsid w:val="00C53F35"/>
    <w:rsid w:val="00C6682F"/>
    <w:rsid w:val="00C75FE0"/>
    <w:rsid w:val="00C94A30"/>
    <w:rsid w:val="00C95F6F"/>
    <w:rsid w:val="00CA4346"/>
    <w:rsid w:val="00CA5B70"/>
    <w:rsid w:val="00CF4DA3"/>
    <w:rsid w:val="00D346CE"/>
    <w:rsid w:val="00D54233"/>
    <w:rsid w:val="00D5797D"/>
    <w:rsid w:val="00D640B3"/>
    <w:rsid w:val="00D71031"/>
    <w:rsid w:val="00D74293"/>
    <w:rsid w:val="00D74651"/>
    <w:rsid w:val="00D84A47"/>
    <w:rsid w:val="00DB4A2A"/>
    <w:rsid w:val="00DD75BF"/>
    <w:rsid w:val="00DE0EA4"/>
    <w:rsid w:val="00DF06A8"/>
    <w:rsid w:val="00E250B0"/>
    <w:rsid w:val="00E25383"/>
    <w:rsid w:val="00E553B3"/>
    <w:rsid w:val="00E622CC"/>
    <w:rsid w:val="00E910C4"/>
    <w:rsid w:val="00EB1D60"/>
    <w:rsid w:val="00EB3DC3"/>
    <w:rsid w:val="00ED210B"/>
    <w:rsid w:val="00ED7272"/>
    <w:rsid w:val="00EE1CEE"/>
    <w:rsid w:val="00EF10A0"/>
    <w:rsid w:val="00F03B93"/>
    <w:rsid w:val="00F41276"/>
    <w:rsid w:val="00F4185A"/>
    <w:rsid w:val="00F6766A"/>
    <w:rsid w:val="00FA364A"/>
    <w:rsid w:val="00FC7914"/>
    <w:rsid w:val="00FD6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C6134"/>
  <w15:docId w15:val="{8C9FBE24-4B86-4D7C-8E50-6A46F5DD0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C7914"/>
  </w:style>
  <w:style w:type="paragraph" w:styleId="Heading1">
    <w:name w:val="heading 1"/>
    <w:basedOn w:val="Normal"/>
    <w:next w:val="Normal"/>
    <w:link w:val="Heading1Char"/>
    <w:uiPriority w:val="9"/>
    <w:qFormat/>
    <w:rsid w:val="00FC79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791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791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791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791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791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791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791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791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5F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C75FE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30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303F"/>
    <w:rPr>
      <w:rFonts w:ascii="Courier New" w:eastAsia="Times New Roman" w:hAnsi="Courier New" w:cs="Courier New"/>
      <w:sz w:val="24"/>
      <w:szCs w:val="24"/>
    </w:rPr>
  </w:style>
  <w:style w:type="character" w:customStyle="1" w:styleId="ffline">
    <w:name w:val="ff_line"/>
    <w:basedOn w:val="DefaultParagraphFont"/>
    <w:rsid w:val="0087303F"/>
  </w:style>
  <w:style w:type="paragraph" w:styleId="BalloonText">
    <w:name w:val="Balloon Text"/>
    <w:basedOn w:val="Normal"/>
    <w:link w:val="BalloonTextChar"/>
    <w:uiPriority w:val="99"/>
    <w:semiHidden/>
    <w:unhideWhenUsed/>
    <w:rsid w:val="001C55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55F8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unhideWhenUsed/>
    <w:rsid w:val="00023F8E"/>
  </w:style>
  <w:style w:type="paragraph" w:styleId="Header">
    <w:name w:val="header"/>
    <w:basedOn w:val="Normal"/>
    <w:link w:val="HeaderChar"/>
    <w:uiPriority w:val="99"/>
    <w:unhideWhenUsed/>
    <w:rsid w:val="005301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014B"/>
  </w:style>
  <w:style w:type="paragraph" w:styleId="Footer">
    <w:name w:val="footer"/>
    <w:basedOn w:val="Normal"/>
    <w:link w:val="FooterChar"/>
    <w:uiPriority w:val="99"/>
    <w:unhideWhenUsed/>
    <w:rsid w:val="005301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014B"/>
  </w:style>
  <w:style w:type="table" w:styleId="MediumShading1-Accent3">
    <w:name w:val="Medium Shading 1 Accent 3"/>
    <w:basedOn w:val="TableNormal"/>
    <w:uiPriority w:val="63"/>
    <w:rsid w:val="00595BF3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FC791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791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link w:val="NoSpacingChar"/>
    <w:uiPriority w:val="1"/>
    <w:qFormat/>
    <w:rsid w:val="00FC7914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FC7914"/>
    <w:rPr>
      <w:i/>
      <w:iCs/>
      <w:color w:val="808080" w:themeColor="text1" w:themeTint="7F"/>
    </w:rPr>
  </w:style>
  <w:style w:type="character" w:customStyle="1" w:styleId="Heading1Char">
    <w:name w:val="Heading 1 Char"/>
    <w:basedOn w:val="DefaultParagraphFont"/>
    <w:link w:val="Heading1"/>
    <w:uiPriority w:val="9"/>
    <w:rsid w:val="00FC79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791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791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C79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4361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61F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61F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61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61FD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9F3581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FC791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791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791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791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791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791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791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7914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7914"/>
    <w:rPr>
      <w:b/>
      <w:bCs/>
    </w:rPr>
  </w:style>
  <w:style w:type="character" w:styleId="Emphasis">
    <w:name w:val="Emphasis"/>
    <w:basedOn w:val="DefaultParagraphFont"/>
    <w:uiPriority w:val="20"/>
    <w:qFormat/>
    <w:rsid w:val="00FC7914"/>
    <w:rPr>
      <w:i/>
      <w:iCs/>
    </w:rPr>
  </w:style>
  <w:style w:type="character" w:customStyle="1" w:styleId="NoSpacingChar">
    <w:name w:val="No Spacing Char"/>
    <w:basedOn w:val="DefaultParagraphFont"/>
    <w:link w:val="NoSpacing"/>
    <w:uiPriority w:val="1"/>
    <w:rsid w:val="00FC7914"/>
  </w:style>
  <w:style w:type="paragraph" w:styleId="ListParagraph">
    <w:name w:val="List Paragraph"/>
    <w:basedOn w:val="Normal"/>
    <w:uiPriority w:val="34"/>
    <w:qFormat/>
    <w:rsid w:val="00FC791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C791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791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791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7914"/>
    <w:rPr>
      <w:b/>
      <w:bCs/>
      <w:i/>
      <w:iCs/>
      <w:color w:val="4F81BD" w:themeColor="accent1"/>
    </w:rPr>
  </w:style>
  <w:style w:type="character" w:styleId="IntenseEmphasis">
    <w:name w:val="Intense Emphasis"/>
    <w:basedOn w:val="DefaultParagraphFont"/>
    <w:uiPriority w:val="21"/>
    <w:qFormat/>
    <w:rsid w:val="00FC7914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7914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7914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7914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791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7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76DF0DF848A04C9EA10D71BB8BD3AD" ma:contentTypeVersion="20" ma:contentTypeDescription="Create a new document." ma:contentTypeScope="" ma:versionID="6623c05b0bca87fa402e53d425c4e483">
  <xsd:schema xmlns:xsd="http://www.w3.org/2001/XMLSchema" xmlns:xs="http://www.w3.org/2001/XMLSchema" xmlns:p="http://schemas.microsoft.com/office/2006/metadata/properties" xmlns:ns2="d8d8f5c7-67e3-42c1-977d-f390c328eba2" xmlns:ns3="eb8e325a-fc7e-4f7f-856b-eb8c7534d937" xmlns:ns4="9a8e266e-7100-4f94-a1e9-9a776d6e2a00" xmlns:ns5="a6b695ca-c6f7-41b0-a01e-a9b69620596f" xmlns:ns6="8b9e9053-3fa6-48ef-b70b-8e1703c38512" targetNamespace="http://schemas.microsoft.com/office/2006/metadata/properties" ma:root="true" ma:fieldsID="ac49d5127a34712f045ec3532fef354f" ns2:_="" ns3:_="" ns4:_="" ns5:_="" ns6:_="">
    <xsd:import namespace="d8d8f5c7-67e3-42c1-977d-f390c328eba2"/>
    <xsd:import namespace="eb8e325a-fc7e-4f7f-856b-eb8c7534d937"/>
    <xsd:import namespace="9a8e266e-7100-4f94-a1e9-9a776d6e2a00"/>
    <xsd:import namespace="a6b695ca-c6f7-41b0-a01e-a9b69620596f"/>
    <xsd:import namespace="8b9e9053-3fa6-48ef-b70b-8e1703c38512"/>
    <xsd:element name="properties">
      <xsd:complexType>
        <xsd:sequence>
          <xsd:element name="documentManagement">
            <xsd:complexType>
              <xsd:all>
                <xsd:element ref="ns2:Document_x0020_Type"/>
                <xsd:element ref="ns3:Author0" minOccurs="0"/>
                <xsd:element ref="ns4:Author_x0020_Name"/>
                <xsd:element ref="ns4:Author_x0020_PCN"/>
                <xsd:element ref="ns4:Section_x0020_Name"/>
                <xsd:element ref="ns4:Subspecialty"/>
                <xsd:element ref="ns4:Applicable_x0020_Grant"/>
                <xsd:element ref="ns5:Feedback_x0020_Staff"/>
                <xsd:element ref="ns5:Section_x0020_Manager_x0028_s_x0029_"/>
                <xsd:element ref="ns3:Ready_x0020_for_x0020_Feedback" minOccurs="0"/>
                <xsd:element ref="ns2:Ready_x0020_for_x0020_QA_x0020_Feedback" minOccurs="0"/>
                <xsd:element ref="ns2:Ready_x0020_for_x0020_Approval" minOccurs="0"/>
                <xsd:element ref="ns5:Signature" minOccurs="0"/>
                <xsd:element ref="ns6:_dlc_DocId" minOccurs="0"/>
                <xsd:element ref="ns6:_dlc_DocIdUrl" minOccurs="0"/>
                <xsd:element ref="ns6:_dlc_DocIdPersistId" minOccurs="0"/>
                <xsd:element ref="ns6:Websio_x0020_Document_x0020_Preview" minOccurs="0"/>
                <xsd:element ref="ns3:Archiv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d8f5c7-67e3-42c1-977d-f390c328eba2" elementFormDefault="qualified">
    <xsd:import namespace="http://schemas.microsoft.com/office/2006/documentManagement/types"/>
    <xsd:import namespace="http://schemas.microsoft.com/office/infopath/2007/PartnerControls"/>
    <xsd:element name="Document_x0020_Type" ma:index="2" ma:displayName="Document Type" ma:format="Dropdown" ma:internalName="Document_x0020_Type" ma:readOnly="false">
      <xsd:simpleType>
        <xsd:restriction base="dms:Choice">
          <xsd:enumeration value="After Action Reports"/>
          <xsd:enumeration value="Clinical Forum Article"/>
          <xsd:enumeration value="Compendium Plans"/>
          <xsd:enumeration value="Grant Proposal"/>
          <xsd:enumeration value="Job Description"/>
          <xsd:enumeration value="Lab Tour Poster"/>
          <xsd:enumeration value="Risk Assessment, BSL"/>
          <xsd:enumeration value="Risk Assessment, CSL"/>
          <xsd:enumeration value="Sampling and Submission Guide"/>
          <xsd:enumeration value="Sentinel Lab Blast Message"/>
          <xsd:enumeration value="SOP"/>
          <xsd:enumeration value="Validation or Verification"/>
          <xsd:enumeration value="Website Document"/>
          <xsd:enumeration value="Other"/>
        </xsd:restriction>
      </xsd:simpleType>
    </xsd:element>
    <xsd:element name="Ready_x0020_for_x0020_QA_x0020_Feedback" ma:index="12" nillable="true" ma:displayName="Ready for QA Feedback" ma:default="0" ma:internalName="Ready_x0020_for_x0020_QA_x0020_Feedback" ma:readOnly="false">
      <xsd:simpleType>
        <xsd:restriction base="dms:Boolean"/>
      </xsd:simpleType>
    </xsd:element>
    <xsd:element name="Ready_x0020_for_x0020_Approval" ma:index="13" nillable="true" ma:displayName="Ready for Approval" ma:default="0" ma:internalName="Ready_x0020_for_x0020_Approval" ma:readOnly="fals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8e325a-fc7e-4f7f-856b-eb8c7534d937" elementFormDefault="qualified">
    <xsd:import namespace="http://schemas.microsoft.com/office/2006/documentManagement/types"/>
    <xsd:import namespace="http://schemas.microsoft.com/office/infopath/2007/PartnerControls"/>
    <xsd:element name="Author0" ma:index="3" nillable="true" ma:displayName="Author" ma:list="UserInfo" ma:SharePointGroup="0" ma:internalName="Author0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ady_x0020_for_x0020_Feedback" ma:index="11" nillable="true" ma:displayName="Ready for Content Feedback" ma:default="0" ma:internalName="Ready_x0020_for_x0020_Feedback">
      <xsd:simpleType>
        <xsd:restriction base="dms:Boolean"/>
      </xsd:simpleType>
    </xsd:element>
    <xsd:element name="Archived" ma:index="26" nillable="true" ma:displayName="Archived" ma:default="0" ma:internalName="Archive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8e266e-7100-4f94-a1e9-9a776d6e2a00" elementFormDefault="qualified">
    <xsd:import namespace="http://schemas.microsoft.com/office/2006/documentManagement/types"/>
    <xsd:import namespace="http://schemas.microsoft.com/office/infopath/2007/PartnerControls"/>
    <xsd:element name="Author_x0020_Name" ma:index="4" ma:displayName="Author Name" ma:internalName="Author_x0020_Name" ma:readOnly="false">
      <xsd:simpleType>
        <xsd:restriction base="dms:Text">
          <xsd:maxLength value="50"/>
        </xsd:restriction>
      </xsd:simpleType>
    </xsd:element>
    <xsd:element name="Author_x0020_PCN" ma:index="5" ma:displayName="Author PCN" ma:internalName="Author_x0020_PCN" ma:readOnly="false">
      <xsd:simpleType>
        <xsd:restriction base="dms:Text">
          <xsd:maxLength value="4"/>
        </xsd:restriction>
      </xsd:simpleType>
    </xsd:element>
    <xsd:element name="Section_x0020_Name" ma:index="6" ma:displayName="Section" ma:format="Dropdown" ma:internalName="Section_x0020_Name" ma:readOnly="false">
      <xsd:simpleType>
        <xsd:restriction base="dms:Choice">
          <xsd:enumeration value="Business Operations"/>
          <xsd:enumeration value="Chemistry"/>
          <xsd:enumeration value="Clinical"/>
          <xsd:enumeration value="Laboratory Improvement"/>
          <xsd:enumeration value="Lab Support"/>
          <xsd:enumeration value="Microbiology"/>
        </xsd:restriction>
      </xsd:simpleType>
    </xsd:element>
    <xsd:element name="Subspecialty" ma:index="7" ma:displayName="Subspecialty" ma:format="Dropdown" ma:internalName="Subspecialty" ma:readOnly="false">
      <xsd:simpleType>
        <xsd:restriction base="dms:Choice">
          <xsd:enumeration value="Admin"/>
          <xsd:enumeration value="Bacteriology"/>
          <xsd:enumeration value="Certification"/>
          <xsd:enumeration value="Environmental Microbiology"/>
          <xsd:enumeration value="Food and Beverage"/>
          <xsd:enumeration value="Inorganics"/>
          <xsd:enumeration value="Lab Improvement"/>
          <xsd:enumeration value="LRN-B"/>
          <xsd:enumeration value="LRN-C"/>
          <xsd:enumeration value="Molecular"/>
          <xsd:enumeration value="Mycobacteriology"/>
          <xsd:enumeration value="Nutrients"/>
          <xsd:enumeration value="Organics"/>
          <xsd:enumeration value="Parasitology"/>
          <xsd:enumeration value="QA/QC"/>
          <xsd:enumeration value="Serology"/>
          <xsd:enumeration value="Virology"/>
          <xsd:enumeration value="None"/>
          <xsd:enumeration value="Other"/>
        </xsd:restriction>
      </xsd:simpleType>
    </xsd:element>
    <xsd:element name="Applicable_x0020_Grant" ma:index="8" ma:displayName="Applicable Grant" ma:format="Dropdown" ma:internalName="Applicable_x0020_Grant" ma:readOnly="false">
      <xsd:simpleType>
        <xsd:union memberTypes="dms:Text">
          <xsd:simpleType>
            <xsd:restriction base="dms:Choice">
              <xsd:enumeration value="CaliciNet"/>
              <xsd:enumeration value="ELC"/>
              <xsd:enumeration value="HIV"/>
              <xsd:enumeration value="PHEP"/>
              <xsd:enumeration value="Rabies"/>
              <xsd:enumeration value="TB"/>
              <xsd:enumeration value="None"/>
              <xsd:enumeration value="Other"/>
            </xsd:restriction>
          </xsd:simpleType>
        </xsd:un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b695ca-c6f7-41b0-a01e-a9b69620596f" elementFormDefault="qualified">
    <xsd:import namespace="http://schemas.microsoft.com/office/2006/documentManagement/types"/>
    <xsd:import namespace="http://schemas.microsoft.com/office/infopath/2007/PartnerControls"/>
    <xsd:element name="Feedback_x0020_Staff" ma:index="9" ma:displayName="Feedback Staff" ma:list="UserInfo" ma:SharePointGroup="0" ma:internalName="Feedback_x0020_Staff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ection_x0020_Manager_x0028_s_x0029_" ma:index="10" ma:displayName="Section Manager(s)" ma:list="UserInfo" ma:SharePointGroup="0" ma:internalName="Section_x0020_Manager_x0028_s_x0029_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ignature" ma:index="14" nillable="true" ma:displayName="Signature" ma:default="No signature needed" ma:format="Dropdown" ma:internalName="Signature" ma:readOnly="false">
      <xsd:simpleType>
        <xsd:restriction base="dms:Choice">
          <xsd:enumeration value="Not signed"/>
          <xsd:enumeration value="Signed"/>
          <xsd:enumeration value="No signature need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9e9053-3fa6-48ef-b70b-8e1703c38512" elementFormDefault="qualified">
    <xsd:import namespace="http://schemas.microsoft.com/office/2006/documentManagement/types"/>
    <xsd:import namespace="http://schemas.microsoft.com/office/infopath/2007/PartnerControls"/>
    <xsd:element name="_dlc_DocId" ma:index="16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7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1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Websio_x0020_Document_x0020_Preview" ma:index="25" nillable="true" ma:displayName="Websio Document Preview" ma:hidden="true" ma:internalName="Websio_x0020_Document_x0020_Preview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" ma:displayName="SOP 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uthor_x0020_Name xmlns="9a8e266e-7100-4f94-a1e9-9a776d6e2a00">Erin Peterson, George Dickinson</Author_x0020_Name>
    <Ready_x0020_for_x0020_QA_x0020_Feedback xmlns="d8d8f5c7-67e3-42c1-977d-f390c328eba2">false</Ready_x0020_for_x0020_QA_x0020_Feedback>
    <Ready_x0020_for_x0020_Feedback xmlns="eb8e325a-fc7e-4f7f-856b-eb8c7534d937">false</Ready_x0020_for_x0020_Feedback>
    <Document_x0020_Type xmlns="d8d8f5c7-67e3-42c1-977d-f390c328eba2">Validation or Verification</Document_x0020_Type>
    <Applicable_x0020_Grant xmlns="9a8e266e-7100-4f94-a1e9-9a776d6e2a00">None</Applicable_x0020_Grant>
    <Signature xmlns="a6b695ca-c6f7-41b0-a01e-a9b69620596f">Not signed</Signature>
    <Section_x0020_Name xmlns="9a8e266e-7100-4f94-a1e9-9a776d6e2a00">Microbiology</Section_x0020_Name>
    <Feedback_x0020_Staff xmlns="a6b695ca-c6f7-41b0-a01e-a9b69620596f">
      <UserInfo>
        <DisplayName>DHW\BurnsM</DisplayName>
        <AccountId>1020</AccountId>
        <AccountType/>
      </UserInfo>
      <UserInfo>
        <DisplayName>DHW\voermanr</DisplayName>
        <AccountId>187</AccountId>
        <AccountType/>
      </UserInfo>
    </Feedback_x0020_Staff>
    <Section_x0020_Manager_x0028_s_x0029_ xmlns="a6b695ca-c6f7-41b0-a01e-a9b69620596f">
      <UserInfo>
        <DisplayName>DHW\voermanr</DisplayName>
        <AccountId>187</AccountId>
        <AccountType/>
      </UserInfo>
    </Section_x0020_Manager_x0028_s_x0029_>
    <Ready_x0020_for_x0020_Approval xmlns="d8d8f5c7-67e3-42c1-977d-f390c328eba2">false</Ready_x0020_for_x0020_Approval>
    <Subspecialty xmlns="9a8e266e-7100-4f94-a1e9-9a776d6e2a00">Molecular</Subspecialty>
    <Author_x0020_PCN xmlns="9a8e266e-7100-4f94-a1e9-9a776d6e2a00">2035</Author_x0020_PCN>
    <Author0 xmlns="eb8e325a-fc7e-4f7f-856b-eb8c7534d937">
      <UserInfo>
        <DisplayName>Peterson, Erin</DisplayName>
        <AccountId>719</AccountId>
        <AccountType/>
      </UserInfo>
    </Author0>
    <Archived xmlns="eb8e325a-fc7e-4f7f-856b-eb8c7534d937">false</Archived>
    <Websio_x0020_Document_x0020_Preview xmlns="8b9e9053-3fa6-48ef-b70b-8e1703c38512">/sites/health/labs/_layouts/WebsioPreviewField/preview.aspx?ID=5cea42d9-e9a8-4e52-a05f-ea45fe567acb&amp;WebID=af752700-ce74-4419-b8e1-ef10d5226674&amp;SiteID=6ad7f192-4468-40f4-9101-aa174b69c101</Websio_x0020_Document_x0020_Preview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>
  <b:Source>
    <b:Tag>Wad12</b:Tag>
    <b:SourceType>Report</b:SourceType>
    <b:Guid>{0022F2EE-2C56-4124-A04D-5A13FE9BBB50}</b:Guid>
    <b:Title>Use of Pyrosequencing to determine mutations associated with rifampin resistance in the rpoB gene of clinical specimens for Mycobacterium tuberculosis</b:Title>
    <b:Year>2012</b:Year>
    <b:City>Albany, NY</b:City>
    <b:Author>
      <b:Author>
        <b:Corporate>Wadsworth Center, New York State Department of Health</b:Corporate>
      </b:Author>
    </b:Author>
    <b:RefOrder>4</b:RefOrder>
  </b:Source>
  <b:Source>
    <b:Tag>Wad10</b:Tag>
    <b:SourceType>Report</b:SourceType>
    <b:Guid>{00287FF5-686A-4411-85E8-786A795A4F27}</b:Guid>
    <b:Author>
      <b:Author>
        <b:Corporate>Wadsworth Center, New York State Department of Health</b:Corporate>
      </b:Author>
    </b:Author>
    <b:Title>Use of Pyrosequencing to determine mutations associated with isoniazid resistance in the katG gene of clinical specimens of Mycobacterium tuberculosis.</b:Title>
    <b:Year>2010</b:Year>
    <b:City>Albany, NY</b:City>
    <b:RefOrder>5</b:RefOrder>
  </b:Source>
  <b:Source>
    <b:Tag>NGa11</b:Tag>
    <b:SourceType>JournalArticle</b:SourceType>
    <b:Guid>{FEF4717C-B466-46C3-A38D-AE46B5419085}</b:Guid>
    <b:Title>Pyrosequencing for Rapid Molecular Detection of Rifampin and Isoniazid Resistance in Mycobacterium tuberculosis Strain and Clinical Specimens</b:Title>
    <b:Year>2011</b:Year>
    <b:Author>
      <b:Author>
        <b:NameList>
          <b:Person>
            <b:Last>N. Garcia-Sierra</b:Last>
            <b:First>A.</b:First>
            <b:Middle>Lacoma, C. Prat, L. Haba, J. Maldonado, J. Ruiz-Manzano, P. Gavin, S. Samper, V. Ausina, and J. Dominguez</b:Middle>
          </b:Person>
        </b:NameList>
      </b:Author>
    </b:Author>
    <b:JournalName>Journal of Clinical Microbiology</b:JournalName>
    <b:Pages>3683-3686</b:Pages>
    <b:RefOrder>6</b:RefOrder>
  </b:Source>
  <b:Source>
    <b:Tag>Ann12</b:Tag>
    <b:SourceType>JournalArticle</b:SourceType>
    <b:Guid>{42C180F0-8FB9-434A-8124-DDFA298AB92C}</b:Guid>
    <b:Author>
      <b:Author>
        <b:NameList>
          <b:Person>
            <b:Last>Anna Engstrom</b:Last>
            <b:First>Nora</b:First>
            <b:Middle>Morcillo, Belen Imperiale, Sven E. Hoffner, and Pontus Jureen</b:Middle>
          </b:Person>
        </b:NameList>
      </b:Author>
    </b:Author>
    <b:Title>Detection of First- and Second-Line Drug Resistance in Mycobacterium tuberculosis Clinical Isolates by Pyrosequencing</b:Title>
    <b:JournalName>Journal of Clinical Microbiology</b:JournalName>
    <b:Year>2012</b:Year>
    <b:Pages>2026-2033</b:Pages>
    <b:RefOrder>7</b:RefOrder>
  </b:Source>
  <b:Source>
    <b:Tag>Bre05</b:Tag>
    <b:SourceType>JournalArticle</b:SourceType>
    <b:Guid>{BD41A6B5-BA5D-4102-B3AB-28C65B1FC4D6}</b:Guid>
    <b:Author>
      <b:Author>
        <b:NameList>
          <b:Person>
            <b:Last>Brewer</b:Last>
            <b:First>TF</b:First>
            <b:Middle>and Heymann, SJ</b:Middle>
          </b:Person>
        </b:NameList>
      </b:Author>
    </b:Author>
    <b:Title>Long Time Due: Reducing Tuberculosis Mortality in the 21st Century</b:Title>
    <b:JournalName>Arch Med Res</b:JournalName>
    <b:Year>2005</b:Year>
    <b:Pages>617-621</b:Pages>
    <b:Volume>36</b:Volume>
    <b:RefOrder>1</b:RefOrder>
  </b:Source>
  <b:Source>
    <b:Tag>Jun03</b:Tag>
    <b:SourceType>JournalArticle</b:SourceType>
    <b:Guid>{A91C83AD-E181-4644-9E42-2CB5F886D006}</b:Guid>
    <b:Author>
      <b:Author>
        <b:NameList>
          <b:Person>
            <b:Last>Jun Yue</b:Last>
            <b:First>Wei</b:First>
            <b:Middle>Shi, Jinping Xie, Yao Li, Erliang Zeng, Honghai Wang</b:Middle>
          </b:Person>
        </b:NameList>
      </b:Author>
    </b:Author>
    <b:Title>Mutations in the rpoB Gene of Multidrug-Resistant Mycobacterium tuberculosis Isolates from China</b:Title>
    <b:JournalName>Journal of Clinical Microbiology</b:JournalName>
    <b:Year>2003</b:Year>
    <b:Pages>2209-2212</b:Pages>
    <b:RefOrder>3</b:RefOrder>
  </b:Source>
  <b:Source>
    <b:Tag>Pat11</b:Tag>
    <b:SourceType>JournalArticle</b:SourceType>
    <b:Guid>{F070F457-C9B1-490D-9AB1-0774AAFEF84C}</b:Guid>
    <b:Author>
      <b:Author>
        <b:NameList>
          <b:Person>
            <b:Last>Patricia Campbell</b:Last>
            <b:First>Glenn</b:First>
            <b:Middle>Morlock, David Sikes, Tracy Dalton, Beverly Metchock, Angela Starks, Delaina Hooks, Lauren Cowan, Bonnie Plikaytis, and James Posey</b:Middle>
          </b:Person>
        </b:NameList>
      </b:Author>
    </b:Author>
    <b:Title>Molecular Detection of Mutations Associated with First- and Second-Line Drug Resistance Compared with Conventional Drug Susceptibility Testing of Mycobacterium tuberculosis</b:Title>
    <b:JournalName>Antimicrobial Agents and Chemotherapy</b:JournalName>
    <b:Year>2011</b:Year>
    <b:Pages>2032-2041</b:Pages>
    <b:RefOrder>2</b:RefOrder>
  </b:Source>
</b:Sources>
</file>

<file path=customXml/itemProps1.xml><?xml version="1.0" encoding="utf-8"?>
<ds:datastoreItem xmlns:ds="http://schemas.openxmlformats.org/officeDocument/2006/customXml" ds:itemID="{EE47376B-8B4A-443D-B44B-4FDB47215F52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B2EC8C79-61B4-444C-95EF-0C4F1CC4AD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d8f5c7-67e3-42c1-977d-f390c328eba2"/>
    <ds:schemaRef ds:uri="eb8e325a-fc7e-4f7f-856b-eb8c7534d937"/>
    <ds:schemaRef ds:uri="9a8e266e-7100-4f94-a1e9-9a776d6e2a00"/>
    <ds:schemaRef ds:uri="a6b695ca-c6f7-41b0-a01e-a9b69620596f"/>
    <ds:schemaRef ds:uri="8b9e9053-3fa6-48ef-b70b-8e1703c385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9C8F4BE-8165-4F1F-9677-8F5CF2FDD0A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B5E139F-F116-4A31-B59E-A28DA5E20E5C}">
  <ds:schemaRefs>
    <ds:schemaRef ds:uri="http://schemas.microsoft.com/office/2006/metadata/properties"/>
    <ds:schemaRef ds:uri="http://schemas.microsoft.com/office/infopath/2007/PartnerControls"/>
    <ds:schemaRef ds:uri="9a8e266e-7100-4f94-a1e9-9a776d6e2a00"/>
    <ds:schemaRef ds:uri="d8d8f5c7-67e3-42c1-977d-f390c328eba2"/>
    <ds:schemaRef ds:uri="eb8e325a-fc7e-4f7f-856b-eb8c7534d937"/>
    <ds:schemaRef ds:uri="a6b695ca-c6f7-41b0-a01e-a9b69620596f"/>
    <ds:schemaRef ds:uri="8b9e9053-3fa6-48ef-b70b-8e1703c38512"/>
  </ds:schemaRefs>
</ds:datastoreItem>
</file>

<file path=customXml/itemProps5.xml><?xml version="1.0" encoding="utf-8"?>
<ds:datastoreItem xmlns:ds="http://schemas.openxmlformats.org/officeDocument/2006/customXml" ds:itemID="{D9FEAB96-E5F7-4317-BDE6-23EBF1651C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7</Pages>
  <Words>1686</Words>
  <Characters>9612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Salmonella PCR Assay</vt:lpstr>
    </vt:vector>
  </TitlesOfParts>
  <Company>DHW</Company>
  <LinksUpToDate>false</LinksUpToDate>
  <CharactersWithSpaces>11276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Salmonella PCR Assay</dc:title>
  <dc:creator>Bruesch, Amanda - LABS</dc:creator>
  <cp:lastModifiedBy>Dickinson, George - LABS</cp:lastModifiedBy>
  <cp:revision>19</cp:revision>
  <cp:lastPrinted>2017-03-30T16:29:00Z</cp:lastPrinted>
  <dcterms:created xsi:type="dcterms:W3CDTF">2017-03-29T21:50:00Z</dcterms:created>
  <dcterms:modified xsi:type="dcterms:W3CDTF">2017-03-30T18:16:00Z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ACM SIG Proceedings With Long Author List</vt:lpwstr>
  </property>
  <property fmtid="{D5CDD505-2E9C-101B-9397-08002B2CF9AE}" pid="3" name="ContentTypeId">
    <vt:lpwstr>0x010100B876DF0DF848A04C9EA10D71BB8BD3AD</vt:lpwstr>
  </property>
</Properties>
</file>