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B2733"/>
          <w:sz w:val="52"/>
          <w:szCs w:val="52"/>
        </w:rPr>
        <w:t xml:space="preserve">Decisões para a cadeia de execução</w:t>
      </w:r>
    </w:p>
    <w:p>
      <w:pPr>
        <w:spacing w:after="200"/>
      </w:pPr>
      <w:r>
        <w:rPr>
          <w:rFonts w:ascii="Calibri" w:cs="Calibri" w:eastAsia="Calibri" w:hAnsi="Calibri"/>
          <w:color w:val="5A6875"/>
          <w:sz w:val="20"/>
          <w:szCs w:val="20"/>
        </w:rPr>
        <w:t xml:space="preserve">Fast Pessoas · folha única de respostas · 24/08/2026</w:t>
      </w:r>
    </w:p>
    <w:tbl>
      <w:tblPr>
        <w:tblW w:type="dxa" w:w="9026"/>
        <w:tblBorders>
          <w:top w:val="single" w:color="0E6E63" w:sz="4"/>
          <w:left w:val="single" w:color="0E6E63" w:sz="12"/>
          <w:bottom w:val="single" w:color="0E6E63" w:sz="4"/>
          <w:right w:val="single" w:color="0E6E63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D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>Como responder: marque uma caixinha por pergunta (ou responda no chat só com os códigos, ex.: “A1: a · B1: a…”).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>Itens sem resposta seguem a opção RECOMENDADA ✔ quando a onda largar — EXCETO os marcados [TRAVA]: esses não se constroem sem resposta.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Respondendo só os 7 [TRAVA] (A1, A2, B1, B2, D2, E1, G3), as Ondas 1 e 2 já largam inteiras.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>O que cada bloco destrava: A–D → Ondas 1 e 2 (as 7 frentes paralelas) · E–G → Onda 3.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6E63"/>
          <w:sz w:val="30"/>
          <w:szCs w:val="30"/>
        </w:rPr>
        <w:t xml:space="preserve">Bloco A · Visibilidade em camadas  (destrava o agente 1.1 — a maior frente)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A1. Salário do gestor: qual chave?</w:t>
      </w:r>
      <w:r>
        <w:rPr>
          <w:rFonts w:ascii="Calibri" w:cs="Calibri" w:eastAsia="Calibri" w:hAnsi="Calibri"/>
          <w:b/>
          <w:bCs/>
          <w:color w:val="B03030"/>
          <w:sz w:val="22"/>
          <w:szCs w:val="22"/>
        </w:rPr>
        <w:t xml:space="preserve">   [TRAVA]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A6875"/>
          <w:sz w:val="22"/>
          <w:szCs w:val="22"/>
        </w:rPr>
        <w:t xml:space="preserve">A chave rh.posicao.ver é sensível e obriga 2FA — dá-la aos gestores manda ~6 pessoas sem TOTP para o enrolamento (a mesma conta que barrou ponto.ver.equipe).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Chave nova de alcance-equipe (rh.posicao.ver.equipe), fora do 2FA obrigatório, com trilha de leitura sempre.</w:t>
      </w:r>
    </w:p>
    <w:p>
      <w:pPr>
        <w:spacing w:after="4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Pró: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segue o precedente do ponto; salário do próprio ramo ≠ salário global.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duas chaves para o mesmo dado, em alcances diferentes.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Conceder a rh.posicao.ver global e aceitar o enrolamento de 2FA dos gestores.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A2. O escopo “equipe” recursivo vale para quê?</w:t>
      </w:r>
      <w:r>
        <w:rPr>
          <w:rFonts w:ascii="Calibri" w:cs="Calibri" w:eastAsia="Calibri" w:hAnsi="Calibri"/>
          <w:b/>
          <w:bCs/>
          <w:color w:val="B03030"/>
          <w:sz w:val="22"/>
          <w:szCs w:val="22"/>
        </w:rPr>
        <w:t xml:space="preserve">   [TRAVA]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A6875"/>
          <w:sz w:val="22"/>
          <w:szCs w:val="22"/>
        </w:rPr>
        <w:t xml:space="preserve">condicaoEscopo é ponto único usado por ~20 consultas (ficha, ponto, documentos, admissões). Mudar “equipe” para sub-árvore muda tudo junto.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Tudo vira sub-árvore — uma semântica só de “minha equipe” (o organograma significa isso).</w:t>
      </w:r>
    </w:p>
    <w:p>
      <w:pPr>
        <w:spacing w:after="4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Pró: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sem dois conceitos de equipe convivendo.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gestor de topo passa a alcançar muita gente de uma vez (mitigado pela trilha).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Sub-árvore só onde a Fase 4 pede (salário + disciplinar); o resto continua equipe direta.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A3. Disciplinar da equipe: alcance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Sub-árvore, coerente com A2; e só medidas do vínculo que o gestor lidera — nada de vínculo anterior/outro CNPJ.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gestor não vê reincidência de outra empresa do grupo (o DP vê).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Equipe direta apenas.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A4. Ficha pública mínima: confirma a inversão?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A6875"/>
          <w:sz w:val="22"/>
          <w:szCs w:val="22"/>
        </w:rPr>
        <w:t xml:space="preserve">Hoje fora do alcance = 404 (a pessoa “não existe”). A Fase 4 pede que todo logado veja o mínimo (nome, cargo, contato corporativo, líder, unidade).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Sim — catálogo mínimo visível a qualquer logado, sem trilha de leitura; trilha só a partir do que exceder o mínimo.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headcount e estrutura ficam visíveis a todo usuário interno.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Manter 404 fora do alcance (contraria o critério da Fase 4 — registrar por quê).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A5. Raça-cor (IBGE): regime de privacidade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Regime idêntico ao do gênero — autodeclarado, formulário cego, nunca em payload individual, só agregado com piso k.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o DP não consulta o dado de uma pessoa nem para conferência.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Visível ao DP na ficha (decisão de privacidade a registrar).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A6. Nível hierárquico do cargo: onde e como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Catálogo administrável (eixo 9 — nada chumbado), guardado na versão do cargo (muda com o tempo).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uma tela a mais de catálogo.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Lista fixa no código.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A7. Telefone/e-mail corporativo: da pessoa ou do vínculo?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Do vínculo — e-mail corporativo pertence ao empregador; transferência com rescisão troca o endereço.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um campo a mais para preencher a cada vínculo novo.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Da pessoa.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6E63"/>
          <w:sz w:val="30"/>
          <w:szCs w:val="30"/>
        </w:rPr>
        <w:t xml:space="preserve">Bloco B · Código de Conduta + ciclo de ciência  (destrava 1.5 e 2.1)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B1. Quando bloqueia?</w:t>
      </w:r>
      <w:r>
        <w:rPr>
          <w:rFonts w:ascii="Calibri" w:cs="Calibri" w:eastAsia="Calibri" w:hAnsi="Calibri"/>
          <w:b/>
          <w:bCs/>
          <w:color w:val="B03030"/>
          <w:sz w:val="22"/>
          <w:szCs w:val="22"/>
        </w:rPr>
        <w:t xml:space="preserve">   [TRAVA]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Código de Conduta bloqueia já no 1º acesso (critério do roadmap); as demais políticas com “exige ciência” geram pendência com prazo administrável + lembrete, sem bloquear.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primeiro login fica mais longo.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Bloqueio só depois de vencer o prazo, para tudo.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B2. Recusa e testemunhas: como funciona?</w:t>
      </w:r>
      <w:r>
        <w:rPr>
          <w:rFonts w:ascii="Calibri" w:cs="Calibri" w:eastAsia="Calibri" w:hAnsi="Calibri"/>
          <w:b/>
          <w:bCs/>
          <w:color w:val="B03030"/>
          <w:sz w:val="22"/>
          <w:szCs w:val="22"/>
        </w:rPr>
        <w:t xml:space="preserve">   [TRAVA]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Recusa abre um registro de ato feito pelo DP com 2 testemunhas, e cada testemunha confirma com a própria sessão (ciência de testemunho, hash e data).</w:t>
      </w:r>
    </w:p>
    <w:p>
      <w:pPr>
        <w:spacing w:after="4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Pró: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molde CLT, tudo auditável dentro do sistema.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exige que as testemunhas tenham acesso ao sistema.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DP registra o ato presencial sozinho (nomes das testemunhas em texto).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B3. Versão nova reabre para quem?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Todos os ativos (inclusive quem nunca deu ciência na anterior) e admitidos futuros herdam automaticamente.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pico de pendências a cada versão nova.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Só quem tinha dado ciência na versão anterior.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B4. O bloqueio vale para quem?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Para todos, inclusive DP/admin/diretoria (o exemplo vem de cima; a rota de regularização fica sempre acessível).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admin também para no bloqueio no 1º acesso.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DP/admin isentos.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B5. “Rolar o documento até o fim” é exigência?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Sim — o visualizador rastreia a rolagem e o botão de ciência só habilita no fim; implica publicar o Código de Conduta em PDF/texto (Word não é exibível).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mais implementação; documento precisa estar num formato exibível.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Abrir + confirmar com hash basta.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B6. Recusado fica bloqueado?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Não — o registro com testemunhas encerra o ciclo e libera o acesso; o desfecho fica gravado e a consequência é decisão de gestão (“ninguém fica pendente para sempre”).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a pessoa segue usando o sistema tendo recusado o código.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Recusado permanece bloqueado (na prática, impede a pessoa de trabalhar no sistema).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6E63"/>
          <w:sz w:val="30"/>
          <w:szCs w:val="30"/>
        </w:rPr>
        <w:t xml:space="preserve">Bloco C · Segurança  (destrava 1.3 e a lane Borda 2.1)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C1. Throttle de TOTP: limiar e alcance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5 falhas de TOTP em 5 minutos por usuário → 429 sem nem validar o código; parâmetros administráveis; vale também para as revalidações críticas (aprovar folha, desativar 2FA).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nenhum relevante — não tranca a conta de senha, só o 2º fator.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Só no login; limiares diferentes (dizer quais).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C2. Reconferência de usuário desativado nas páginas: largura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Helper central + as 6 páginas keyless agora (fecha o furo); as demais 48 migram oportunisticamente, a cada frente que já as tocar.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a centralização completa fica gradual.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Refatorar as 54 páginas de uma vez (mais conflito com as ondas em andamento).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C3. CSP com nonce: tolerância a estilo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Nonce em script-src (o ganho real contra XSS); manter unsafe-inline só em style-src se o Next exigir; smoke manual previsto na entrega.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proteção de estilo continua relaxada (risco baixo).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Nonce completo custe o que custar (pode quebrar telas; mais tempo).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6E63"/>
          <w:sz w:val="30"/>
          <w:szCs w:val="30"/>
        </w:rPr>
        <w:t xml:space="preserve">Bloco D · Disciplinar e Posse  (fatia 2 do 1.1 e o item 3.5)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D1. Fechar/reduzir suspensão manual: regras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Só encurtar o fim (nunca estender nem reabrir); aceita data retroativa até o início da janela; reusa a chave rh.disciplinar.registrar, tudo auditado.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estender uma suspensão exigirá registrar medida nova (de propósito).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Regras diferentes (dizer quais).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D2. Suspensão → folha (dias sem remuneração): a regra</w:t>
      </w:r>
      <w:r>
        <w:rPr>
          <w:rFonts w:ascii="Calibri" w:cs="Calibri" w:eastAsia="Calibri" w:hAnsi="Calibri"/>
          <w:b/>
          <w:bCs/>
          <w:color w:val="B03030"/>
          <w:sz w:val="22"/>
          <w:szCs w:val="22"/>
        </w:rPr>
        <w:t xml:space="preserve">   [TRAVA]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A6875"/>
          <w:sz w:val="22"/>
          <w:szCs w:val="22"/>
        </w:rPr>
        <w:t xml:space="preserve">Hoje NENHUM código de folha lê medida disciplinar; a regra precisa nascer inteira. Vale validar com o contador.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Rubrica própria “Desconto de suspensão disciplinar”: desconta os dias CORRIDOS da janela, na competência de cada mês (janela que cruza mês desconta em cada uma a sua parte); valor-dia = salário ÷ 30; e desconta também o DSR da semana da suspensão (Lei 605/49, mesma lógica da falta injustificada).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a regra do DSR merece confirmação do contador antes da primeira folha real.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Outra regra (dizer qual). Sem resposta, o item 3.5 não entra.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6E63"/>
          <w:sz w:val="30"/>
          <w:szCs w:val="30"/>
        </w:rPr>
        <w:t xml:space="preserve">Bloco E · OLAC — integração com a contabilidade  (destrava 3.2)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A6875"/>
          <w:sz w:val="22"/>
          <w:szCs w:val="22"/>
        </w:rPr>
        <w:t xml:space="preserve">O mapa de eixos (docs/14) proíbe construir antes da decisão E1.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E1. Competência externa: como modelar</w:t>
      </w:r>
      <w:r>
        <w:rPr>
          <w:rFonts w:ascii="Calibri" w:cs="Calibri" w:eastAsia="Calibri" w:hAnsi="Calibri"/>
          <w:b/>
          <w:bCs/>
          <w:color w:val="B03030"/>
          <w:sz w:val="22"/>
          <w:szCs w:val="22"/>
        </w:rPr>
        <w:t xml:space="preserve">   [TRAVA]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A6875"/>
          <w:sz w:val="22"/>
          <w:szCs w:val="22"/>
        </w:rPr>
        <w:t xml:space="preserve">Hoje a competência de folha é única para o grupo, mas Supply, DCS e Casa do Montador processam fora.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Tabela paralela de conciliação — lote de espelho por empresa+competência, sem mexer no UNIQUE nem no motor.</w:t>
      </w:r>
    </w:p>
    <w:p>
      <w:pPr>
        <w:spacing w:after="4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Pró: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menor cirurgia; espelho é leitura.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duas “verdades” de competência convivem (interna calculada × externa espelhada); a tela precisa deixar claro.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Competência separada por empresa (mexe no UNIQUE e em todo o fluxo).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(c)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Marcação por empresa dentro da competência única.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E2. O que é o espelho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Registro somente-leitura de conciliação — o que veio de fora NÃO vira item de folha calculado, só aparece lado a lado.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totais “oficiais” externos não somam nos painéis internos automaticamente.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Vira item de folha (mexe no motor — mais caro e mais arriscado).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E3. De-para rubrica → conta contábil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Catálogo administrável com vigência (eixo 9; já listado como cadastro da onda J).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uma tela a mais.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O arquivo sai com o código interno e a contabilidade converte lá.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E4. Layout do arquivo (ida e volta) — EXTERNO</w:t>
      </w:r>
    </w:p>
    <w:p>
      <w:pPr>
        <w:spacing w:after="80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Precisamos de UM exemplo real do arquivo que a OLAC/Castor aceita e devolve (colunas, separador, códigos). Ação sua: pedir o exemplo. Sem ele, 3.2 fica em suposição.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6E63"/>
          <w:sz w:val="30"/>
          <w:szCs w:val="30"/>
        </w:rPr>
        <w:t xml:space="preserve">Bloco F · Carga inicial e go-live  (destrava 2.3 e 3.3)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F1. Histórico retroativo na carga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Só posição atual + data de admissão — histórico de cargos/salários entra depois, por ajuste auditado, quando precisar.</w:t>
      </w:r>
    </w:p>
    <w:p>
      <w:pPr>
        <w:spacing w:after="4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Pró: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go-live semanas mais cedo.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linha do tempo nasce curta (a partir da carga).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Importar histórico completo de cargos/salários/afastamentos (carga muito maior; layout de planilha por evento).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F2. Acessos no go-live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Criar usuário para todos os importados de uma vez, por convite (senha definida no primeiro acesso).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onda de primeiros acessos concentrada (e todos passam pelo bloqueio do Conduta — de propósito).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Usuários criados um a um, depois.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F3. Planilhas de origem — EXTERNO</w:t>
      </w:r>
    </w:p>
    <w:p>
      <w:pPr>
        <w:spacing w:after="80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Um export real do Nasajon (ou o formato combinado com o Diego) por planilha: cargos, unidades, headcount/cadastros. Ação sua: pedir os exemplos. Sem eles o parser fica em suposição.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6E63"/>
          <w:sz w:val="30"/>
          <w:szCs w:val="30"/>
        </w:rPr>
        <w:t xml:space="preserve">Bloco G · Recrutamento  (1.2 já larga sem isto; G3 destrava 3.4)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G1. Reformular modelo: vaga aberta sem candidatura migra?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Não migra — fica congelada na versão antiga; quem quiser troca manualmente (o PATCH de vaga nasce na mesma onda).</w:t>
      </w:r>
    </w:p>
    <w:p>
      <w:pPr>
        <w:spacing w:after="4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Pró: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zero mágica.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um clique a mais por vaga.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Migra automaticamente.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G2. O modelo PADRÃO (GERAL) pode ser reformulado pela tela?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Sim — a versão nova herda padrao=true na mesma transação (o índice de um-padrão-ativo suporta).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nenhum relevante.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Padrão fica fora do reformular por ora.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B2733"/>
          <w:sz w:val="24"/>
          <w:szCs w:val="24"/>
        </w:rPr>
        <w:t xml:space="preserve">G3. Pesquisa social (13c): privacidade do anexo</w:t>
      </w:r>
      <w:r>
        <w:rPr>
          <w:rFonts w:ascii="Calibri" w:cs="Calibri" w:eastAsia="Calibri" w:hAnsi="Calibri"/>
          <w:b/>
          <w:bCs/>
          <w:color w:val="B03030"/>
          <w:sz w:val="22"/>
          <w:szCs w:val="22"/>
        </w:rPr>
        <w:t xml:space="preserve">   [TRAVA]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(a) </w:t>
      </w:r>
      <w:r>
        <w:rPr>
          <w:rFonts w:ascii="Calibri" w:cs="Calibri" w:eastAsia="Calibri" w:hAnsi="Calibri"/>
          <w:b/>
          <w:bCs/>
          <w:color w:val="2E7D4F"/>
          <w:sz w:val="20"/>
          <w:szCs w:val="20"/>
        </w:rPr>
        <w:t xml:space="preserve">RECOMENDADA ✔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Anexo mora no GED (categoria própria), visível só a rs.gerir com trilha de leitura sensível (molde do parecer/valor de oferta); retenção: apagar junto do descarte da candidatura recusada após N meses — diga o N (sugestão: 6).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color w:val="5A6875"/>
          <w:sz w:val="20"/>
          <w:szCs w:val="20"/>
        </w:rPr>
        <w:t xml:space="preserve">Contra: </w:t>
      </w:r>
      <w:r>
        <w:rPr>
          <w:rFonts w:ascii="Calibri" w:cs="Calibri" w:eastAsia="Calibri" w:hAnsi="Calibri"/>
          <w:color w:val="5A6875"/>
          <w:sz w:val="20"/>
          <w:szCs w:val="20"/>
        </w:rPr>
        <w:t xml:space="preserve">política de retenção precisa ser cumprida (rotina de expurgo).</w:t>
      </w:r>
    </w:p>
    <w:p>
      <w:pPr>
        <w:spacing w:after="60"/>
        <w:ind w:left="360" w:hanging="0"/>
      </w:pPr>
      <w:r>
        <w:rPr>
          <w:rFonts w:ascii="Calibri" w:cs="Calibri" w:eastAsia="Calibri" w:hAnsi="Calibri"/>
          <w:color w:val="1B2733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Outro desenho (dizer qual). Sem resposta, 3.4 não entra.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6E63"/>
          <w:sz w:val="30"/>
          <w:szCs w:val="30"/>
        </w:rPr>
        <w:t xml:space="preserve">Decisões técnicas que NÃO sobem (tomadas pela engenharia, registradas para rastro)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Teste de férias: unitário puro (exportando a lógica) e prova re-executável contra o banco — os dois moldes já existem no repo.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“Minha posse” no portal: rota própria /api/posse/minhas (molde EPI); falha do cartão não derruba o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Ciência de posse pelo titular: continua por titularidade (molde EPI), sem chave nova.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Relatório dT por etapa: mediana; agrupa por etapa do catálogo (nome), não por posição no modelo; fechadas + abertas; por cargo.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Migrations pré-alocadas por frente (0084–0096) para agentes paralelos não colidirem; buracos de numeração são aceitáveis.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docs/pendencias.md e db/semear/*: agentes devolvem o conteúdo no relatório; a aplicação é do orquestrador, no merge.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6E63"/>
          <w:sz w:val="30"/>
          <w:szCs w:val="30"/>
        </w:rPr>
        <w:t xml:space="preserve">Folha de respostas</w:t>
      </w:r>
    </w:p>
    <w:p>
      <w:pPr>
        <w:spacing w:after="80"/>
      </w:pPr>
      <w:r>
        <w:rPr>
          <w:rFonts w:ascii="Calibri" w:cs="Calibri" w:eastAsia="Calibri" w:hAnsi="Calibri"/>
          <w:color w:val="5A6875"/>
          <w:sz w:val="20"/>
          <w:szCs w:val="20"/>
        </w:rPr>
        <w:t xml:space="preserve">Marque a letra escolhida (em branco = segue a recomendada ✔). Os códigos em vermelho são [TRAVA].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shd w:fill="ED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Código</w:t>
            </w:r>
          </w:p>
        </w:tc>
        <w:tc>
          <w:tcPr>
            <w:tcW w:type="dxa" w:w="1500"/>
            <w:shd w:fill="ED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Resposta</w:t>
            </w:r>
          </w:p>
        </w:tc>
        <w:tc>
          <w:tcPr>
            <w:tcW w:type="dxa" w:w="6226"/>
            <w:shd w:fill="ED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030"/>
                <w:sz w:val="20"/>
                <w:szCs w:val="20"/>
              </w:rPr>
              <w:t xml:space="preserve">A1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030"/>
                <w:sz w:val="20"/>
                <w:szCs w:val="20"/>
              </w:rPr>
              <w:t xml:space="preserve">A2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A3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A4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A5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A6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A7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030"/>
                <w:sz w:val="20"/>
                <w:szCs w:val="20"/>
              </w:rPr>
              <w:t xml:space="preserve">B1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030"/>
                <w:sz w:val="20"/>
                <w:szCs w:val="20"/>
              </w:rPr>
              <w:t xml:space="preserve">B2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B3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B4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B5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B6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C1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C2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C3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D1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030"/>
                <w:sz w:val="20"/>
                <w:szCs w:val="20"/>
              </w:rPr>
              <w:t xml:space="preserve">D2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030"/>
                <w:sz w:val="20"/>
                <w:szCs w:val="20"/>
              </w:rPr>
              <w:t xml:space="preserve">E1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E2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E3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E4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>pedir exemplo do arquivo à contabilidade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F1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F2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F3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>pedir planilhas de exemplo (Nasajon/Diego)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G1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733"/>
                <w:sz w:val="20"/>
                <w:szCs w:val="20"/>
              </w:rPr>
              <w:t xml:space="preserve">G2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030"/>
                <w:sz w:val="20"/>
                <w:szCs w:val="20"/>
              </w:rPr>
              <w:t xml:space="preserve">G3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875"/>
                <w:sz w:val="20"/>
                <w:szCs w:val="20"/>
              </w:rPr>
              <w:t xml:space="preserve">informar também o N de meses de retenção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color w:val="5A6875"/>
          <w:sz w:val="18"/>
          <w:szCs w:val="18"/>
        </w:rPr>
        <w:t xml:space="preserve">Fonte: docs/20-decisoes-para-a-cadeia.md (versão viva no repositório). Gerado a partir do mapeamento somente-leitura das 8 frentes restantes.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2026-08-24T19:44:52.215Z</dcterms:created>
  <dcterms:modified xsi:type="dcterms:W3CDTF">2026-08-24T19:44:52.217Z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