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0"/>
      </w:pPr>
      <w:r>
        <w:t>DataLens Agent Report</w:t>
      </w:r>
    </w:p>
    <w:p>
      <w:pPr>
        <w:spacing w:before="0" w:after="40" w:line="226" w:lineRule="auto"/>
      </w:pPr>
      <w:r>
        <w:rPr>
          <w:color w:val="4B5563"/>
          <w:sz w:val="18"/>
        </w:rPr>
        <w:t>Assignment 2: Intelligent Software Agent Prototype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49"/>
        <w:gridCol w:w="5349"/>
      </w:tblGrid>
      <w:tr>
        <w:trPr>
          <w:trHeight w:val="340"/>
        </w:trPr>
        <w:tc>
          <w:tcPr>
            <w:tcW w:type="dxa" w:w="5349"/>
            <w:shd w:fill="EEF2FF"/>
            <w:vAlign w:val="center"/>
          </w:tcPr>
          <w:p>
            <w:pPr>
              <w:spacing w:after="0" w:line="223" w:lineRule="auto"/>
            </w:pPr>
            <w:r/>
            <w:r>
              <w:rPr>
                <w:b/>
                <w:color w:val="143B91"/>
                <w:sz w:val="14"/>
              </w:rPr>
              <w:t>GitHub repo</w:t>
            </w:r>
          </w:p>
        </w:tc>
        <w:tc>
          <w:tcPr>
            <w:tcW w:type="dxa" w:w="5349"/>
            <w:vAlign w:val="center"/>
          </w:tcPr>
          <w:p>
            <w:r>
              <w:t>https://github.com/gdegegwiu/DataLens-Agent</w:t>
            </w:r>
          </w:p>
        </w:tc>
      </w:tr>
      <w:tr>
        <w:trPr>
          <w:trHeight w:val="340"/>
        </w:trPr>
        <w:tc>
          <w:tcPr>
            <w:tcW w:type="dxa" w:w="5349"/>
            <w:shd w:fill="EEF2FF"/>
            <w:vAlign w:val="center"/>
          </w:tcPr>
          <w:p>
            <w:pPr>
              <w:spacing w:after="0" w:line="223" w:lineRule="auto"/>
            </w:pPr>
            <w:r/>
            <w:r>
              <w:rPr>
                <w:b/>
                <w:color w:val="143B91"/>
                <w:sz w:val="14"/>
              </w:rPr>
              <w:t>Agent type</w:t>
            </w:r>
          </w:p>
        </w:tc>
        <w:tc>
          <w:tcPr>
            <w:tcW w:type="dxa" w:w="5349"/>
            <w:vAlign w:val="center"/>
          </w:tcPr>
          <w:p>
            <w:pPr>
              <w:spacing w:after="0" w:line="223" w:lineRule="auto"/>
            </w:pPr>
            <w:r/>
            <w:r>
              <w:rPr>
                <w:b w:val="0"/>
                <w:sz w:val="14"/>
              </w:rPr>
              <w:t>CSV Data Analysis Agent that perceives a CSV, decides analysis steps, executes tools, creates plots, and summarizes findings.</w:t>
            </w:r>
          </w:p>
        </w:tc>
      </w:tr>
      <w:tr>
        <w:trPr>
          <w:trHeight w:val="340"/>
        </w:trPr>
        <w:tc>
          <w:tcPr>
            <w:tcW w:type="dxa" w:w="5349"/>
            <w:shd w:fill="EEF2FF"/>
            <w:vAlign w:val="center"/>
          </w:tcPr>
          <w:p>
            <w:pPr>
              <w:spacing w:after="0" w:line="223" w:lineRule="auto"/>
            </w:pPr>
            <w:r/>
            <w:r>
              <w:rPr>
                <w:b/>
                <w:color w:val="143B91"/>
                <w:sz w:val="14"/>
              </w:rPr>
              <w:t>LLM route</w:t>
            </w:r>
          </w:p>
        </w:tc>
        <w:tc>
          <w:tcPr>
            <w:tcW w:type="dxa" w:w="5349"/>
            <w:vAlign w:val="center"/>
          </w:tcPr>
          <w:p>
            <w:pPr>
              <w:spacing w:after="0" w:line="223" w:lineRule="auto"/>
            </w:pPr>
            <w:r/>
            <w:r>
              <w:rPr>
                <w:b w:val="0"/>
                <w:sz w:val="14"/>
              </w:rPr>
              <w:t>/api/llm is the local proxy at http://127.0.0.1:8787/api/llm. The browser calls this local route first; the proxy forwards to DATALENS_LLM_URL, such as DashScope.</w:t>
            </w:r>
          </w:p>
        </w:tc>
      </w:tr>
      <w:tr>
        <w:trPr>
          <w:trHeight w:val="340"/>
        </w:trPr>
        <w:tc>
          <w:tcPr>
            <w:tcW w:type="dxa" w:w="5349"/>
            <w:shd w:fill="EEF2FF"/>
            <w:vAlign w:val="center"/>
          </w:tcPr>
          <w:p>
            <w:pPr>
              <w:spacing w:after="0" w:line="223" w:lineRule="auto"/>
            </w:pPr>
            <w:r/>
            <w:r>
              <w:rPr>
                <w:b/>
                <w:color w:val="143B91"/>
                <w:sz w:val="14"/>
              </w:rPr>
              <w:t>Model option</w:t>
            </w:r>
          </w:p>
        </w:tc>
        <w:tc>
          <w:tcPr>
            <w:tcW w:type="dxa" w:w="5349"/>
            <w:vAlign w:val="center"/>
          </w:tcPr>
          <w:p>
            <w:pPr>
              <w:spacing w:after="0" w:line="223" w:lineRule="auto"/>
            </w:pPr>
            <w:r/>
            <w:r>
              <w:rPr>
                <w:b w:val="0"/>
                <w:sz w:val="14"/>
              </w:rPr>
              <w:t>Optional Alibaba Cloud DashScope / OpenAI-compatible model, default qwen-plus. The API key is pasted by the user and not committed.</w:t>
            </w:r>
          </w:p>
        </w:tc>
      </w:tr>
      <w:tr>
        <w:trPr>
          <w:trHeight w:val="340"/>
        </w:trPr>
        <w:tc>
          <w:tcPr>
            <w:tcW w:type="dxa" w:w="5349"/>
            <w:shd w:fill="EEF2FF"/>
            <w:vAlign w:val="center"/>
          </w:tcPr>
          <w:p>
            <w:pPr>
              <w:spacing w:after="0" w:line="223" w:lineRule="auto"/>
            </w:pPr>
            <w:r/>
            <w:r>
              <w:rPr>
                <w:b/>
                <w:color w:val="143B91"/>
                <w:sz w:val="14"/>
              </w:rPr>
              <w:t>Fallback</w:t>
            </w:r>
          </w:p>
        </w:tc>
        <w:tc>
          <w:tcPr>
            <w:tcW w:type="dxa" w:w="5349"/>
            <w:vAlign w:val="center"/>
          </w:tcPr>
          <w:p>
            <w:pPr>
              <w:spacing w:after="0" w:line="223" w:lineRule="auto"/>
            </w:pPr>
            <w:r/>
            <w:r>
              <w:rPr>
                <w:b w:val="0"/>
                <w:sz w:val="14"/>
              </w:rPr>
              <w:t>If the LLM is unavailable, deterministic browser tools still complete the analysis and report the fallback in the decision text.</w:t>
            </w:r>
          </w:p>
        </w:tc>
      </w:tr>
    </w:tbl>
    <w:p>
      <w:pPr>
        <w:pStyle w:val="Heading1"/>
        <w:spacing w:before="80" w:after="20"/>
      </w:pPr>
      <w:r>
        <w:t>1. System Design and Decision Policy</w:t>
      </w:r>
    </w:p>
    <w:p>
      <w:r>
        <w:drawing>
          <wp:inline xmlns:a="http://schemas.openxmlformats.org/drawingml/2006/main" xmlns:pic="http://schemas.openxmlformats.org/drawingml/2006/picture">
            <wp:extent cx="6492240" cy="2028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028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 w:line="226" w:lineRule="auto"/>
        <w:jc w:val="center"/>
      </w:pPr>
      <w:r>
        <w:rPr>
          <w:color w:val="6B7280"/>
          <w:sz w:val="14"/>
        </w:rPr>
        <w:t>Figure 1. The agent loop combines schema perception, decision making, executable analysis tools, and visible outputs.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49"/>
        <w:gridCol w:w="5349"/>
      </w:tblGrid>
      <w:tr>
        <w:trPr>
          <w:trHeight w:val="320"/>
        </w:trPr>
        <w:tc>
          <w:tcPr>
            <w:tcW w:type="dxa" w:w="5349"/>
            <w:shd w:fill="143B91"/>
            <w:vAlign w:val="center"/>
          </w:tcPr>
          <w:p>
            <w:pPr>
              <w:spacing w:after="0" w:line="223" w:lineRule="auto"/>
            </w:pPr>
            <w:r/>
            <w:r>
              <w:rPr>
                <w:b/>
                <w:color w:val="FFFFFF"/>
                <w:sz w:val="14"/>
              </w:rPr>
              <w:t>Detected condition</w:t>
            </w:r>
          </w:p>
        </w:tc>
        <w:tc>
          <w:tcPr>
            <w:tcW w:type="dxa" w:w="5349"/>
            <w:shd w:fill="143B91"/>
            <w:vAlign w:val="center"/>
          </w:tcPr>
          <w:p>
            <w:pPr>
              <w:spacing w:after="0" w:line="223" w:lineRule="auto"/>
            </w:pPr>
            <w:r/>
            <w:r>
              <w:rPr>
                <w:b/>
                <w:color w:val="FFFFFF"/>
                <w:sz w:val="14"/>
              </w:rPr>
              <w:t>Automatic decision</w:t>
            </w:r>
          </w:p>
        </w:tc>
      </w:tr>
      <w:tr>
        <w:trPr>
          <w:trHeight w:val="320"/>
        </w:trPr>
        <w:tc>
          <w:tcPr>
            <w:tcW w:type="dxa" w:w="5349"/>
            <w:shd w:fill="F8FAFC"/>
            <w:vAlign w:val="center"/>
          </w:tcPr>
          <w:p>
            <w:pPr>
              <w:spacing w:after="0" w:line="223" w:lineRule="auto"/>
            </w:pPr>
            <w:r/>
            <w:r>
              <w:rPr>
                <w:b/>
                <w:color w:val="111827"/>
                <w:sz w:val="14"/>
              </w:rPr>
              <w:t>Numeric columns exist</w:t>
            </w:r>
          </w:p>
        </w:tc>
        <w:tc>
          <w:tcPr>
            <w:tcW w:type="dxa" w:w="5349"/>
            <w:vAlign w:val="center"/>
          </w:tcPr>
          <w:p>
            <w:pPr>
              <w:spacing w:after="0" w:line="223" w:lineRule="auto"/>
            </w:pPr>
            <w:r/>
            <w:r>
              <w:rPr>
                <w:b w:val="0"/>
                <w:sz w:val="14"/>
              </w:rPr>
              <w:t>Run numeric profile and offer histogram / scatter plots.</w:t>
            </w:r>
          </w:p>
        </w:tc>
      </w:tr>
      <w:tr>
        <w:trPr>
          <w:trHeight w:val="320"/>
        </w:trPr>
        <w:tc>
          <w:tcPr>
            <w:tcW w:type="dxa" w:w="5349"/>
            <w:shd w:fill="F8FAFC"/>
            <w:vAlign w:val="center"/>
          </w:tcPr>
          <w:p>
            <w:pPr>
              <w:spacing w:after="0" w:line="223" w:lineRule="auto"/>
            </w:pPr>
            <w:r/>
            <w:r>
              <w:rPr>
                <w:b/>
                <w:color w:val="111827"/>
                <w:sz w:val="14"/>
              </w:rPr>
              <w:t>Category + metric exist</w:t>
            </w:r>
          </w:p>
        </w:tc>
        <w:tc>
          <w:tcPr>
            <w:tcW w:type="dxa" w:w="5349"/>
            <w:vAlign w:val="center"/>
          </w:tcPr>
          <w:p>
            <w:pPr>
              <w:spacing w:after="0" w:line="223" w:lineRule="auto"/>
            </w:pPr>
            <w:r/>
            <w:r>
              <w:rPr>
                <w:b w:val="0"/>
                <w:sz w:val="14"/>
              </w:rPr>
              <w:t>Run group comparison and draw a bar chart; pie chart is allowed for small category counts.</w:t>
            </w:r>
          </w:p>
        </w:tc>
      </w:tr>
      <w:tr>
        <w:trPr>
          <w:trHeight w:val="320"/>
        </w:trPr>
        <w:tc>
          <w:tcPr>
            <w:tcW w:type="dxa" w:w="5349"/>
            <w:shd w:fill="F8FAFC"/>
            <w:vAlign w:val="center"/>
          </w:tcPr>
          <w:p>
            <w:pPr>
              <w:spacing w:after="0" w:line="223" w:lineRule="auto"/>
            </w:pPr>
            <w:r/>
            <w:r>
              <w:rPr>
                <w:b/>
                <w:color w:val="111827"/>
                <w:sz w:val="14"/>
              </w:rPr>
              <w:t>Two numeric columns exist</w:t>
            </w:r>
          </w:p>
        </w:tc>
        <w:tc>
          <w:tcPr>
            <w:tcW w:type="dxa" w:w="5349"/>
            <w:vAlign w:val="center"/>
          </w:tcPr>
          <w:p>
            <w:pPr>
              <w:spacing w:after="0" w:line="223" w:lineRule="auto"/>
            </w:pPr>
            <w:r/>
            <w:r>
              <w:rPr>
                <w:b w:val="0"/>
                <w:sz w:val="14"/>
              </w:rPr>
              <w:t>Run relationship plot and compute correlation.</w:t>
            </w:r>
          </w:p>
        </w:tc>
      </w:tr>
      <w:tr>
        <w:trPr>
          <w:trHeight w:val="320"/>
        </w:trPr>
        <w:tc>
          <w:tcPr>
            <w:tcW w:type="dxa" w:w="5349"/>
            <w:shd w:fill="F8FAFC"/>
            <w:vAlign w:val="center"/>
          </w:tcPr>
          <w:p>
            <w:pPr>
              <w:spacing w:after="0" w:line="223" w:lineRule="auto"/>
            </w:pPr>
            <w:r/>
            <w:r>
              <w:rPr>
                <w:b/>
                <w:color w:val="111827"/>
                <w:sz w:val="14"/>
              </w:rPr>
              <w:t>Date + metric or missing data exist</w:t>
            </w:r>
          </w:p>
        </w:tc>
        <w:tc>
          <w:tcPr>
            <w:tcW w:type="dxa" w:w="5349"/>
            <w:vAlign w:val="center"/>
          </w:tcPr>
          <w:p>
            <w:pPr>
              <w:spacing w:after="0" w:line="223" w:lineRule="auto"/>
            </w:pPr>
            <w:r/>
            <w:r>
              <w:rPr>
                <w:b w:val="0"/>
                <w:sz w:val="14"/>
              </w:rPr>
              <w:t>Add trend analysis or missing-value checks when the schema supports them.</w:t>
            </w:r>
          </w:p>
        </w:tc>
      </w:tr>
    </w:tbl>
    <w:p>
      <w:pPr>
        <w:pStyle w:val="Heading2"/>
        <w:spacing w:before="40" w:after="10" w:line="226" w:lineRule="auto"/>
      </w:pPr>
      <w:r>
        <w:rPr>
          <w:sz w:val="19"/>
        </w:rPr>
        <w:t>Design explanation</w:t>
      </w:r>
    </w:p>
    <w:p>
      <w:pPr>
        <w:pStyle w:val="ListBullet"/>
        <w:spacing w:after="0" w:line="216" w:lineRule="auto"/>
      </w:pPr>
      <w:r>
        <w:rPr>
          <w:sz w:val="15"/>
        </w:rPr>
      </w:r>
      <w:r>
        <w:rPr>
          <w:b/>
          <w:sz w:val="15"/>
        </w:rPr>
        <w:t>Perception:</w:t>
      </w:r>
      <w:r>
        <w:rPr>
          <w:sz w:val="15"/>
        </w:rPr>
        <w:t xml:space="preserve"> parse uploaded, pasted, or sample CSV data; infer numeric, categorical, and date fields; detect missing cells.</w:t>
      </w:r>
    </w:p>
    <w:p>
      <w:pPr>
        <w:pStyle w:val="ListBullet"/>
        <w:spacing w:after="0" w:line="216" w:lineRule="auto"/>
      </w:pPr>
      <w:r>
        <w:rPr>
          <w:sz w:val="15"/>
        </w:rPr>
      </w:r>
      <w:r>
        <w:rPr>
          <w:b/>
          <w:sz w:val="15"/>
        </w:rPr>
        <w:t>Decision:</w:t>
      </w:r>
      <w:r>
        <w:rPr>
          <w:sz w:val="15"/>
        </w:rPr>
        <w:t xml:space="preserve"> auto-decision applies the policy above, then optional LLM planning can refine the plan and summary through the local /api/llm proxy.</w:t>
      </w:r>
    </w:p>
    <w:p>
      <w:pPr>
        <w:pStyle w:val="ListBullet"/>
        <w:spacing w:after="0" w:line="216" w:lineRule="auto"/>
      </w:pPr>
      <w:r>
        <w:rPr>
          <w:sz w:val="15"/>
        </w:rPr>
      </w:r>
      <w:r>
        <w:rPr>
          <w:b/>
          <w:sz w:val="15"/>
        </w:rPr>
        <w:t>Action:</w:t>
      </w:r>
      <w:r>
        <w:rPr>
          <w:sz w:val="15"/>
        </w:rPr>
        <w:t xml:space="preserve"> execute selected tools, produce chart-specific interpretations, show an execution log, save run memory, and export JSON.</w:t>
      </w:r>
    </w:p>
    <w:p>
      <w:pPr>
        <w:pStyle w:val="ListBullet"/>
        <w:spacing w:after="0" w:line="216" w:lineRule="auto"/>
      </w:pPr>
      <w:r>
        <w:rPr>
          <w:sz w:val="15"/>
        </w:rPr>
      </w:r>
      <w:r>
        <w:rPr>
          <w:b/>
          <w:sz w:val="15"/>
        </w:rPr>
        <w:t>Limitation:</w:t>
      </w:r>
      <w:r>
        <w:rPr>
          <w:sz w:val="15"/>
        </w:rPr>
        <w:t xml:space="preserve"> the prototype is optimized for small CSV files in browser memory; future work could add streaming for larger datasets, persistent project history, and richer LLM tool-calling traces.</w:t>
      </w:r>
    </w:p>
    <w:p>
      <w:r>
        <w:br w:type="page"/>
      </w:r>
    </w:p>
    <w:p>
      <w:pPr>
        <w:pStyle w:val="Heading1"/>
        <w:spacing w:after="0"/>
      </w:pPr>
      <w:r>
        <w:t>2. Screenshots and System Behavior</w:t>
      </w:r>
    </w:p>
    <w:p>
      <w:pPr>
        <w:spacing w:before="0" w:after="20" w:line="226" w:lineRule="auto"/>
      </w:pPr>
      <w:r>
        <w:rPr>
          <w:sz w:val="16"/>
        </w:rPr>
        <w:t>Figure 2 shows a completed sample run: the agent perceived the CSV, selected six executable steps with 87% confidence, generated plots, wrote execution logs, and kept memory records.</w:t>
      </w:r>
    </w:p>
    <w:p>
      <w:r>
        <w:drawing>
          <wp:inline xmlns:a="http://schemas.openxmlformats.org/drawingml/2006/main" xmlns:pic="http://schemas.openxmlformats.org/drawingml/2006/picture">
            <wp:extent cx="6355080" cy="45897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leted-run-cr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589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 w:line="226" w:lineRule="auto"/>
        <w:jc w:val="center"/>
      </w:pPr>
      <w:r>
        <w:rPr>
          <w:color w:val="6B7280"/>
          <w:sz w:val="14"/>
        </w:rPr>
        <w:t>Figure 2. Completed current UI run showing dataset perception, auto-decision, execution log, safety check, and memory.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49"/>
        <w:gridCol w:w="5349"/>
      </w:tblGrid>
      <w:tr>
        <w:tc>
          <w:tcPr>
            <w:tcW w:type="dxa" w:w="5349"/>
            <w:shd w:fill="F8FAFC"/>
            <w:vAlign w:val="center"/>
          </w:tcPr>
          <w:p>
            <w:pPr>
              <w:spacing w:after="0" w:line="223" w:lineRule="auto"/>
            </w:pPr>
            <w:r/>
            <w:r>
              <w:rPr>
                <w:b/>
                <w:color w:val="143B91"/>
                <w:sz w:val="14"/>
              </w:rPr>
              <w:t>Generated plots</w:t>
            </w:r>
          </w:p>
        </w:tc>
        <w:tc>
          <w:tcPr>
            <w:tcW w:type="dxa" w:w="5349"/>
            <w:shd w:fill="F8FAFC"/>
            <w:vAlign w:val="center"/>
          </w:tcPr>
          <w:p>
            <w:pPr>
              <w:spacing w:after="0" w:line="223" w:lineRule="auto"/>
            </w:pPr>
            <w:r/>
            <w:r>
              <w:rPr>
                <w:b/>
                <w:color w:val="143B91"/>
                <w:sz w:val="14"/>
              </w:rPr>
              <w:t>Overall summary</w:t>
            </w:r>
          </w:p>
        </w:tc>
      </w:tr>
      <w:tr>
        <w:tc>
          <w:tcPr>
            <w:tcW w:type="dxa" w:w="5349"/>
            <w:vAlign w:val="top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07792" cy="300159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s-cro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7792" cy="3001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49"/>
            <w:vAlign w:val="top"/>
          </w:tcPr>
          <w:p>
            <w:pPr>
              <w:spacing w:after="0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07792" cy="160301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ummary-crop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7792" cy="16030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  <w:spacing w:before="20" w:after="10" w:line="226" w:lineRule="auto"/>
      </w:pPr>
      <w:r>
        <w:rPr>
          <w:sz w:val="19"/>
        </w:rPr>
        <w:t>Behavior evidence</w:t>
      </w:r>
    </w:p>
    <w:p>
      <w:pPr>
        <w:pStyle w:val="ListBullet"/>
        <w:spacing w:after="0" w:line="216" w:lineRule="auto"/>
      </w:pPr>
      <w:r>
        <w:rPr>
          <w:sz w:val="14"/>
        </w:rPr>
      </w:r>
      <w:r>
        <w:rPr>
          <w:b/>
          <w:sz w:val="14"/>
        </w:rPr>
        <w:t>Automatic analysis:</w:t>
      </w:r>
      <w:r>
        <w:rPr>
          <w:sz w:val="14"/>
        </w:rPr>
        <w:t xml:space="preserve"> the agent selected schema, numeric profile, group comparison, relationship plot, outlier scan, and final summary from the sample schema.</w:t>
      </w:r>
    </w:p>
    <w:p>
      <w:pPr>
        <w:pStyle w:val="ListBullet"/>
        <w:spacing w:after="0" w:line="216" w:lineRule="auto"/>
      </w:pPr>
      <w:r>
        <w:rPr>
          <w:sz w:val="14"/>
        </w:rPr>
      </w:r>
      <w:r>
        <w:rPr>
          <w:b/>
          <w:sz w:val="14"/>
        </w:rPr>
        <w:t>LLM integration:</w:t>
      </w:r>
      <w:r>
        <w:rPr>
          <w:sz w:val="14"/>
        </w:rPr>
        <w:t xml:space="preserve"> the UI exposes LLM mode and model/key fields, but the HTML calls only /api/llm; the local proxy forwards to DashScope or another configured provider.</w:t>
      </w:r>
    </w:p>
    <w:p>
      <w:pPr>
        <w:pStyle w:val="ListBullet"/>
        <w:spacing w:after="0" w:line="216" w:lineRule="auto"/>
      </w:pPr>
      <w:r>
        <w:rPr>
          <w:sz w:val="14"/>
        </w:rPr>
      </w:r>
      <w:r>
        <w:rPr>
          <w:b/>
          <w:sz w:val="14"/>
        </w:rPr>
        <w:t>Fallback reliability:</w:t>
      </w:r>
      <w:r>
        <w:rPr>
          <w:sz w:val="14"/>
        </w:rPr>
        <w:t xml:space="preserve"> the screenshot run used LLM mode off; the same tools still completed, proving the agent is usable even before a teacher adds their own API key.</w:t>
      </w:r>
    </w:p>
    <w:p>
      <w:pPr>
        <w:pStyle w:val="ListBullet"/>
        <w:spacing w:after="0" w:line="216" w:lineRule="auto"/>
      </w:pPr>
      <w:r>
        <w:rPr>
          <w:sz w:val="14"/>
        </w:rPr>
      </w:r>
      <w:r>
        <w:rPr>
          <w:b/>
          <w:sz w:val="14"/>
        </w:rPr>
        <w:t>Future improvement:</w:t>
      </w:r>
      <w:r>
        <w:rPr>
          <w:sz w:val="14"/>
        </w:rPr>
        <w:t xml:space="preserve"> add saved project sessions, larger-file processing, and a visible LLM trace panel that shows model-selected tool calls step by step.</w:t>
      </w:r>
    </w:p>
    <w:sectPr w:rsidR="00FC693F" w:rsidRPr="0006063C" w:rsidSect="00034616">
      <w:footerReference w:type="default" r:id="rId13"/>
      <w:pgSz w:w="11909" w:h="16834"/>
      <w:pgMar w:top="605" w:right="605" w:bottom="605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4"/>
      </w:rPr>
      <w:t>DataLens Agent - Assignment 2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43B91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43B9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1182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