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989679">
      <w:pPr>
        <w:pStyle w:val="31"/>
        <w:spacing w:after="0"/>
        <w:jc w:val="center"/>
      </w:pPr>
      <w:r>
        <w:t>DataLens Agent Report</w:t>
      </w:r>
    </w:p>
    <w:p w14:paraId="2D9A9EBC">
      <w:pPr>
        <w:spacing w:after="60" w:line="240" w:lineRule="auto"/>
        <w:rPr>
          <w:sz w:val="20"/>
          <w:szCs w:val="20"/>
        </w:rPr>
      </w:pPr>
      <w:r>
        <w:rPr>
          <w:b w:val="0"/>
          <w:color w:val="4B5563"/>
          <w:sz w:val="20"/>
          <w:szCs w:val="20"/>
        </w:rPr>
        <w:t>Assignment 2: Intelligent Software Agent Prototype</w:t>
      </w:r>
    </w:p>
    <w:tbl>
      <w:tblPr>
        <w:tblStyle w:val="32"/>
        <w:tblW w:w="0" w:type="auto"/>
        <w:jc w:val="center"/>
        <w:tblLayout w:type="autofit"/>
        <w:tblCellMar>
          <w:top w:w="0" w:type="dxa"/>
          <w:left w:w="108" w:type="dxa"/>
          <w:bottom w:w="0" w:type="dxa"/>
          <w:right w:w="108" w:type="dxa"/>
        </w:tblCellMar>
      </w:tblPr>
      <w:tblGrid>
        <w:gridCol w:w="1161"/>
        <w:gridCol w:w="9423"/>
      </w:tblGrid>
      <w:tr w14:paraId="67490F35">
        <w:tblPrEx>
          <w:tblCellMar>
            <w:top w:w="0" w:type="dxa"/>
            <w:left w:w="108" w:type="dxa"/>
            <w:bottom w:w="0" w:type="dxa"/>
            <w:right w:w="108" w:type="dxa"/>
          </w:tblCellMar>
        </w:tblPrEx>
        <w:trPr>
          <w:trHeight w:val="400" w:hRule="atLeast"/>
          <w:jc w:val="center"/>
        </w:trPr>
        <w:tc>
          <w:tcPr>
            <w:tcW w:w="1161" w:type="dxa"/>
            <w:tcBorders>
              <w:top w:val="single" w:color="auto" w:sz="4" w:space="0"/>
              <w:left w:val="single" w:color="auto" w:sz="4" w:space="0"/>
            </w:tcBorders>
            <w:shd w:val="clear" w:color="auto" w:fill="EEF2FF"/>
            <w:vAlign w:val="center"/>
          </w:tcPr>
          <w:p w14:paraId="4414D664">
            <w:pPr>
              <w:spacing w:after="0" w:line="240" w:lineRule="auto"/>
            </w:pPr>
            <w:r>
              <w:rPr>
                <w:b/>
                <w:color w:val="143B91"/>
                <w:sz w:val="16"/>
              </w:rPr>
              <w:t>GitHub repo</w:t>
            </w:r>
          </w:p>
        </w:tc>
        <w:tc>
          <w:tcPr>
            <w:tcW w:w="9423" w:type="dxa"/>
            <w:tcBorders>
              <w:top w:val="single" w:color="auto" w:sz="4" w:space="0"/>
              <w:right w:val="single" w:color="auto" w:sz="4" w:space="0"/>
            </w:tcBorders>
            <w:vAlign w:val="center"/>
          </w:tcPr>
          <w:p w14:paraId="09F3D43B">
            <w:pPr>
              <w:spacing w:after="0" w:line="240" w:lineRule="auto"/>
              <w:rPr>
                <w:rFonts w:hint="eastAsia" w:eastAsia="宋体"/>
                <w:sz w:val="20"/>
                <w:szCs w:val="20"/>
                <w:lang w:val="en-US" w:eastAsia="zh-CN"/>
              </w:rPr>
            </w:pPr>
            <w:r>
              <w:rPr>
                <w:rFonts w:hint="eastAsia" w:eastAsia="宋体" w:cs="Calibri"/>
                <w:sz w:val="20"/>
                <w:szCs w:val="20"/>
                <w:u w:val="none"/>
                <w:lang w:val="en-US" w:eastAsia="zh-CN"/>
              </w:rPr>
              <w:fldChar w:fldCharType="begin"/>
            </w:r>
            <w:r>
              <w:rPr>
                <w:rFonts w:hint="eastAsia" w:eastAsia="宋体" w:cs="Calibri"/>
                <w:sz w:val="20"/>
                <w:szCs w:val="20"/>
                <w:u w:val="none"/>
                <w:lang w:val="en-US" w:eastAsia="zh-CN"/>
              </w:rPr>
              <w:instrText xml:space="preserve"> HYPERLINK "https://github.com/gdegegwiu/COMPSCI-767-Assignment-2" </w:instrText>
            </w:r>
            <w:r>
              <w:rPr>
                <w:rFonts w:hint="eastAsia" w:eastAsia="宋体" w:cs="Calibri"/>
                <w:sz w:val="20"/>
                <w:szCs w:val="20"/>
                <w:u w:val="none"/>
                <w:lang w:val="en-US" w:eastAsia="zh-CN"/>
              </w:rPr>
              <w:fldChar w:fldCharType="separate"/>
            </w:r>
            <w:r>
              <w:rPr>
                <w:rStyle w:val="134"/>
                <w:rFonts w:hint="eastAsia" w:eastAsia="宋体" w:cs="Calibri"/>
                <w:sz w:val="20"/>
                <w:szCs w:val="20"/>
                <w:u w:val="none"/>
                <w:lang w:val="en-US" w:eastAsia="zh-CN"/>
              </w:rPr>
              <w:t>https://github.com/gdegegwiu/COMPSCI-767-Assignment-2</w:t>
            </w:r>
            <w:r>
              <w:rPr>
                <w:rFonts w:hint="eastAsia" w:eastAsia="宋体" w:cs="Calibri"/>
                <w:sz w:val="20"/>
                <w:szCs w:val="20"/>
                <w:u w:val="none"/>
                <w:lang w:val="en-US" w:eastAsia="zh-CN"/>
              </w:rPr>
              <w:fldChar w:fldCharType="end"/>
            </w:r>
          </w:p>
        </w:tc>
      </w:tr>
      <w:tr w14:paraId="6956D83E">
        <w:tblPrEx>
          <w:tblCellMar>
            <w:top w:w="0" w:type="dxa"/>
            <w:left w:w="108" w:type="dxa"/>
            <w:bottom w:w="0" w:type="dxa"/>
            <w:right w:w="108" w:type="dxa"/>
          </w:tblCellMar>
        </w:tblPrEx>
        <w:trPr>
          <w:trHeight w:val="400" w:hRule="atLeast"/>
          <w:jc w:val="center"/>
        </w:trPr>
        <w:tc>
          <w:tcPr>
            <w:tcW w:w="1161" w:type="dxa"/>
            <w:tcBorders>
              <w:left w:val="single" w:color="auto" w:sz="4" w:space="0"/>
            </w:tcBorders>
            <w:shd w:val="clear" w:color="auto" w:fill="EEF2FF"/>
            <w:vAlign w:val="center"/>
          </w:tcPr>
          <w:p w14:paraId="6A9AC1E6">
            <w:pPr>
              <w:spacing w:after="0" w:line="240" w:lineRule="auto"/>
            </w:pPr>
            <w:r>
              <w:rPr>
                <w:b/>
                <w:color w:val="143B91"/>
                <w:sz w:val="16"/>
              </w:rPr>
              <w:t>Agent type</w:t>
            </w:r>
          </w:p>
        </w:tc>
        <w:tc>
          <w:tcPr>
            <w:tcW w:w="9423" w:type="dxa"/>
            <w:tcBorders>
              <w:right w:val="single" w:color="auto" w:sz="4" w:space="0"/>
            </w:tcBorders>
            <w:vAlign w:val="center"/>
          </w:tcPr>
          <w:p w14:paraId="1FF1965D">
            <w:pPr>
              <w:spacing w:after="0" w:line="240" w:lineRule="auto"/>
              <w:rPr>
                <w:sz w:val="20"/>
                <w:szCs w:val="20"/>
              </w:rPr>
            </w:pPr>
            <w:r>
              <w:rPr>
                <w:b w:val="0"/>
                <w:sz w:val="20"/>
                <w:szCs w:val="20"/>
              </w:rPr>
              <w:t>CSV Data Analysis Agent</w:t>
            </w:r>
          </w:p>
        </w:tc>
      </w:tr>
      <w:tr w14:paraId="05E41902">
        <w:tblPrEx>
          <w:tblCellMar>
            <w:top w:w="0" w:type="dxa"/>
            <w:left w:w="108" w:type="dxa"/>
            <w:bottom w:w="0" w:type="dxa"/>
            <w:right w:w="108" w:type="dxa"/>
          </w:tblCellMar>
        </w:tblPrEx>
        <w:trPr>
          <w:trHeight w:val="400" w:hRule="atLeast"/>
          <w:jc w:val="center"/>
        </w:trPr>
        <w:tc>
          <w:tcPr>
            <w:tcW w:w="1161" w:type="dxa"/>
            <w:tcBorders>
              <w:left w:val="single" w:color="auto" w:sz="4" w:space="0"/>
            </w:tcBorders>
            <w:shd w:val="clear" w:color="auto" w:fill="EEF2FF"/>
            <w:vAlign w:val="center"/>
          </w:tcPr>
          <w:p>
            <w:pPr>
              <w:spacing w:after="0" w:line="240" w:lineRule="auto"/>
            </w:pPr>
            <w:r/>
            <w:r>
              <w:rPr>
                <w:b/>
                <w:color w:val="143B91"/>
                <w:sz w:val="15"/>
              </w:rPr>
              <w:t>Model option</w:t>
            </w:r>
          </w:p>
        </w:tc>
        <w:tc>
          <w:tcPr>
            <w:tcW w:w="9423" w:type="dxa"/>
            <w:tcBorders>
              <w:right w:val="single" w:color="auto" w:sz="4" w:space="0"/>
            </w:tcBorders>
            <w:vAlign w:val="center"/>
          </w:tcPr>
          <w:p>
            <w:pPr>
              <w:spacing w:after="0" w:line="240" w:lineRule="auto"/>
            </w:pPr>
            <w:r/>
            <w:r>
              <w:rPr>
                <w:b w:val="0"/>
                <w:sz w:val="15"/>
              </w:rPr>
              <w:t>Optional Alibaba Cloud DashScope/OpenAI-compatible model. The browser does not call this provider directly; it calls the local /api/llm proxy first.</w:t>
            </w:r>
          </w:p>
        </w:tc>
      </w:tr>
      <w:tr w14:paraId="79955708">
        <w:tblPrEx>
          <w:tblCellMar>
            <w:top w:w="0" w:type="dxa"/>
            <w:left w:w="108" w:type="dxa"/>
            <w:bottom w:w="0" w:type="dxa"/>
            <w:right w:w="108" w:type="dxa"/>
          </w:tblCellMar>
        </w:tblPrEx>
        <w:trPr>
          <w:trHeight w:val="400" w:hRule="atLeast"/>
          <w:jc w:val="center"/>
        </w:trPr>
        <w:tc>
          <w:tcPr>
            <w:tcW w:w="1161" w:type="dxa"/>
            <w:tcBorders>
              <w:left w:val="single" w:color="auto" w:sz="4" w:space="0"/>
              <w:bottom w:val="single" w:color="auto" w:sz="4" w:space="0"/>
            </w:tcBorders>
            <w:shd w:val="clear" w:color="auto" w:fill="EEF2FF"/>
            <w:vAlign w:val="center"/>
          </w:tcPr>
          <w:p w14:paraId="07281141">
            <w:pPr>
              <w:spacing w:after="0" w:line="240" w:lineRule="auto"/>
            </w:pPr>
            <w:r>
              <w:rPr>
                <w:b/>
                <w:color w:val="143B91"/>
                <w:sz w:val="16"/>
              </w:rPr>
              <w:t>Fallback</w:t>
            </w:r>
          </w:p>
        </w:tc>
        <w:tc>
          <w:tcPr>
            <w:tcW w:w="9423" w:type="dxa"/>
            <w:tcBorders>
              <w:bottom w:val="single" w:color="auto" w:sz="4" w:space="0"/>
              <w:right w:val="single" w:color="auto" w:sz="4" w:space="0"/>
            </w:tcBorders>
            <w:vAlign w:val="center"/>
          </w:tcPr>
          <w:p w14:paraId="7BCEAA7C">
            <w:pPr>
              <w:spacing w:after="0" w:line="240" w:lineRule="auto"/>
              <w:rPr>
                <w:sz w:val="20"/>
                <w:szCs w:val="20"/>
              </w:rPr>
            </w:pPr>
            <w:r>
              <w:rPr>
                <w:b w:val="0"/>
                <w:sz w:val="20"/>
                <w:szCs w:val="20"/>
              </w:rPr>
              <w:t>Deterministic browser planner and tools run when no LLM key is configured or a request fails</w:t>
            </w:r>
          </w:p>
        </w:tc>
      </w:tr>
      <w:tr>
        <w:tc>
          <w:tcPr>
            <w:tcW w:type="dxa" w:w="1161"/>
            <w:shd w:fill="EEF2FF"/>
            <w:vAlign w:val="center"/>
          </w:tcPr>
          <w:p>
            <w:pPr>
              <w:spacing w:after="0" w:line="240" w:lineRule="auto"/>
            </w:pPr>
            <w:r/>
            <w:r>
              <w:rPr>
                <w:b/>
                <w:color w:val="143B91"/>
                <w:sz w:val="15"/>
              </w:rPr>
              <w:t>LLM route</w:t>
            </w:r>
          </w:p>
        </w:tc>
        <w:tc>
          <w:tcPr>
            <w:tcW w:type="dxa" w:w="9423"/>
            <w:vAlign w:val="center"/>
          </w:tcPr>
          <w:p>
            <w:pPr>
              <w:spacing w:after="0" w:line="240" w:lineRule="auto"/>
            </w:pPr>
            <w:r/>
            <w:r>
              <w:rPr>
                <w:b w:val="0"/>
                <w:sz w:val="14"/>
              </w:rPr>
              <w:t>/api/llm means http://127.0.0.1:8787/api/llm on the local server started by DataLensAgent.exe. The proxy forwards to DATALENS_LLM_URL, for example DashScope. This avoids browser CORS issues and keeps the real API base URL out of the web page.</w:t>
            </w:r>
          </w:p>
        </w:tc>
      </w:tr>
    </w:tbl>
    <w:p w14:paraId="6A890E3E">
      <w:pPr>
        <w:pStyle w:val="3"/>
        <w:spacing w:before="100" w:after="40"/>
        <w:rPr>
          <w:sz w:val="24"/>
          <w:szCs w:val="24"/>
        </w:rPr>
      </w:pPr>
      <w:r>
        <w:rPr>
          <w:sz w:val="24"/>
          <w:szCs w:val="24"/>
        </w:rPr>
        <w:t>1. System Design</w:t>
      </w:r>
    </w:p>
    <w:p w14:paraId="205F6D00">
      <w:r>
        <w:drawing>
          <wp:inline distT="0" distB="0" distL="114300" distR="114300">
            <wp:extent cx="6446520" cy="2261870"/>
            <wp:effectExtent l="0" t="0" r="1143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6446520" cy="2261870"/>
                    </a:xfrm>
                    <a:prstGeom prst="rect">
                      <a:avLst/>
                    </a:prstGeom>
                  </pic:spPr>
                </pic:pic>
              </a:graphicData>
            </a:graphic>
          </wp:inline>
        </w:drawing>
      </w:r>
    </w:p>
    <w:p w14:paraId="3CF2628C">
      <w:pPr>
        <w:spacing w:after="40" w:line="240" w:lineRule="auto"/>
        <w:jc w:val="center"/>
        <w:rPr>
          <w:sz w:val="20"/>
          <w:szCs w:val="20"/>
        </w:rPr>
      </w:pPr>
      <w:r>
        <w:rPr>
          <w:b w:val="0"/>
          <w:color w:val="6B7280"/>
          <w:sz w:val="20"/>
          <w:szCs w:val="20"/>
        </w:rPr>
        <w:t>Figure 1. Agent loop: perceive input, select a plan, run analysis tools, and output plots plus findings.</w:t>
      </w:r>
    </w:p>
    <w:p w14:paraId="4F8B0EA1">
      <w:pPr>
        <w:pStyle w:val="4"/>
        <w:spacing w:after="20" w:line="240" w:lineRule="auto"/>
        <w:rPr>
          <w:sz w:val="24"/>
          <w:szCs w:val="24"/>
        </w:rPr>
      </w:pPr>
      <w:r>
        <w:rPr>
          <w:b w:val="0"/>
          <w:sz w:val="24"/>
          <w:szCs w:val="24"/>
        </w:rPr>
        <w:t>Design explanation</w:t>
      </w:r>
    </w:p>
    <w:p w14:paraId="1FA42A57">
      <w:pPr>
        <w:pStyle w:val="16"/>
        <w:spacing w:after="0" w:line="228" w:lineRule="auto"/>
        <w:rPr>
          <w:sz w:val="20"/>
          <w:szCs w:val="20"/>
        </w:rPr>
      </w:pPr>
      <w:r>
        <w:rPr>
          <w:b/>
          <w:sz w:val="20"/>
          <w:szCs w:val="20"/>
        </w:rPr>
        <w:t>Perception:</w:t>
      </w:r>
      <w:r>
        <w:rPr>
          <w:sz w:val="20"/>
          <w:szCs w:val="20"/>
        </w:rPr>
        <w:t xml:space="preserve"> parse uploaded, pasted, or sample CSV data; infer numeric, categorical, and date fields; detect missing cells.</w:t>
      </w:r>
    </w:p>
    <w:p w14:paraId="09A46661">
      <w:pPr>
        <w:pStyle w:val="16"/>
        <w:spacing w:after="0" w:line="228" w:lineRule="auto"/>
        <w:rPr>
          <w:sz w:val="20"/>
          <w:szCs w:val="20"/>
        </w:rPr>
      </w:pPr>
      <w:r/>
      <w:r>
        <w:rPr>
          <w:sz w:val="16"/>
        </w:rPr>
      </w:r>
      <w:r>
        <w:rPr>
          <w:b/>
          <w:sz w:val="16"/>
        </w:rPr>
        <w:t>Decision:</w:t>
      </w:r>
      <w:r>
        <w:rPr>
          <w:sz w:val="16"/>
        </w:rPr>
        <w:t xml:space="preserve"> auto-decision chooses analysis steps and chart types from the CSV schema. If LLM mode is enabled, the browser sends the planning request to the local </w:t>
      </w:r>
      <w:r>
        <w:rPr>
          <w:b/>
          <w:sz w:val="16"/>
        </w:rPr>
        <w:t>/api/llm</w:t>
      </w:r>
      <w:r>
        <w:rPr>
          <w:sz w:val="16"/>
        </w:rPr>
        <w:t xml:space="preserve"> endpoint; that proxy then forwards the request to DashScope or another configured OpenAI-compatible provider.</w:t>
      </w:r>
    </w:p>
    <w:p w14:paraId="1426ADA1">
      <w:pPr>
        <w:pStyle w:val="16"/>
        <w:spacing w:after="0" w:line="228" w:lineRule="auto"/>
        <w:rPr>
          <w:sz w:val="20"/>
          <w:szCs w:val="20"/>
        </w:rPr>
      </w:pPr>
      <w:r>
        <w:rPr>
          <w:b/>
          <w:sz w:val="20"/>
          <w:szCs w:val="20"/>
        </w:rPr>
        <w:t>Tools and actions:</w:t>
      </w:r>
      <w:r>
        <w:rPr>
          <w:sz w:val="20"/>
          <w:szCs w:val="20"/>
        </w:rPr>
        <w:t xml:space="preserve"> run schema inspection, numeric profile, group comparison, relationship plots, missing checks, outlier scans, trend analysis, chart notes, summary, and JSON export.</w:t>
      </w:r>
    </w:p>
    <w:p w14:paraId="743DD2DB">
      <w:pPr>
        <w:pStyle w:val="16"/>
        <w:spacing w:after="0" w:line="228" w:lineRule="auto"/>
        <w:rPr>
          <w:sz w:val="20"/>
          <w:szCs w:val="20"/>
        </w:rPr>
      </w:pPr>
      <w:r>
        <w:rPr>
          <w:b/>
          <w:sz w:val="20"/>
          <w:szCs w:val="20"/>
        </w:rPr>
        <w:t>Memory and safety:</w:t>
      </w:r>
      <w:r>
        <w:rPr>
          <w:sz w:val="20"/>
          <w:szCs w:val="20"/>
        </w:rPr>
        <w:t xml:space="preserve"> store recent run events in localStorage and warn before proceeding when prompts appear to contain secrets or sensitive identifiers.</w:t>
      </w:r>
    </w:p>
    <w:p w14:paraId="17945451">
      <w:pPr>
        <w:pStyle w:val="16"/>
        <w:spacing w:after="0" w:line="228" w:lineRule="auto"/>
        <w:rPr>
          <w:sz w:val="20"/>
          <w:szCs w:val="20"/>
        </w:rPr>
      </w:pPr>
      <w:r/>
      <w:r>
        <w:rPr>
          <w:sz w:val="16"/>
        </w:rPr>
      </w:r>
      <w:r>
        <w:rPr>
          <w:b/>
          <w:sz w:val="16"/>
        </w:rPr>
        <w:t>Deployment:</w:t>
      </w:r>
      <w:r>
        <w:rPr>
          <w:sz w:val="16"/>
        </w:rPr>
        <w:t xml:space="preserve"> DataLensAgent.exe starts both the web page server and the local LLM proxy. The API key is pasted by the user, stored only in browser localStorage, and is not committed to Git.</w:t>
      </w:r>
    </w:p>
    <w:p w14:paraId="28755D9E">
      <w:r>
        <w:br w:type="page"/>
      </w:r>
    </w:p>
    <w:p w14:paraId="39D6D92B">
      <w:pPr>
        <w:pStyle w:val="3"/>
        <w:spacing w:after="20"/>
        <w:rPr>
          <w:sz w:val="24"/>
          <w:szCs w:val="24"/>
        </w:rPr>
      </w:pPr>
      <w:r>
        <w:rPr>
          <w:sz w:val="24"/>
          <w:szCs w:val="24"/>
        </w:rPr>
        <w:t>2. Screenshots and System Behavior</w:t>
      </w:r>
    </w:p>
    <w:p w14:paraId="57B70FE8">
      <w:pPr>
        <w:spacing w:after="40" w:line="240" w:lineRule="auto"/>
        <w:rPr>
          <w:sz w:val="20"/>
          <w:szCs w:val="20"/>
        </w:rPr>
      </w:pPr>
      <w:r>
        <w:rPr>
          <w:b w:val="0"/>
          <w:sz w:val="20"/>
          <w:szCs w:val="20"/>
        </w:rPr>
        <w:t>The user loads a CSV by drag-drop, file picker, pasted text, or sample data, then runs the agent. With Agent auto-decision enabled, the agent automatically chooses analysis steps and chart types.</w:t>
      </w:r>
    </w:p>
    <w:p w14:paraId="70665D12">
      <w:r>
        <w:drawing>
          <wp:inline distT="0" distB="0" distL="114300" distR="114300">
            <wp:extent cx="6355080" cy="3309620"/>
            <wp:effectExtent l="0" t="0" r="762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6355080" cy="3309938"/>
                    </a:xfrm>
                    <a:prstGeom prst="rect">
                      <a:avLst/>
                    </a:prstGeom>
                  </pic:spPr>
                </pic:pic>
              </a:graphicData>
            </a:graphic>
          </wp:inline>
        </w:drawing>
      </w:r>
    </w:p>
    <w:p w14:paraId="589EAAFE">
      <w:pPr>
        <w:spacing w:after="40" w:line="240" w:lineRule="auto"/>
        <w:jc w:val="center"/>
        <w:rPr>
          <w:sz w:val="20"/>
          <w:szCs w:val="20"/>
        </w:rPr>
      </w:pPr>
      <w:r>
        <w:rPr>
          <w:b w:val="0"/>
          <w:color w:val="6B7280"/>
          <w:sz w:val="20"/>
          <w:szCs w:val="20"/>
        </w:rPr>
        <w:t>Figure 2. Current interface with plus upload, language switching, auto-decision, chart choices, and execution log.</w:t>
      </w:r>
    </w:p>
    <w:tbl>
      <w:tblPr>
        <w:tblStyle w:val="32"/>
        <w:tblW w:w="0" w:type="auto"/>
        <w:jc w:val="center"/>
        <w:tblLayout w:type="fixed"/>
        <w:tblCellMar>
          <w:top w:w="0" w:type="dxa"/>
          <w:left w:w="108" w:type="dxa"/>
          <w:bottom w:w="0" w:type="dxa"/>
          <w:right w:w="108" w:type="dxa"/>
        </w:tblCellMar>
      </w:tblPr>
      <w:tblGrid>
        <w:gridCol w:w="5292"/>
        <w:gridCol w:w="5292"/>
      </w:tblGrid>
      <w:tr w14:paraId="0A463F10">
        <w:tblPrEx>
          <w:tblCellMar>
            <w:top w:w="0" w:type="dxa"/>
            <w:left w:w="108" w:type="dxa"/>
            <w:bottom w:w="0" w:type="dxa"/>
            <w:right w:w="108" w:type="dxa"/>
          </w:tblCellMar>
        </w:tblPrEx>
        <w:trPr>
          <w:jc w:val="center"/>
        </w:trPr>
        <w:tc>
          <w:tcPr>
            <w:tcW w:w="5292" w:type="dxa"/>
            <w:shd w:val="clear" w:color="auto" w:fill="F8FAFC"/>
            <w:vAlign w:val="center"/>
          </w:tcPr>
          <w:p w14:paraId="70FF721A">
            <w:pPr>
              <w:spacing w:after="0" w:line="240" w:lineRule="auto"/>
              <w:jc w:val="center"/>
              <w:rPr>
                <w:sz w:val="20"/>
                <w:szCs w:val="20"/>
              </w:rPr>
            </w:pPr>
            <w:r>
              <w:rPr>
                <w:b/>
                <w:color w:val="143B91"/>
                <w:sz w:val="20"/>
                <w:szCs w:val="20"/>
              </w:rPr>
              <w:t>Generated charts</w:t>
            </w:r>
          </w:p>
        </w:tc>
        <w:tc>
          <w:tcPr>
            <w:tcW w:w="5292" w:type="dxa"/>
            <w:shd w:val="clear" w:color="auto" w:fill="F8FAFC"/>
            <w:vAlign w:val="center"/>
          </w:tcPr>
          <w:p w14:paraId="75B9399A">
            <w:pPr>
              <w:spacing w:after="0" w:line="240" w:lineRule="auto"/>
              <w:jc w:val="center"/>
              <w:rPr>
                <w:sz w:val="20"/>
                <w:szCs w:val="20"/>
              </w:rPr>
            </w:pPr>
            <w:r>
              <w:rPr>
                <w:b/>
                <w:color w:val="143B91"/>
                <w:sz w:val="20"/>
                <w:szCs w:val="20"/>
              </w:rPr>
              <w:t>Summary and memory</w:t>
            </w:r>
          </w:p>
        </w:tc>
      </w:tr>
      <w:tr w14:paraId="1E241FB0">
        <w:tblPrEx>
          <w:tblCellMar>
            <w:top w:w="0" w:type="dxa"/>
            <w:left w:w="108" w:type="dxa"/>
            <w:bottom w:w="0" w:type="dxa"/>
            <w:right w:w="108" w:type="dxa"/>
          </w:tblCellMar>
        </w:tblPrEx>
        <w:trPr>
          <w:jc w:val="center"/>
        </w:trPr>
        <w:tc>
          <w:tcPr>
            <w:tcW w:w="5292" w:type="dxa"/>
            <w:vAlign w:val="top"/>
          </w:tcPr>
          <w:p w14:paraId="24CF8804">
            <w:pPr>
              <w:spacing w:after="0"/>
              <w:jc w:val="center"/>
              <w:rPr>
                <w:sz w:val="20"/>
                <w:szCs w:val="20"/>
              </w:rPr>
            </w:pPr>
            <w:r>
              <w:rPr>
                <w:sz w:val="20"/>
                <w:szCs w:val="20"/>
              </w:rPr>
              <w:drawing>
                <wp:inline distT="0" distB="0" distL="114300" distR="114300">
                  <wp:extent cx="2907665" cy="2607310"/>
                  <wp:effectExtent l="0" t="0" r="6985"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2907792" cy="2607310"/>
                          </a:xfrm>
                          <a:prstGeom prst="rect">
                            <a:avLst/>
                          </a:prstGeom>
                        </pic:spPr>
                      </pic:pic>
                    </a:graphicData>
                  </a:graphic>
                </wp:inline>
              </w:drawing>
            </w:r>
          </w:p>
        </w:tc>
        <w:tc>
          <w:tcPr>
            <w:tcW w:w="5292" w:type="dxa"/>
            <w:vAlign w:val="top"/>
          </w:tcPr>
          <w:p w14:paraId="572F1AFE">
            <w:pPr>
              <w:spacing w:after="0"/>
              <w:jc w:val="center"/>
              <w:rPr>
                <w:sz w:val="20"/>
                <w:szCs w:val="20"/>
              </w:rPr>
            </w:pPr>
            <w:r>
              <w:rPr>
                <w:sz w:val="20"/>
                <w:szCs w:val="20"/>
              </w:rPr>
              <w:drawing>
                <wp:inline distT="0" distB="0" distL="114300" distR="114300">
                  <wp:extent cx="2907665" cy="2571750"/>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2907792" cy="2572278"/>
                          </a:xfrm>
                          <a:prstGeom prst="rect">
                            <a:avLst/>
                          </a:prstGeom>
                        </pic:spPr>
                      </pic:pic>
                    </a:graphicData>
                  </a:graphic>
                </wp:inline>
              </w:drawing>
            </w:r>
          </w:p>
        </w:tc>
      </w:tr>
    </w:tbl>
    <w:p w14:paraId="7CEECA5F">
      <w:pPr>
        <w:pStyle w:val="4"/>
        <w:spacing w:after="20" w:line="240" w:lineRule="auto"/>
        <w:rPr>
          <w:rFonts w:hint="eastAsia" w:eastAsia="宋体"/>
          <w:sz w:val="24"/>
          <w:szCs w:val="24"/>
          <w:lang w:val="en-US" w:eastAsia="zh-CN"/>
        </w:rPr>
      </w:pPr>
      <w:r>
        <w:rPr>
          <w:b w:val="0"/>
          <w:sz w:val="24"/>
          <w:szCs w:val="24"/>
        </w:rPr>
        <w:t>Be</w:t>
      </w:r>
      <w:r>
        <w:rPr>
          <w:rFonts w:hint="eastAsia" w:eastAsia="宋体"/>
          <w:b w:val="0"/>
          <w:sz w:val="24"/>
          <w:szCs w:val="24"/>
          <w:lang w:val="en-US" w:eastAsia="zh-CN"/>
        </w:rPr>
        <w:t>h</w:t>
      </w:r>
      <w:r>
        <w:rPr>
          <w:b w:val="0"/>
          <w:sz w:val="24"/>
          <w:szCs w:val="24"/>
        </w:rPr>
        <w:t>avior evidence</w:t>
      </w:r>
    </w:p>
    <w:p w14:paraId="0684A03F">
      <w:pPr>
        <w:pStyle w:val="16"/>
        <w:spacing w:after="0" w:line="228" w:lineRule="auto"/>
        <w:rPr>
          <w:sz w:val="20"/>
          <w:szCs w:val="20"/>
        </w:rPr>
      </w:pPr>
      <w:r>
        <w:rPr>
          <w:b/>
          <w:sz w:val="20"/>
          <w:szCs w:val="20"/>
        </w:rPr>
        <w:t>Automatic analysis:</w:t>
      </w:r>
      <w:r>
        <w:rPr>
          <w:sz w:val="20"/>
          <w:szCs w:val="20"/>
        </w:rPr>
        <w:t xml:space="preserve"> the agent selects useful steps and plot types such as bar, scatter, histogram, pie, or line charts from detected columns.</w:t>
      </w:r>
    </w:p>
    <w:p w14:paraId="635F2BED">
      <w:pPr>
        <w:pStyle w:val="16"/>
        <w:spacing w:after="0" w:line="228" w:lineRule="auto"/>
        <w:rPr>
          <w:sz w:val="20"/>
          <w:szCs w:val="20"/>
        </w:rPr>
      </w:pPr>
      <w:r/>
      <w:r>
        <w:rPr>
          <w:sz w:val="15"/>
        </w:rPr>
      </w:r>
      <w:r>
        <w:rPr>
          <w:b/>
          <w:sz w:val="15"/>
        </w:rPr>
        <w:t>LLM support:</w:t>
      </w:r>
      <w:r>
        <w:rPr>
          <w:sz w:val="15"/>
        </w:rPr>
        <w:t xml:space="preserve"> </w:t>
      </w:r>
      <w:r>
        <w:rPr>
          <w:b/>
          <w:sz w:val="15"/>
        </w:rPr>
        <w:t>/api/llm is the project's local proxy endpoint, not the real model provider URL.</w:t>
      </w:r>
      <w:r>
        <w:rPr>
          <w:sz w:val="15"/>
        </w:rPr>
        <w:t xml:space="preserve"> The page calls /api/llm, then the proxy forwards to the endpoint configured by DATALENS_LLM_URL, such as DashScope. Teachers can use their own API key and model without editing the HTML.</w:t>
      </w:r>
    </w:p>
    <w:p w14:paraId="5767CFAB">
      <w:pPr>
        <w:pStyle w:val="16"/>
        <w:spacing w:after="0" w:line="228" w:lineRule="auto"/>
        <w:rPr>
          <w:sz w:val="20"/>
          <w:szCs w:val="20"/>
        </w:rPr>
      </w:pPr>
      <w:r>
        <w:rPr>
          <w:b/>
          <w:sz w:val="20"/>
          <w:szCs w:val="20"/>
        </w:rPr>
        <w:t>Reliable demo:</w:t>
      </w:r>
      <w:r>
        <w:rPr>
          <w:sz w:val="20"/>
          <w:szCs w:val="20"/>
        </w:rPr>
        <w:t xml:space="preserve"> if the LLM is unavailable, deterministic planning still executes and produces charts, chart-level explanations, a final summary, and an exportable JSON run record.</w:t>
      </w:r>
    </w:p>
    <w:p w14:paraId="72215CA1">
      <w:pPr>
        <w:pStyle w:val="16"/>
        <w:spacing w:after="0" w:line="228" w:lineRule="auto"/>
        <w:rPr>
          <w:sz w:val="20"/>
          <w:szCs w:val="20"/>
        </w:rPr>
      </w:pPr>
      <w:r/>
      <w:r>
        <w:rPr>
          <w:sz w:val="15"/>
        </w:rPr>
      </w:r>
      <w:r>
        <w:rPr>
          <w:b/>
          <w:sz w:val="15"/>
        </w:rPr>
        <w:t>Reproduction:</w:t>
      </w:r>
      <w:r>
        <w:rPr>
          <w:sz w:val="15"/>
        </w:rPr>
        <w:t xml:space="preserve"> double-click DataLensAgent.exe, open the local page, load data/tips.csv or data/iris.csv, optionally enable LLM mode, paste an API key/model, and click Run analysis agent. Without an API key, deterministic analysis still works.</w:t>
      </w:r>
    </w:p>
    <w:sectPr>
      <w:footerReference r:id="rId5" w:type="default"/>
      <w:pgSz w:w="11909" w:h="16834"/>
      <w:pgMar w:top="662" w:right="662" w:bottom="662" w:left="66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46A564">
    <w:pPr>
      <w:pStyle w:val="24"/>
      <w:jc w:val="both"/>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763BCE"/>
    <w:rsid w:val="02510197"/>
    <w:rsid w:val="03EF7C67"/>
    <w:rsid w:val="05300538"/>
    <w:rsid w:val="05810D93"/>
    <w:rsid w:val="069074E0"/>
    <w:rsid w:val="06AE5BB8"/>
    <w:rsid w:val="0A6767AA"/>
    <w:rsid w:val="0C9554B5"/>
    <w:rsid w:val="0DA25D4B"/>
    <w:rsid w:val="0E26697C"/>
    <w:rsid w:val="0E80608C"/>
    <w:rsid w:val="11845E93"/>
    <w:rsid w:val="12445622"/>
    <w:rsid w:val="17C74D2B"/>
    <w:rsid w:val="1D525097"/>
    <w:rsid w:val="1F721A21"/>
    <w:rsid w:val="211014F1"/>
    <w:rsid w:val="24521E21"/>
    <w:rsid w:val="25DD396C"/>
    <w:rsid w:val="27111B1F"/>
    <w:rsid w:val="2A6D3510"/>
    <w:rsid w:val="2BA016C4"/>
    <w:rsid w:val="2BDA4BD6"/>
    <w:rsid w:val="2F9E416C"/>
    <w:rsid w:val="30B515F7"/>
    <w:rsid w:val="3175714F"/>
    <w:rsid w:val="31AD68E8"/>
    <w:rsid w:val="34C226AB"/>
    <w:rsid w:val="37555A58"/>
    <w:rsid w:val="378105FB"/>
    <w:rsid w:val="380B4369"/>
    <w:rsid w:val="3FFB2F15"/>
    <w:rsid w:val="4000052B"/>
    <w:rsid w:val="4047615A"/>
    <w:rsid w:val="41410DFB"/>
    <w:rsid w:val="414C1D4E"/>
    <w:rsid w:val="428134FD"/>
    <w:rsid w:val="431E13F4"/>
    <w:rsid w:val="432A5FEB"/>
    <w:rsid w:val="43882D11"/>
    <w:rsid w:val="44006D4C"/>
    <w:rsid w:val="46916381"/>
    <w:rsid w:val="46FD57C4"/>
    <w:rsid w:val="4B8360DE"/>
    <w:rsid w:val="4C15535E"/>
    <w:rsid w:val="4F0516BA"/>
    <w:rsid w:val="4FB9443F"/>
    <w:rsid w:val="50342257"/>
    <w:rsid w:val="56B04601"/>
    <w:rsid w:val="585B059D"/>
    <w:rsid w:val="58DF2F7C"/>
    <w:rsid w:val="5A4A08C9"/>
    <w:rsid w:val="5C8B76A2"/>
    <w:rsid w:val="5D3C099D"/>
    <w:rsid w:val="5F0B4ACB"/>
    <w:rsid w:val="619863BE"/>
    <w:rsid w:val="64E75692"/>
    <w:rsid w:val="68DF7ED9"/>
    <w:rsid w:val="693D1D24"/>
    <w:rsid w:val="6A260A0B"/>
    <w:rsid w:val="6D851EEC"/>
    <w:rsid w:val="6EB81E4D"/>
    <w:rsid w:val="6FBB1BF5"/>
    <w:rsid w:val="6FE31BB4"/>
    <w:rsid w:val="6FFE5F86"/>
    <w:rsid w:val="70B07280"/>
    <w:rsid w:val="71184E25"/>
    <w:rsid w:val="72DD00D4"/>
    <w:rsid w:val="72F33F62"/>
    <w:rsid w:val="733C304D"/>
    <w:rsid w:val="73F13E37"/>
    <w:rsid w:val="788039DC"/>
    <w:rsid w:val="7AAD4830"/>
    <w:rsid w:val="7BC23010"/>
    <w:rsid w:val="7F315A3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heme="minorBidi"/>
      <w:sz w:val="17"/>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143B91"/>
      <w:sz w:val="27"/>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143B91"/>
      <w:sz w:val="21"/>
      <w:szCs w:val="26"/>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7"/>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11827"/>
      <w:spacing w:val="5"/>
      <w:kern w:val="28"/>
      <w:sz w:val="46"/>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FollowedHyperlink"/>
    <w:basedOn w:val="132"/>
    <w:semiHidden/>
    <w:unhideWhenUsed/>
    <w:uiPriority w:val="99"/>
    <w:rPr>
      <w:color w:val="800080"/>
      <w:u w:val="single"/>
    </w:rPr>
  </w:style>
  <w:style w:type="character" w:styleId="135">
    <w:name w:val="Emphasis"/>
    <w:basedOn w:val="132"/>
    <w:qFormat/>
    <w:uiPriority w:val="20"/>
    <w:rPr>
      <w:i/>
      <w:iCs/>
    </w:rPr>
  </w:style>
  <w:style w:type="character" w:styleId="136">
    <w:name w:val="Hyperlink"/>
    <w:basedOn w:val="132"/>
    <w:semiHidden/>
    <w:unhideWhenUsed/>
    <w:uiPriority w:val="99"/>
    <w:rPr>
      <w:color w:val="0000FF"/>
      <w:u w:val="single"/>
    </w:rPr>
  </w:style>
  <w:style w:type="character" w:customStyle="1" w:styleId="137">
    <w:name w:val="Header Char"/>
    <w:basedOn w:val="132"/>
    <w:link w:val="25"/>
    <w:uiPriority w:val="99"/>
  </w:style>
  <w:style w:type="character" w:customStyle="1" w:styleId="138">
    <w:name w:val="Footer Char"/>
    <w:basedOn w:val="132"/>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2"/>
    <w:link w:val="19"/>
    <w:uiPriority w:val="99"/>
  </w:style>
  <w:style w:type="character" w:customStyle="1" w:styleId="147">
    <w:name w:val="Body Text 2 Char"/>
    <w:basedOn w:val="132"/>
    <w:link w:val="28"/>
    <w:uiPriority w:val="99"/>
  </w:style>
  <w:style w:type="character" w:customStyle="1" w:styleId="148">
    <w:name w:val="Body Text 3 Char"/>
    <w:basedOn w:val="132"/>
    <w:link w:val="17"/>
    <w:uiPriority w:val="99"/>
    <w:rPr>
      <w:sz w:val="16"/>
      <w:szCs w:val="16"/>
    </w:rPr>
  </w:style>
  <w:style w:type="character" w:customStyle="1" w:styleId="149">
    <w:name w:val="Macro Text Char"/>
    <w:basedOn w:val="132"/>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2"/>
    <w:link w:val="150"/>
    <w:uiPriority w:val="29"/>
    <w:rPr>
      <w:i/>
      <w:iCs/>
      <w:color w:val="000000" w:themeColor="text1"/>
      <w14:textFill>
        <w14:solidFill>
          <w14:schemeClr w14:val="tx1"/>
        </w14:solidFill>
      </w14:textFill>
    </w:rPr>
  </w:style>
  <w:style w:type="character" w:customStyle="1" w:styleId="152">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2"/>
    <w:link w:val="158"/>
    <w:uiPriority w:val="30"/>
    <w:rPr>
      <w:b/>
      <w:bCs/>
      <w:i/>
      <w:iCs/>
      <w:color w:val="4F81BD" w:themeColor="accent1"/>
      <w14:textFill>
        <w14:solidFill>
          <w14:schemeClr w14:val="accent1"/>
        </w14:solidFill>
      </w14:textFill>
    </w:rPr>
  </w:style>
  <w:style w:type="character" w:customStyle="1" w:styleId="160">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2"/>
    <w:qFormat/>
    <w:uiPriority w:val="21"/>
    <w:rPr>
      <w:b/>
      <w:bCs/>
      <w:i/>
      <w:iCs/>
      <w:color w:val="4F81BD" w:themeColor="accent1"/>
      <w14:textFill>
        <w14:solidFill>
          <w14:schemeClr w14:val="accent1"/>
        </w14:solidFill>
      </w14:textFill>
    </w:rPr>
  </w:style>
  <w:style w:type="character" w:customStyle="1" w:styleId="162">
    <w:name w:val="Subtle Reference"/>
    <w:basedOn w:val="132"/>
    <w:qFormat/>
    <w:uiPriority w:val="31"/>
    <w:rPr>
      <w:smallCaps/>
      <w:color w:val="C0504D" w:themeColor="accent2"/>
      <w:u w:val="single"/>
      <w14:textFill>
        <w14:solidFill>
          <w14:schemeClr w14:val="accent2"/>
        </w14:solidFill>
      </w14:textFill>
    </w:rPr>
  </w:style>
  <w:style w:type="character" w:customStyle="1" w:styleId="163">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2"/>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243</Words>
  <Characters>1458</Characters>
  <Lines>0</Lines>
  <Paragraphs>0</Paragraphs>
  <TotalTime>24</TotalTime>
  <ScaleCrop>false</ScaleCrop>
  <LinksUpToDate>false</LinksUpToDate>
  <CharactersWithSpaces>1678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Sheepstar</cp:lastModifiedBy>
  <dcterms:modified xsi:type="dcterms:W3CDTF">2026-05-30T12:14:25Z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eyJoZGlkIjoiMTI3NTRlZGY2NmQ4NmQwYWFkNGQwMGY2ZTlhYTA1ZDkiLCJ1c2VySWQiOiI3MTU4NDY2MzUifQ==</vt:lpwstr>
  </property>
  <property fmtid="{D5CDD505-2E9C-101B-9397-08002B2CF9AE}" pid="3" name="KSOProductBuildVer">
    <vt:lpwstr>2052-12.1.0.26375</vt:lpwstr>
  </property>
  <property fmtid="{D5CDD505-2E9C-101B-9397-08002B2CF9AE}" pid="4" name="ICV">
    <vt:lpwstr>97EC7E2A5804472DBCDEC3D3B1E40FC0_12</vt:lpwstr>
  </property>
</Properties>
</file>