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rStyle w:val="Accentuation"/>
        </w:rPr>
        <w:t>Étiole</w:t>
      </w:r>
      <w:r>
        <w:t xml:space="preserve"> plante qui pousse en absence de lumière.</w:t>
      </w:r>
    </w:p>
    <w:p>
      <w:r>
        <w:rPr>
          <w:rStyle w:val="Accentuation"/>
        </w:rPr>
        <w:t>Plasmolyse</w:t>
      </w:r>
      <w:r>
        <w:t xml:space="preserve"> état d’une cellule dans lequel la paroi est décollée de la membrane par le retrait de l’eau.</w:t>
      </w:r>
    </w:p>
    <w:p>
      <w:pPr>
        <w:pStyle w:val="Titre2"/>
      </w:pPr>
      <w:r>
        <w:rPr>
          <w:noProof/>
        </w:rPr>
        <w:drawing>
          <wp:anchor distT="0" distB="0" distL="114300" distR="114300" simplePos="0" relativeHeight="251682816" behindDoc="0" locked="0" layoutInCell="1" allowOverlap="1">
            <wp:simplePos x="0" y="0"/>
            <wp:positionH relativeFrom="margin">
              <wp:align>left</wp:align>
            </wp:positionH>
            <wp:positionV relativeFrom="paragraph">
              <wp:posOffset>300355</wp:posOffset>
            </wp:positionV>
            <wp:extent cx="2115820" cy="1078230"/>
            <wp:effectExtent l="0" t="0" r="0" b="762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15820" cy="1078230"/>
                    </a:xfrm>
                    <a:prstGeom prst="rect">
                      <a:avLst/>
                    </a:prstGeom>
                    <a:noFill/>
                    <a:ln>
                      <a:noFill/>
                    </a:ln>
                  </pic:spPr>
                </pic:pic>
              </a:graphicData>
            </a:graphic>
            <wp14:sizeRelH relativeFrom="margin">
              <wp14:pctWidth>0</wp14:pctWidth>
            </wp14:sizeRelH>
            <wp14:sizeRelV relativeFrom="margin">
              <wp14:pctHeight>0</wp14:pctHeight>
            </wp14:sizeRelV>
          </wp:anchor>
        </w:drawing>
      </w:r>
      <w:r>
        <w:t>La cellule végétale vs animale</w:t>
      </w:r>
    </w:p>
    <w:p>
      <w:r>
        <w:t xml:space="preserve">Les mitochondries et les plastes sont des organites. </w:t>
      </w:r>
    </w:p>
    <w:p/>
    <w:p/>
    <w:p>
      <w:pPr>
        <w:pStyle w:val="Titre1"/>
      </w:pPr>
      <w:bookmarkStart w:id="0" w:name="_Hlk52470916"/>
      <w:bookmarkEnd w:id="0"/>
      <w:r>
        <w:t>Les plastes</w:t>
      </w:r>
    </w:p>
    <w:p>
      <w:pPr>
        <w:pStyle w:val="Titre2"/>
      </w:pPr>
      <w:r>
        <w:rPr>
          <w:bCs/>
        </w:rPr>
        <w:t>Structure</w:t>
      </w:r>
      <w:r>
        <w:t xml:space="preserve"> du chloroplaste</w:t>
      </w:r>
    </w:p>
    <w:p>
      <w:r>
        <w:rPr>
          <w:noProof/>
        </w:rPr>
        <w:drawing>
          <wp:anchor distT="0" distB="0" distL="114300" distR="114300" simplePos="0" relativeHeight="251663360" behindDoc="0" locked="0" layoutInCell="1" allowOverlap="1">
            <wp:simplePos x="0" y="0"/>
            <wp:positionH relativeFrom="column">
              <wp:posOffset>0</wp:posOffset>
            </wp:positionH>
            <wp:positionV relativeFrom="paragraph">
              <wp:posOffset>1270</wp:posOffset>
            </wp:positionV>
            <wp:extent cx="2257425" cy="912184"/>
            <wp:effectExtent l="0" t="0" r="0" b="254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57425" cy="912184"/>
                    </a:xfrm>
                    <a:prstGeom prst="rect">
                      <a:avLst/>
                    </a:prstGeom>
                    <a:noFill/>
                    <a:ln>
                      <a:noFill/>
                    </a:ln>
                  </pic:spPr>
                </pic:pic>
              </a:graphicData>
            </a:graphic>
          </wp:anchor>
        </w:drawing>
      </w:r>
      <w:r>
        <w:rPr>
          <w:color w:val="FF0000"/>
        </w:rPr>
        <w:t xml:space="preserve">Plastoglobules </w:t>
      </w:r>
      <w:r>
        <w:t xml:space="preserve">structure </w:t>
      </w:r>
      <w:proofErr w:type="spellStart"/>
      <w:r>
        <w:t>protéo</w:t>
      </w:r>
      <w:proofErr w:type="spellEnd"/>
      <w:r>
        <w:t>-lipidique qui assure la détoxification des molécules oxydées. Ils produisent notamment la vitamine E, un antioxydant.</w:t>
      </w:r>
    </w:p>
    <w:p>
      <w:pPr>
        <w:rPr>
          <w:color w:val="FF0000"/>
        </w:rPr>
      </w:pPr>
      <w:r>
        <w:rPr>
          <w:u w:val="single"/>
        </w:rPr>
        <w:t>NB :</w:t>
      </w:r>
      <w:r>
        <w:t xml:space="preserve"> ce n’est pas parois mais membrane.</w:t>
      </w:r>
    </w:p>
    <w:p>
      <w:r>
        <w:t>On pense qu’à l’origine certains procaryotes qui étaient capables de faire de la photosynthèse ont été ingérées dans la cellule par endocytose et qu’ils ont noué une relation symbiotique avec la cellule. C’est ce que l’on appelle l’endosymbiose.</w:t>
      </w:r>
    </w:p>
    <w:p>
      <w:pPr>
        <w:pStyle w:val="Titre2"/>
      </w:pPr>
      <w:r>
        <w:t>Les type et la spécialisation des plastes</w:t>
      </w:r>
    </w:p>
    <w:p>
      <w:r>
        <w:rPr>
          <w:noProof/>
        </w:rPr>
        <w:drawing>
          <wp:inline distT="0" distB="0" distL="0" distR="0">
            <wp:extent cx="4038600" cy="816548"/>
            <wp:effectExtent l="0" t="0" r="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45039" cy="817850"/>
                    </a:xfrm>
                    <a:prstGeom prst="rect">
                      <a:avLst/>
                    </a:prstGeom>
                    <a:noFill/>
                    <a:ln>
                      <a:noFill/>
                    </a:ln>
                  </pic:spPr>
                </pic:pic>
              </a:graphicData>
            </a:graphic>
          </wp:inline>
        </w:drawing>
      </w:r>
    </w:p>
    <w:p>
      <w:r>
        <w:t>Les cellules végétales sont capables de changer de type au cours de la vie de la cellule.</w:t>
      </w:r>
    </w:p>
    <w:p>
      <w:r>
        <w:t>L’étioplaste</w:t>
      </w:r>
      <w:r>
        <w:rPr>
          <w:color w:val="FF0000"/>
        </w:rPr>
        <w:t xml:space="preserve"> </w:t>
      </w:r>
      <w:r>
        <w:t>contient les précurseurs des thylacoïdes sous la forme de corps pro lamellaire.</w:t>
      </w:r>
    </w:p>
    <w:p>
      <w:r>
        <w:t>Les chromoplastes sont notamment impliqués dans les phénomènes de mûrissement des fruits.</w:t>
      </w:r>
    </w:p>
    <w:p>
      <w:r>
        <w:t>En plus d’assurer un rôle de stockage, les leucoplates</w:t>
      </w:r>
      <w:r>
        <w:rPr>
          <w:color w:val="FF0000"/>
        </w:rPr>
        <w:t xml:space="preserve"> </w:t>
      </w:r>
      <w:r>
        <w:t>synthétisent des monoterpènes (rôle de défense) et des acides gras.</w:t>
      </w:r>
    </w:p>
    <w:p>
      <w:pPr>
        <w:pStyle w:val="Titre2"/>
      </w:pPr>
      <w:r>
        <w:t>Chloroplaste</w:t>
      </w:r>
    </w:p>
    <w:p>
      <w:r>
        <w:t>Les chloroplastes réalisent :</w:t>
      </w:r>
    </w:p>
    <w:tbl>
      <w:tblPr>
        <w:tblStyle w:val="Tableausimple1"/>
        <w:tblW w:w="0" w:type="auto"/>
        <w:tblLook w:val="0600" w:firstRow="0" w:lastRow="0" w:firstColumn="0" w:lastColumn="0" w:noHBand="1" w:noVBand="1"/>
      </w:tblPr>
      <w:tblGrid>
        <w:gridCol w:w="3667"/>
        <w:gridCol w:w="3668"/>
      </w:tblGrid>
      <w:tr>
        <w:tc>
          <w:tcPr>
            <w:tcW w:w="3667" w:type="dxa"/>
          </w:tcPr>
          <w:p>
            <w:r>
              <w:t>La photosynthèse</w:t>
            </w:r>
          </w:p>
        </w:tc>
        <w:tc>
          <w:tcPr>
            <w:tcW w:w="3668" w:type="dxa"/>
          </w:tcPr>
          <w:p>
            <w:r>
              <w:t>La fixation du carbone</w:t>
            </w:r>
          </w:p>
        </w:tc>
      </w:tr>
    </w:tbl>
    <w:p>
      <w:pPr>
        <w:pStyle w:val="Titre2"/>
      </w:pPr>
      <w:r>
        <w:t>La photosynthèse</w:t>
      </w:r>
    </w:p>
    <w:p>
      <w:r>
        <w:rPr>
          <w:bCs/>
        </w:rPr>
        <w:t>La photosynthèse est le processus qui transforme l’énergie lumineuse en énergie chimique. Elle se déroule au niveau de la membrane des thylacoïdes</w:t>
      </w:r>
      <w:r>
        <w:t xml:space="preserve">. </w:t>
      </w:r>
    </w:p>
    <w:p>
      <w:r>
        <w:rPr>
          <w:noProof/>
        </w:rPr>
        <w:drawing>
          <wp:inline distT="0" distB="0" distL="0" distR="0">
            <wp:extent cx="3800475" cy="1132386"/>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7027" cy="1137318"/>
                    </a:xfrm>
                    <a:prstGeom prst="rect">
                      <a:avLst/>
                    </a:prstGeom>
                    <a:noFill/>
                    <a:ln>
                      <a:noFill/>
                    </a:ln>
                  </pic:spPr>
                </pic:pic>
              </a:graphicData>
            </a:graphic>
          </wp:inline>
        </w:drawing>
      </w:r>
    </w:p>
    <w:p>
      <w:pPr>
        <w:pStyle w:val="graphique"/>
      </w:pPr>
      <w:r>
        <w:rPr>
          <w:color w:val="FF0000"/>
        </w:rPr>
        <w:t xml:space="preserve">ATP </w:t>
      </w:r>
      <w:r>
        <w:t xml:space="preserve">molécule qui sert à stocker l’énergie. </w:t>
      </w:r>
    </w:p>
    <w:p>
      <w:pPr>
        <w:pStyle w:val="graphique"/>
      </w:pPr>
      <w:r>
        <w:rPr>
          <w:color w:val="FF0000"/>
        </w:rPr>
        <w:t xml:space="preserve">NADPH </w:t>
      </w:r>
      <w:r>
        <w:t>pouvoir réducteur rendre oxydation des molécules.</w:t>
      </w:r>
    </w:p>
    <w:p>
      <w:pPr>
        <w:pStyle w:val="graphique"/>
      </w:pPr>
      <w:r>
        <w:t>Le déchet de cette réaction est le dioxygène.</w:t>
      </w:r>
    </w:p>
    <w:p>
      <w:pPr>
        <w:pStyle w:val="Titre3"/>
      </w:pPr>
      <w:r>
        <w:t>Deux pigments majeurs</w:t>
      </w:r>
    </w:p>
    <w:p>
      <w:r>
        <w:t>L’énergie lumineuse est captée au niveau des antennes collectrices grâce à la chlorophylle qui absorbe la lumière située dans le rouge et le bleu.</w:t>
      </w:r>
    </w:p>
    <w:p>
      <w:r>
        <w:lastRenderedPageBreak/>
        <w:t>Le caroténoïde absorbe dans le vert-violet est utilisé en complément à la chlorophylle. Cette molécule est notamment présente dans la maturation des fruits (orange).</w:t>
      </w:r>
      <w:r>
        <w:tab/>
      </w:r>
    </w:p>
    <w:p>
      <w:pPr>
        <w:pStyle w:val="Titre2"/>
      </w:pPr>
      <w:r>
        <w:rPr>
          <w:noProof/>
        </w:rPr>
        <w:drawing>
          <wp:anchor distT="0" distB="0" distL="114300" distR="114300" simplePos="0" relativeHeight="251681792" behindDoc="0" locked="0" layoutInCell="1" allowOverlap="1">
            <wp:simplePos x="0" y="0"/>
            <wp:positionH relativeFrom="column">
              <wp:posOffset>-123825</wp:posOffset>
            </wp:positionH>
            <wp:positionV relativeFrom="paragraph">
              <wp:posOffset>209550</wp:posOffset>
            </wp:positionV>
            <wp:extent cx="914400" cy="942975"/>
            <wp:effectExtent l="0" t="0" r="0" b="952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4000" b="8952"/>
                    <a:stretch/>
                  </pic:blipFill>
                  <pic:spPr bwMode="auto">
                    <a:xfrm>
                      <a:off x="0" y="0"/>
                      <a:ext cx="914400" cy="942975"/>
                    </a:xfrm>
                    <a:prstGeom prst="rect">
                      <a:avLst/>
                    </a:prstGeom>
                    <a:noFill/>
                    <a:ln>
                      <a:noFill/>
                    </a:ln>
                    <a:extLst>
                      <a:ext uri="{53640926-AAD7-44D8-BBD7-CCE9431645EC}">
                        <a14:shadowObscured xmlns:a14="http://schemas.microsoft.com/office/drawing/2010/main"/>
                      </a:ext>
                    </a:extLst>
                  </pic:spPr>
                </pic:pic>
              </a:graphicData>
            </a:graphic>
          </wp:anchor>
        </w:drawing>
      </w:r>
      <w:r>
        <w:t>Fixation du carbone</w:t>
      </w:r>
    </w:p>
    <w:p>
      <w:r>
        <w:t>La fixation du carbone est réalisée par une enzyme la RubisCo présente dans le stroma. C’est l’enzyme la plus abondante sur Terre.</w:t>
      </w:r>
    </w:p>
    <w:p>
      <w:pPr>
        <w:pStyle w:val="Titre2"/>
      </w:pPr>
    </w:p>
    <w:p>
      <w:pPr>
        <w:pStyle w:val="Titre2"/>
        <w:rPr>
          <w:bCs/>
        </w:rPr>
      </w:pPr>
      <w:r>
        <w:t xml:space="preserve">Acheminement des protéines du </w:t>
      </w:r>
      <w:r>
        <w:rPr>
          <w:bCs/>
        </w:rPr>
        <w:t xml:space="preserve">cytoplasme </w:t>
      </w:r>
      <w:r>
        <w:t xml:space="preserve">au </w:t>
      </w:r>
      <w:r>
        <w:rPr>
          <w:bCs/>
        </w:rPr>
        <w:t>plaste</w:t>
      </w:r>
    </w:p>
    <w:p>
      <w:r>
        <w:t xml:space="preserve">Pour fonctionner le plaste a besoin entre 2500 et 4000 protéines. Il est capable d’en fabriquer 120 protéines grâce à son ADN et importe le reste du cytoplasme. </w:t>
      </w:r>
    </w:p>
    <w:p>
      <w:r>
        <w:rPr>
          <w:noProof/>
        </w:rPr>
        <w:drawing>
          <wp:anchor distT="0" distB="0" distL="114300" distR="114300" simplePos="0" relativeHeight="251680768" behindDoc="0" locked="0" layoutInCell="1" allowOverlap="1">
            <wp:simplePos x="0" y="0"/>
            <wp:positionH relativeFrom="column">
              <wp:posOffset>212</wp:posOffset>
            </wp:positionH>
            <wp:positionV relativeFrom="paragraph">
              <wp:posOffset>3598</wp:posOffset>
            </wp:positionV>
            <wp:extent cx="4657725" cy="1190625"/>
            <wp:effectExtent l="0" t="0" r="9525" b="952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57725" cy="1190625"/>
                    </a:xfrm>
                    <a:prstGeom prst="rect">
                      <a:avLst/>
                    </a:prstGeom>
                    <a:noFill/>
                    <a:ln>
                      <a:noFill/>
                    </a:ln>
                  </pic:spPr>
                </pic:pic>
              </a:graphicData>
            </a:graphic>
          </wp:anchor>
        </w:drawing>
      </w:r>
      <w:r>
        <w:t>Attention : ce sont les membrane des plastes.</w:t>
      </w:r>
    </w:p>
    <w:p>
      <w:pPr>
        <w:pStyle w:val="Titre2"/>
      </w:pPr>
      <w:r>
        <w:t xml:space="preserve">La </w:t>
      </w:r>
      <w:r>
        <w:rPr>
          <w:bCs/>
        </w:rPr>
        <w:t>division</w:t>
      </w:r>
      <w:r>
        <w:t xml:space="preserve"> du plaste</w:t>
      </w:r>
    </w:p>
    <w:p>
      <w:r>
        <w:rPr>
          <w:noProof/>
        </w:rPr>
        <w:drawing>
          <wp:inline distT="0" distB="0" distL="0" distR="0">
            <wp:extent cx="2143125" cy="1100050"/>
            <wp:effectExtent l="0" t="0" r="0" b="508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69846" cy="1113766"/>
                    </a:xfrm>
                    <a:prstGeom prst="rect">
                      <a:avLst/>
                    </a:prstGeom>
                    <a:noFill/>
                    <a:ln>
                      <a:noFill/>
                    </a:ln>
                  </pic:spPr>
                </pic:pic>
              </a:graphicData>
            </a:graphic>
          </wp:inline>
        </w:drawing>
      </w:r>
    </w:p>
    <w:p>
      <w:pPr>
        <w:pStyle w:val="Titre2"/>
      </w:pPr>
      <w:r>
        <w:t xml:space="preserve">La </w:t>
      </w:r>
      <w:r>
        <w:rPr>
          <w:bCs/>
        </w:rPr>
        <w:t>distribution</w:t>
      </w:r>
      <w:r>
        <w:t xml:space="preserve"> des chloroplastes</w:t>
      </w:r>
    </w:p>
    <w:p>
      <w:r>
        <w:t xml:space="preserve">La position des plastes dans la cellule </w:t>
      </w:r>
      <w:proofErr w:type="spellStart"/>
      <w:r>
        <w:t>vari</w:t>
      </w:r>
      <w:proofErr w:type="spellEnd"/>
      <w:r>
        <w:t xml:space="preserve"> en fonction de l’intensité lumineuse.</w:t>
      </w:r>
    </w:p>
    <w:p>
      <w:pPr>
        <w:jc w:val="center"/>
      </w:pPr>
      <w:r>
        <w:rPr>
          <w:noProof/>
        </w:rPr>
        <w:drawing>
          <wp:inline distT="0" distB="0" distL="0" distR="0">
            <wp:extent cx="4105275" cy="1292868"/>
            <wp:effectExtent l="0" t="0" r="0"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30646" cy="1300858"/>
                    </a:xfrm>
                    <a:prstGeom prst="rect">
                      <a:avLst/>
                    </a:prstGeom>
                    <a:noFill/>
                    <a:ln>
                      <a:noFill/>
                    </a:ln>
                  </pic:spPr>
                </pic:pic>
              </a:graphicData>
            </a:graphic>
          </wp:inline>
        </w:drawing>
      </w:r>
    </w:p>
    <w:p>
      <w:pPr>
        <w:pStyle w:val="Titre2"/>
      </w:pPr>
      <w:r>
        <w:t>Résumé des rôles des plastes</w:t>
      </w:r>
    </w:p>
    <w:p>
      <w:pPr>
        <w:pStyle w:val="Paragraphedeliste"/>
        <w:numPr>
          <w:ilvl w:val="0"/>
          <w:numId w:val="18"/>
        </w:numPr>
      </w:pPr>
      <w:r>
        <w:t>Photosynthèse (chloroplaste) : fixation carbone</w:t>
      </w:r>
    </w:p>
    <w:p>
      <w:pPr>
        <w:pStyle w:val="Paragraphedeliste"/>
        <w:numPr>
          <w:ilvl w:val="0"/>
          <w:numId w:val="18"/>
        </w:numPr>
      </w:pPr>
      <w:r>
        <w:t>Métabolisme primaire : métabolisme azote (réduction nitrite, nitrite réductase dans le chloroplaste,) et soufre (réduction soufre, formation cystéine et méthionine).</w:t>
      </w:r>
    </w:p>
    <w:p>
      <w:pPr>
        <w:pStyle w:val="Paragraphedeliste"/>
        <w:numPr>
          <w:ilvl w:val="0"/>
          <w:numId w:val="18"/>
        </w:numPr>
      </w:pPr>
      <w:r>
        <w:t>Stockage (leucoplaste)</w:t>
      </w:r>
    </w:p>
    <w:p>
      <w:pPr>
        <w:pStyle w:val="Paragraphedeliste"/>
        <w:numPr>
          <w:ilvl w:val="0"/>
          <w:numId w:val="18"/>
        </w:numPr>
      </w:pPr>
      <w:r>
        <w:t>Synthèse hormonale (terpène) : acide abscissique, gibbérellines, cytokinines</w:t>
      </w:r>
    </w:p>
    <w:p>
      <w:pPr>
        <w:pStyle w:val="Paragraphedeliste"/>
        <w:numPr>
          <w:ilvl w:val="0"/>
          <w:numId w:val="18"/>
        </w:numPr>
      </w:pPr>
      <w:r>
        <w:t>Synthèse métabolites secondaires : terpènes-caroténoïdes</w:t>
      </w:r>
    </w:p>
    <w:p>
      <w:pPr>
        <w:pStyle w:val="Titre1"/>
      </w:pPr>
      <w:r>
        <w:t>La vacuole</w:t>
      </w:r>
    </w:p>
    <w:p>
      <w:r>
        <w:t>La vacuole sert à :</w:t>
      </w:r>
    </w:p>
    <w:tbl>
      <w:tblPr>
        <w:tblStyle w:val="Tableausimple1"/>
        <w:tblW w:w="5000" w:type="pct"/>
        <w:tblLook w:val="0600" w:firstRow="0" w:lastRow="0" w:firstColumn="0" w:lastColumn="0" w:noHBand="1" w:noVBand="1"/>
      </w:tblPr>
      <w:tblGrid>
        <w:gridCol w:w="3397"/>
        <w:gridCol w:w="3938"/>
      </w:tblGrid>
      <w:tr>
        <w:tc>
          <w:tcPr>
            <w:tcW w:w="3397" w:type="dxa"/>
          </w:tcPr>
          <w:p>
            <w:r>
              <w:t>De lieu de stockage</w:t>
            </w:r>
          </w:p>
        </w:tc>
        <w:tc>
          <w:tcPr>
            <w:tcW w:w="3938" w:type="dxa"/>
          </w:tcPr>
          <w:p>
            <w:r>
              <w:t>À réguler de la pression osmotique</w:t>
            </w:r>
          </w:p>
        </w:tc>
      </w:tr>
    </w:tbl>
    <w:p>
      <w:pPr>
        <w:pStyle w:val="Titre2"/>
      </w:pPr>
      <w:r>
        <w:t xml:space="preserve">La vacuole </w:t>
      </w:r>
    </w:p>
    <w:p>
      <w:r>
        <w:t xml:space="preserve">La vacuole permet de stocker les molécules utiles à la cellule mais non utilisées immédiatement. C’est particulièrement important car les plantes ne sont pas capables de se déplacer lorsque certaines molécules leur manquent. Elles ont recours à lieu de stockage dans la cellule appelé vacuole qui leur permet de stocker notamment : </w:t>
      </w:r>
    </w:p>
    <w:tbl>
      <w:tblPr>
        <w:tblStyle w:val="Grilledetableauclaire"/>
        <w:tblW w:w="5000" w:type="pct"/>
        <w:tblLook w:val="0400" w:firstRow="0" w:lastRow="0" w:firstColumn="0" w:lastColumn="0" w:noHBand="0" w:noVBand="1"/>
      </w:tblPr>
      <w:tblGrid>
        <w:gridCol w:w="3280"/>
        <w:gridCol w:w="4055"/>
      </w:tblGrid>
      <w:tr>
        <w:tc>
          <w:tcPr>
            <w:tcW w:w="2268" w:type="dxa"/>
          </w:tcPr>
          <w:p>
            <w:r>
              <w:lastRenderedPageBreak/>
              <w:t>Journalier (glucose)</w:t>
            </w:r>
          </w:p>
        </w:tc>
        <w:tc>
          <w:tcPr>
            <w:tcW w:w="2804" w:type="dxa"/>
          </w:tcPr>
          <w:p>
            <w:r>
              <w:t>Longue période (ex : bulbe)</w:t>
            </w:r>
          </w:p>
        </w:tc>
      </w:tr>
    </w:tbl>
    <w:p>
      <w:r>
        <w:rPr>
          <w:noProof/>
        </w:rPr>
        <w:drawing>
          <wp:inline distT="0" distB="0" distL="0" distR="0">
            <wp:extent cx="4667250" cy="9715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67250" cy="971550"/>
                    </a:xfrm>
                    <a:prstGeom prst="rect">
                      <a:avLst/>
                    </a:prstGeom>
                    <a:noFill/>
                    <a:ln>
                      <a:noFill/>
                    </a:ln>
                  </pic:spPr>
                </pic:pic>
              </a:graphicData>
            </a:graphic>
          </wp:inline>
        </w:drawing>
      </w:r>
    </w:p>
    <w:p>
      <w:r>
        <w:rPr>
          <w:rStyle w:val="Accentuationlgre"/>
        </w:rPr>
        <w:t>Exemple :</w:t>
      </w:r>
      <w:r>
        <w:t xml:space="preserve"> Anthocyane (pigment violet) présent notamment dans les </w:t>
      </w:r>
      <w:proofErr w:type="spellStart"/>
      <w:r>
        <w:t>mûres</w:t>
      </w:r>
      <w:proofErr w:type="spellEnd"/>
      <w:r>
        <w:t xml:space="preserve"> et le raisin est stocké dans la vacuole.</w:t>
      </w:r>
    </w:p>
    <w:tbl>
      <w:tblPr>
        <w:tblStyle w:val="Grilledetableauclaire"/>
        <w:tblW w:w="0" w:type="auto"/>
        <w:tblLook w:val="0400" w:firstRow="0" w:lastRow="0" w:firstColumn="0" w:lastColumn="0" w:noHBand="0" w:noVBand="1"/>
      </w:tblPr>
      <w:tblGrid>
        <w:gridCol w:w="3667"/>
        <w:gridCol w:w="3668"/>
      </w:tblGrid>
      <w:tr>
        <w:tc>
          <w:tcPr>
            <w:tcW w:w="3667" w:type="dxa"/>
          </w:tcPr>
          <w:p>
            <w:r>
              <w:rPr>
                <w:color w:val="FF0000"/>
              </w:rPr>
              <w:t>Métabolisme primaire</w:t>
            </w:r>
          </w:p>
        </w:tc>
        <w:tc>
          <w:tcPr>
            <w:tcW w:w="3668" w:type="dxa"/>
          </w:tcPr>
          <w:p>
            <w:r>
              <w:rPr>
                <w:color w:val="FF0000"/>
              </w:rPr>
              <w:t xml:space="preserve">Méta. Secondaire </w:t>
            </w:r>
            <w:r>
              <w:t>(spé. végé.)</w:t>
            </w:r>
          </w:p>
        </w:tc>
      </w:tr>
      <w:tr>
        <w:tc>
          <w:tcPr>
            <w:tcW w:w="3667" w:type="dxa"/>
          </w:tcPr>
          <w:p>
            <w:r>
              <w:t>Nécessaire à la survie d’une cellule protéines, lipides et acides nucléiques.</w:t>
            </w:r>
          </w:p>
        </w:tc>
        <w:tc>
          <w:tcPr>
            <w:tcW w:w="3668" w:type="dxa"/>
          </w:tcPr>
          <w:p>
            <w:r>
              <w:t>Non nécessaire à la survie. Il en existe environ 100 000.</w:t>
            </w:r>
          </w:p>
        </w:tc>
      </w:tr>
    </w:tbl>
    <w:p>
      <w:pPr>
        <w:pStyle w:val="Titre2"/>
      </w:pPr>
      <w:r>
        <w:t>La structure de la vacuole</w:t>
      </w:r>
    </w:p>
    <w:tbl>
      <w:tblPr>
        <w:tblStyle w:val="Grilledetableauclaire"/>
        <w:tblW w:w="7366" w:type="dxa"/>
        <w:tblLook w:val="0400" w:firstRow="0" w:lastRow="0" w:firstColumn="0" w:lastColumn="0" w:noHBand="0" w:noVBand="1"/>
      </w:tblPr>
      <w:tblGrid>
        <w:gridCol w:w="3256"/>
        <w:gridCol w:w="4110"/>
      </w:tblGrid>
      <w:tr>
        <w:trPr>
          <w:trHeight w:val="743"/>
        </w:trPr>
        <w:tc>
          <w:tcPr>
            <w:tcW w:w="3256" w:type="dxa"/>
          </w:tcPr>
          <w:p>
            <w:r>
              <w:rPr>
                <w:noProof/>
              </w:rPr>
              <w:drawing>
                <wp:inline distT="0" distB="0" distL="0" distR="0">
                  <wp:extent cx="1684020" cy="564091"/>
                  <wp:effectExtent l="0" t="0" r="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8355" cy="585641"/>
                          </a:xfrm>
                          <a:prstGeom prst="rect">
                            <a:avLst/>
                          </a:prstGeom>
                          <a:noFill/>
                          <a:ln>
                            <a:noFill/>
                          </a:ln>
                        </pic:spPr>
                      </pic:pic>
                    </a:graphicData>
                  </a:graphic>
                </wp:inline>
              </w:drawing>
            </w:r>
          </w:p>
        </w:tc>
        <w:tc>
          <w:tcPr>
            <w:tcW w:w="4110" w:type="dxa"/>
          </w:tcPr>
          <w:p>
            <w:r>
              <w:t>Surface : max 80% de la cellule.</w:t>
            </w:r>
          </w:p>
          <w:p>
            <w:r>
              <w:rPr>
                <w:color w:val="FF0000"/>
              </w:rPr>
              <w:t>Turgescente </w:t>
            </w:r>
            <w:r>
              <w:t xml:space="preserve">pleine (vs </w:t>
            </w:r>
            <w:r>
              <w:rPr>
                <w:color w:val="FF0000"/>
              </w:rPr>
              <w:t>plasmolysée</w:t>
            </w:r>
            <w:r>
              <w:t>)</w:t>
            </w:r>
          </w:p>
        </w:tc>
      </w:tr>
    </w:tbl>
    <w:p>
      <w:pPr>
        <w:pStyle w:val="Titre2"/>
      </w:pPr>
      <w:r>
        <w:t>Formation de la vacuole</w:t>
      </w:r>
    </w:p>
    <w:p>
      <w:r>
        <w:t>La vacuole se forme par la fusion de petites unités produites par l’appareil de Golgi qui fusionnent sous la pression du cytosol.</w:t>
      </w:r>
    </w:p>
    <w:p>
      <w:pPr>
        <w:pStyle w:val="Titre2"/>
      </w:pPr>
      <w:r>
        <w:t>La pression osmotique : réguler la pression hydrique</w:t>
      </w:r>
    </w:p>
    <w:p>
      <w:r>
        <w:rPr>
          <w:rStyle w:val="Accentuation"/>
        </w:rPr>
        <w:t>Pression osmotique</w:t>
      </w:r>
      <w:r>
        <w:t xml:space="preserve"> transfert de solvant (ici eau) à travers une membrane sous l’action du gradient de concentration (ions et molécules). </w:t>
      </w:r>
    </w:p>
    <w:p>
      <w:r>
        <w:rPr>
          <w:u w:val="single"/>
        </w:rPr>
        <w:t>NB :</w:t>
      </w:r>
      <w:r>
        <w:t xml:space="preserve"> Lorsque le nombre de molécules osmotiques augmente, la vacuole retient plus d’eau.</w:t>
      </w:r>
    </w:p>
    <w:p>
      <w:r>
        <w:t>En régulant la quantité d’eau dans la cellule, la vacuole a plusieurs fonctions par exemple :</w:t>
      </w:r>
    </w:p>
    <w:p>
      <w:pPr>
        <w:pStyle w:val="graphique"/>
        <w:numPr>
          <w:ilvl w:val="0"/>
          <w:numId w:val="21"/>
        </w:numPr>
      </w:pPr>
      <w:r>
        <w:t>Le port de la plante. La pression exercée lorsque la vacuole est turgescente maintient la plante droite.</w:t>
      </w:r>
    </w:p>
    <w:p>
      <w:pPr>
        <w:pStyle w:val="graphique"/>
        <w:numPr>
          <w:ilvl w:val="0"/>
          <w:numId w:val="21"/>
        </w:numPr>
      </w:pPr>
      <w:r>
        <w:t xml:space="preserve">Réguler les échanges gazeux. Les stomates, les cellules situées sur les feuilles ouvrent les pores en se replissant d’eau (turgescente) ou les ferment en se vidant (plasmolysée). </w:t>
      </w:r>
    </w:p>
    <w:p>
      <w:pPr>
        <w:pStyle w:val="Titre2"/>
      </w:pPr>
      <w:r>
        <w:t>Acheminement des protéines cytoplasmiques vers la vacuole</w:t>
      </w:r>
    </w:p>
    <w:p>
      <w:r>
        <w:t>Une partie des protéines est directement produite dans la vacuole.</w:t>
      </w:r>
    </w:p>
    <w:p>
      <w:r>
        <w:rPr>
          <w:noProof/>
        </w:rPr>
        <w:drawing>
          <wp:inline distT="0" distB="0" distL="0" distR="0">
            <wp:extent cx="4655820" cy="107442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55820" cy="1074420"/>
                    </a:xfrm>
                    <a:prstGeom prst="rect">
                      <a:avLst/>
                    </a:prstGeom>
                    <a:noFill/>
                    <a:ln>
                      <a:noFill/>
                    </a:ln>
                  </pic:spPr>
                </pic:pic>
              </a:graphicData>
            </a:graphic>
          </wp:inline>
        </w:drawing>
      </w:r>
    </w:p>
    <w:p>
      <w:pPr>
        <w:pStyle w:val="Titre2"/>
      </w:pPr>
      <w:r>
        <w:t>Les transporteurs du tonoplaste</w:t>
      </w:r>
    </w:p>
    <w:p>
      <w:r>
        <w:t>La membrane de la vacuole est parsemée de protéines qui assurent les échanges avec le cytosol.</w:t>
      </w:r>
    </w:p>
    <w:p>
      <w:r>
        <w:rPr>
          <w:noProof/>
        </w:rPr>
        <w:drawing>
          <wp:inline distT="0" distB="0" distL="0" distR="0">
            <wp:extent cx="4655820" cy="131826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55820" cy="1318260"/>
                    </a:xfrm>
                    <a:prstGeom prst="rect">
                      <a:avLst/>
                    </a:prstGeom>
                    <a:noFill/>
                    <a:ln>
                      <a:noFill/>
                    </a:ln>
                  </pic:spPr>
                </pic:pic>
              </a:graphicData>
            </a:graphic>
          </wp:inline>
        </w:drawing>
      </w:r>
    </w:p>
    <w:p>
      <w:r>
        <w:t xml:space="preserve">Dans le cas de l’ATPases vacuolaire, l’échange de molécules se fait par le passage d’un proton H+. </w:t>
      </w:r>
    </w:p>
    <w:p>
      <w:pPr>
        <w:pStyle w:val="Titre2"/>
      </w:pPr>
      <w:r>
        <w:t>Le centre de tris</w:t>
      </w:r>
    </w:p>
    <w:p>
      <w:r>
        <w:rPr>
          <w:noProof/>
        </w:rPr>
        <w:drawing>
          <wp:inline distT="0" distB="0" distL="0" distR="0">
            <wp:extent cx="4659630" cy="922655"/>
            <wp:effectExtent l="0" t="0" r="762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59630" cy="922655"/>
                    </a:xfrm>
                    <a:prstGeom prst="rect">
                      <a:avLst/>
                    </a:prstGeom>
                    <a:noFill/>
                    <a:ln>
                      <a:noFill/>
                    </a:ln>
                  </pic:spPr>
                </pic:pic>
              </a:graphicData>
            </a:graphic>
          </wp:inline>
        </w:drawing>
      </w:r>
    </w:p>
    <w:p>
      <w:r>
        <w:lastRenderedPageBreak/>
        <w:t>En cas de stress, les cellules augmentent le nombre d’autophagie.</w:t>
      </w:r>
    </w:p>
    <w:p>
      <w:pPr>
        <w:pStyle w:val="Titre2"/>
      </w:pPr>
      <w:r>
        <w:t>Méthodologie pour l’étude de document</w:t>
      </w:r>
    </w:p>
    <w:p>
      <w:pPr>
        <w:pStyle w:val="Paragraphedeliste"/>
        <w:numPr>
          <w:ilvl w:val="0"/>
          <w:numId w:val="20"/>
        </w:numPr>
      </w:pPr>
      <w:r>
        <w:t>Titrer et écrire le type de document (image graphique, schéma)</w:t>
      </w:r>
    </w:p>
    <w:p>
      <w:pPr>
        <w:pStyle w:val="Paragraphedeliste"/>
        <w:numPr>
          <w:ilvl w:val="0"/>
          <w:numId w:val="20"/>
        </w:numPr>
      </w:pPr>
      <w:r>
        <w:t>Décrire le document de manière à pouvoir être en mesure de le reproduire.</w:t>
      </w:r>
    </w:p>
    <w:p>
      <w:pPr>
        <w:pStyle w:val="Paragraphedeliste"/>
        <w:numPr>
          <w:ilvl w:val="0"/>
          <w:numId w:val="20"/>
        </w:numPr>
      </w:pPr>
      <w:r>
        <w:t>Analyser en utilisant les éléments présents et les connaissances.</w:t>
      </w:r>
    </w:p>
    <w:p>
      <w:pPr>
        <w:pStyle w:val="Titre1"/>
      </w:pPr>
      <w:r>
        <w:t>La paroi</w:t>
      </w:r>
    </w:p>
    <w:p>
      <w:r>
        <w:rPr>
          <w:rStyle w:val="Accentuation"/>
        </w:rPr>
        <w:t>Protoplaste</w:t>
      </w:r>
      <w:r>
        <w:t xml:space="preserve"> cellule végétale sans paroi.</w:t>
      </w:r>
    </w:p>
    <w:p>
      <w:pPr>
        <w:pStyle w:val="Titre2"/>
      </w:pPr>
      <w:r>
        <w:t>Les rôles de la paroi</w:t>
      </w:r>
    </w:p>
    <w:p>
      <w:r>
        <w:t>La paroi participe à la protection de la cellule notamment contre la pression turgescente. Elle joue également un rôle dans :</w:t>
      </w:r>
    </w:p>
    <w:p>
      <w:pPr>
        <w:pStyle w:val="Paragraphedeliste"/>
        <w:numPr>
          <w:ilvl w:val="0"/>
          <w:numId w:val="11"/>
        </w:numPr>
      </w:pPr>
      <w:r>
        <w:t>La forme des cellules.</w:t>
      </w:r>
    </w:p>
    <w:p>
      <w:pPr>
        <w:pStyle w:val="Paragraphedeliste"/>
        <w:numPr>
          <w:ilvl w:val="0"/>
          <w:numId w:val="11"/>
        </w:numPr>
      </w:pPr>
      <w:r>
        <w:t>Le contrôle de la division et la croissance cellulaires</w:t>
      </w:r>
    </w:p>
    <w:p>
      <w:pPr>
        <w:pStyle w:val="Paragraphedeliste"/>
        <w:numPr>
          <w:ilvl w:val="0"/>
          <w:numId w:val="11"/>
        </w:numPr>
      </w:pPr>
      <w:r>
        <w:t>La morphogenèse de la plante.</w:t>
      </w:r>
    </w:p>
    <w:p>
      <w:pPr>
        <w:pStyle w:val="Paragraphedeliste"/>
        <w:numPr>
          <w:ilvl w:val="0"/>
          <w:numId w:val="11"/>
        </w:numPr>
      </w:pPr>
      <w:r>
        <w:t>L’organisation et l’adhésion cellulaire</w:t>
      </w:r>
    </w:p>
    <w:p>
      <w:pPr>
        <w:pStyle w:val="Titre2"/>
      </w:pPr>
      <w:r>
        <w:t>Adapte aux parties de la plante (diversité)</w:t>
      </w:r>
    </w:p>
    <w:p>
      <w:r>
        <w:t>La fonction de la paroi vari dans le temps et dans l’espace. Ses propriétés dépendent notamment de sa position dans la plante.</w:t>
      </w:r>
    </w:p>
    <w:p>
      <w:r>
        <w:rPr>
          <w:noProof/>
        </w:rPr>
        <w:drawing>
          <wp:inline distT="0" distB="0" distL="0" distR="0">
            <wp:extent cx="2211259" cy="15811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26622" cy="1592135"/>
                    </a:xfrm>
                    <a:prstGeom prst="rect">
                      <a:avLst/>
                    </a:prstGeom>
                    <a:noFill/>
                    <a:ln>
                      <a:noFill/>
                    </a:ln>
                  </pic:spPr>
                </pic:pic>
              </a:graphicData>
            </a:graphic>
          </wp:inline>
        </w:drawing>
      </w:r>
    </w:p>
    <w:p>
      <w:pPr>
        <w:pStyle w:val="Titre2"/>
      </w:pPr>
      <w:r>
        <w:t>Les types de parois</w:t>
      </w:r>
    </w:p>
    <w:tbl>
      <w:tblPr>
        <w:tblStyle w:val="Grilledetableauclaire"/>
        <w:tblW w:w="0" w:type="auto"/>
        <w:tblLook w:val="04A0" w:firstRow="1" w:lastRow="0" w:firstColumn="1" w:lastColumn="0" w:noHBand="0" w:noVBand="1"/>
      </w:tblPr>
      <w:tblGrid>
        <w:gridCol w:w="2063"/>
        <w:gridCol w:w="2468"/>
        <w:gridCol w:w="2804"/>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tcPr>
          <w:p>
            <w:pPr>
              <w:rPr>
                <w:bCs/>
              </w:rPr>
            </w:pPr>
          </w:p>
        </w:tc>
        <w:tc>
          <w:tcPr>
            <w:tcW w:w="2468" w:type="dxa"/>
          </w:tcPr>
          <w:p>
            <w:pPr>
              <w:cnfStyle w:val="100000000000" w:firstRow="1" w:lastRow="0" w:firstColumn="0" w:lastColumn="0" w:oddVBand="0" w:evenVBand="0" w:oddHBand="0" w:evenHBand="0" w:firstRowFirstColumn="0" w:firstRowLastColumn="0" w:lastRowFirstColumn="0" w:lastRowLastColumn="0"/>
              <w:rPr>
                <w:b w:val="0"/>
                <w:bCs/>
              </w:rPr>
            </w:pPr>
            <w:r>
              <w:rPr>
                <w:bCs/>
              </w:rPr>
              <w:t>Primaire</w:t>
            </w:r>
          </w:p>
        </w:tc>
        <w:tc>
          <w:tcPr>
            <w:tcW w:w="2804" w:type="dxa"/>
          </w:tcPr>
          <w:p>
            <w:pPr>
              <w:cnfStyle w:val="100000000000" w:firstRow="1" w:lastRow="0" w:firstColumn="0" w:lastColumn="0" w:oddVBand="0" w:evenVBand="0" w:oddHBand="0" w:evenHBand="0" w:firstRowFirstColumn="0" w:firstRowLastColumn="0" w:lastRowFirstColumn="0" w:lastRowLastColumn="0"/>
              <w:rPr>
                <w:b w:val="0"/>
                <w:bCs/>
              </w:rPr>
            </w:pPr>
            <w:r>
              <w:rPr>
                <w:bCs/>
              </w:rPr>
              <w:t>Secondaire</w:t>
            </w:r>
          </w:p>
        </w:tc>
      </w:tr>
      <w:tr>
        <w:tc>
          <w:tcPr>
            <w:cnfStyle w:val="001000000000" w:firstRow="0" w:lastRow="0" w:firstColumn="1" w:lastColumn="0" w:oddVBand="0" w:evenVBand="0" w:oddHBand="0" w:evenHBand="0" w:firstRowFirstColumn="0" w:firstRowLastColumn="0" w:lastRowFirstColumn="0" w:lastRowLastColumn="0"/>
            <w:tcW w:w="2063" w:type="dxa"/>
          </w:tcPr>
          <w:p>
            <w:r>
              <w:t>Cellule</w:t>
            </w:r>
          </w:p>
        </w:tc>
        <w:tc>
          <w:tcPr>
            <w:tcW w:w="2468" w:type="dxa"/>
          </w:tcPr>
          <w:p>
            <w:pPr>
              <w:cnfStyle w:val="000000000000" w:firstRow="0" w:lastRow="0" w:firstColumn="0" w:lastColumn="0" w:oddVBand="0" w:evenVBand="0" w:oddHBand="0" w:evenHBand="0" w:firstRowFirstColumn="0" w:firstRowLastColumn="0" w:lastRowFirstColumn="0" w:lastRowLastColumn="0"/>
            </w:pPr>
            <w:r>
              <w:t>Jeune</w:t>
            </w:r>
          </w:p>
        </w:tc>
        <w:tc>
          <w:tcPr>
            <w:tcW w:w="2804" w:type="dxa"/>
          </w:tcPr>
          <w:p>
            <w:pPr>
              <w:cnfStyle w:val="000000000000" w:firstRow="0" w:lastRow="0" w:firstColumn="0" w:lastColumn="0" w:oddVBand="0" w:evenVBand="0" w:oddHBand="0" w:evenHBand="0" w:firstRowFirstColumn="0" w:firstRowLastColumn="0" w:lastRowFirstColumn="0" w:lastRowLastColumn="0"/>
            </w:pPr>
            <w:r>
              <w:t xml:space="preserve">Différenciée et spécialisée </w:t>
            </w:r>
          </w:p>
        </w:tc>
      </w:tr>
      <w:tr>
        <w:tc>
          <w:tcPr>
            <w:cnfStyle w:val="001000000000" w:firstRow="0" w:lastRow="0" w:firstColumn="1" w:lastColumn="0" w:oddVBand="0" w:evenVBand="0" w:oddHBand="0" w:evenHBand="0" w:firstRowFirstColumn="0" w:firstRowLastColumn="0" w:lastRowFirstColumn="0" w:lastRowLastColumn="0"/>
            <w:tcW w:w="2063" w:type="dxa"/>
          </w:tcPr>
          <w:p>
            <w:r>
              <w:t>Caractéristique de la paroi</w:t>
            </w:r>
          </w:p>
        </w:tc>
        <w:tc>
          <w:tcPr>
            <w:tcW w:w="2468" w:type="dxa"/>
          </w:tcPr>
          <w:p>
            <w:pPr>
              <w:cnfStyle w:val="000000000000" w:firstRow="0" w:lastRow="0" w:firstColumn="0" w:lastColumn="0" w:oddVBand="0" w:evenVBand="0" w:oddHBand="0" w:evenHBand="0" w:firstRowFirstColumn="0" w:firstRowLastColumn="0" w:lastRowFirstColumn="0" w:lastRowLastColumn="0"/>
            </w:pPr>
            <w:r>
              <w:t>Plastique</w:t>
            </w:r>
          </w:p>
          <w:p>
            <w:pPr>
              <w:cnfStyle w:val="000000000000" w:firstRow="0" w:lastRow="0" w:firstColumn="0" w:lastColumn="0" w:oddVBand="0" w:evenVBand="0" w:oddHBand="0" w:evenHBand="0" w:firstRowFirstColumn="0" w:firstRowLastColumn="0" w:lastRowFirstColumn="0" w:lastRowLastColumn="0"/>
            </w:pPr>
            <w:r>
              <w:t>Extensible</w:t>
            </w:r>
          </w:p>
          <w:p>
            <w:pPr>
              <w:cnfStyle w:val="000000000000" w:firstRow="0" w:lastRow="0" w:firstColumn="0" w:lastColumn="0" w:oddVBand="0" w:evenVBand="0" w:oddHBand="0" w:evenHBand="0" w:firstRowFirstColumn="0" w:firstRowLastColumn="0" w:lastRowFirstColumn="0" w:lastRowLastColumn="0"/>
            </w:pPr>
            <w:r>
              <w:t>Résistant</w:t>
            </w:r>
          </w:p>
        </w:tc>
        <w:tc>
          <w:tcPr>
            <w:tcW w:w="2804" w:type="dxa"/>
          </w:tcPr>
          <w:p>
            <w:pPr>
              <w:cnfStyle w:val="000000000000" w:firstRow="0" w:lastRow="0" w:firstColumn="0" w:lastColumn="0" w:oddVBand="0" w:evenVBand="0" w:oddHBand="0" w:evenHBand="0" w:firstRowFirstColumn="0" w:firstRowLastColumn="0" w:lastRowFirstColumn="0" w:lastRowLastColumn="0"/>
            </w:pPr>
            <w:r>
              <w:t>Rigide</w:t>
            </w:r>
          </w:p>
          <w:p>
            <w:pPr>
              <w:cnfStyle w:val="000000000000" w:firstRow="0" w:lastRow="0" w:firstColumn="0" w:lastColumn="0" w:oddVBand="0" w:evenVBand="0" w:oddHBand="0" w:evenHBand="0" w:firstRowFirstColumn="0" w:firstRowLastColumn="0" w:lastRowFirstColumn="0" w:lastRowLastColumn="0"/>
            </w:pPr>
            <w:r>
              <w:t>Inextensible</w:t>
            </w:r>
          </w:p>
          <w:p>
            <w:pPr>
              <w:cnfStyle w:val="000000000000" w:firstRow="0" w:lastRow="0" w:firstColumn="0" w:lastColumn="0" w:oddVBand="0" w:evenVBand="0" w:oddHBand="0" w:evenHBand="0" w:firstRowFirstColumn="0" w:firstRowLastColumn="0" w:lastRowFirstColumn="0" w:lastRowLastColumn="0"/>
            </w:pPr>
            <w:r>
              <w:t>Épaisse</w:t>
            </w:r>
          </w:p>
        </w:tc>
      </w:tr>
      <w:tr>
        <w:tc>
          <w:tcPr>
            <w:cnfStyle w:val="001000000000" w:firstRow="0" w:lastRow="0" w:firstColumn="1" w:lastColumn="0" w:oddVBand="0" w:evenVBand="0" w:oddHBand="0" w:evenHBand="0" w:firstRowFirstColumn="0" w:firstRowLastColumn="0" w:lastRowFirstColumn="0" w:lastRowLastColumn="0"/>
            <w:tcW w:w="2063" w:type="dxa"/>
          </w:tcPr>
          <w:p>
            <w:r>
              <w:t>Lamelle moyenne</w:t>
            </w:r>
          </w:p>
        </w:tc>
        <w:tc>
          <w:tcPr>
            <w:tcW w:w="2468" w:type="dxa"/>
          </w:tcPr>
          <w:p>
            <w:pPr>
              <w:cnfStyle w:val="000000000000" w:firstRow="0" w:lastRow="0" w:firstColumn="0" w:lastColumn="0" w:oddVBand="0" w:evenVBand="0" w:oddHBand="0" w:evenHBand="0" w:firstRowFirstColumn="0" w:firstRowLastColumn="0" w:lastRowFirstColumn="0" w:lastRowLastColumn="0"/>
            </w:pPr>
            <w:r>
              <w:t>Déformable extensible</w:t>
            </w:r>
          </w:p>
        </w:tc>
        <w:tc>
          <w:tcPr>
            <w:tcW w:w="2804" w:type="dxa"/>
          </w:tcPr>
          <w:p>
            <w:pPr>
              <w:cnfStyle w:val="000000000000" w:firstRow="0" w:lastRow="0" w:firstColumn="0" w:lastColumn="0" w:oddVBand="0" w:evenVBand="0" w:oddHBand="0" w:evenHBand="0" w:firstRowFirstColumn="0" w:firstRowLastColumn="0" w:lastRowFirstColumn="0" w:lastRowLastColumn="0"/>
            </w:pPr>
          </w:p>
        </w:tc>
      </w:tr>
      <w:tr>
        <w:trPr>
          <w:trHeight w:val="340"/>
        </w:trPr>
        <w:tc>
          <w:tcPr>
            <w:cnfStyle w:val="001000000000" w:firstRow="0" w:lastRow="0" w:firstColumn="1" w:lastColumn="0" w:oddVBand="0" w:evenVBand="0" w:oddHBand="0" w:evenHBand="0" w:firstRowFirstColumn="0" w:firstRowLastColumn="0" w:lastRowFirstColumn="0" w:lastRowLastColumn="0"/>
            <w:tcW w:w="2063" w:type="dxa"/>
          </w:tcPr>
          <w:p>
            <w:r>
              <w:t>Jonction</w:t>
            </w:r>
          </w:p>
        </w:tc>
        <w:tc>
          <w:tcPr>
            <w:tcW w:w="2468" w:type="dxa"/>
          </w:tcPr>
          <w:p>
            <w:pPr>
              <w:cnfStyle w:val="000000000000" w:firstRow="0" w:lastRow="0" w:firstColumn="0" w:lastColumn="0" w:oddVBand="0" w:evenVBand="0" w:oddHBand="0" w:evenHBand="0" w:firstRowFirstColumn="0" w:firstRowLastColumn="0" w:lastRowFirstColumn="0" w:lastRowLastColumn="0"/>
            </w:pPr>
            <w:r>
              <w:t xml:space="preserve">Pleine </w:t>
            </w:r>
          </w:p>
        </w:tc>
        <w:tc>
          <w:tcPr>
            <w:tcW w:w="2804" w:type="dxa"/>
          </w:tcPr>
          <w:p>
            <w:pPr>
              <w:cnfStyle w:val="000000000000" w:firstRow="0" w:lastRow="0" w:firstColumn="0" w:lastColumn="0" w:oddVBand="0" w:evenVBand="0" w:oddHBand="0" w:evenHBand="0" w:firstRowFirstColumn="0" w:firstRowLastColumn="0" w:lastRowFirstColumn="0" w:lastRowLastColumn="0"/>
            </w:pPr>
            <w:r>
              <w:t xml:space="preserve">Espace vide appelé méat </w:t>
            </w:r>
          </w:p>
        </w:tc>
      </w:tr>
    </w:tbl>
    <w:p>
      <w:r>
        <w:rPr>
          <w:noProof/>
        </w:rPr>
        <w:drawing>
          <wp:anchor distT="0" distB="0" distL="114300" distR="114300" simplePos="0" relativeHeight="251678720" behindDoc="1" locked="0" layoutInCell="1" allowOverlap="1">
            <wp:simplePos x="0" y="0"/>
            <wp:positionH relativeFrom="column">
              <wp:posOffset>279</wp:posOffset>
            </wp:positionH>
            <wp:positionV relativeFrom="paragraph">
              <wp:posOffset>154305</wp:posOffset>
            </wp:positionV>
            <wp:extent cx="1925053" cy="1118611"/>
            <wp:effectExtent l="0" t="0" r="0" b="5715"/>
            <wp:wrapTight wrapText="bothSides">
              <wp:wrapPolygon edited="0">
                <wp:start x="0" y="0"/>
                <wp:lineTo x="0" y="21342"/>
                <wp:lineTo x="21379" y="21342"/>
                <wp:lineTo x="21379"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25053" cy="1118611"/>
                    </a:xfrm>
                    <a:prstGeom prst="rect">
                      <a:avLst/>
                    </a:prstGeom>
                    <a:noFill/>
                    <a:ln>
                      <a:noFill/>
                    </a:ln>
                  </pic:spPr>
                </pic:pic>
              </a:graphicData>
            </a:graphic>
          </wp:anchor>
        </w:drawing>
      </w:r>
      <w:r>
        <w:t xml:space="preserve"> </w:t>
      </w:r>
    </w:p>
    <w:p>
      <w:r>
        <w:t xml:space="preserve">Les méats permettent les passages de fluides (exemple : eau, air). </w:t>
      </w:r>
    </w:p>
    <w:p>
      <w:pPr>
        <w:pStyle w:val="Titre2"/>
      </w:pPr>
    </w:p>
    <w:p>
      <w:pPr>
        <w:pStyle w:val="Titre2"/>
      </w:pPr>
    </w:p>
    <w:p>
      <w:pPr>
        <w:pStyle w:val="Titre2"/>
      </w:pPr>
      <w:r>
        <w:t>Composition de la paroi primaire</w:t>
      </w:r>
    </w:p>
    <w:p>
      <w:r>
        <w:t>La paroi primaire est composée de :</w:t>
      </w:r>
    </w:p>
    <w:tbl>
      <w:tblPr>
        <w:tblStyle w:val="Tableausimple1"/>
        <w:tblW w:w="0" w:type="auto"/>
        <w:tblLook w:val="0600" w:firstRow="0" w:lastRow="0" w:firstColumn="0" w:lastColumn="0" w:noHBand="1" w:noVBand="1"/>
      </w:tblPr>
      <w:tblGrid>
        <w:gridCol w:w="1555"/>
        <w:gridCol w:w="2112"/>
        <w:gridCol w:w="1834"/>
        <w:gridCol w:w="1834"/>
      </w:tblGrid>
      <w:tr>
        <w:tc>
          <w:tcPr>
            <w:tcW w:w="1555" w:type="dxa"/>
          </w:tcPr>
          <w:p>
            <w:pPr>
              <w:rPr>
                <w:b/>
                <w:bCs/>
              </w:rPr>
            </w:pPr>
            <w:r>
              <w:t>Pectine 25%</w:t>
            </w:r>
          </w:p>
        </w:tc>
        <w:tc>
          <w:tcPr>
            <w:tcW w:w="2112" w:type="dxa"/>
          </w:tcPr>
          <w:p>
            <w:pPr>
              <w:rPr>
                <w:b/>
                <w:bCs/>
              </w:rPr>
            </w:pPr>
            <w:proofErr w:type="spellStart"/>
            <w:r>
              <w:t>Hemicellulose</w:t>
            </w:r>
            <w:proofErr w:type="spellEnd"/>
            <w:r>
              <w:t xml:space="preserve"> 25%</w:t>
            </w:r>
          </w:p>
        </w:tc>
        <w:tc>
          <w:tcPr>
            <w:tcW w:w="1834" w:type="dxa"/>
          </w:tcPr>
          <w:p>
            <w:pPr>
              <w:rPr>
                <w:b/>
                <w:bCs/>
              </w:rPr>
            </w:pPr>
            <w:r>
              <w:t>Cellulose 25%</w:t>
            </w:r>
          </w:p>
        </w:tc>
        <w:tc>
          <w:tcPr>
            <w:tcW w:w="1834" w:type="dxa"/>
          </w:tcPr>
          <w:p>
            <w:r>
              <w:t>Autres</w:t>
            </w:r>
          </w:p>
        </w:tc>
      </w:tr>
    </w:tbl>
    <w:p>
      <w:r>
        <w:t>Les pectines, l’hémicellulose, la cellulose sont des polysaccarides pariétaux c’est-à-dire des molécules dérivées du glucose.</w:t>
      </w:r>
    </w:p>
    <w:p>
      <w:pPr>
        <w:pStyle w:val="Titre3"/>
      </w:pPr>
      <w:r>
        <w:t>La cellulose</w:t>
      </w:r>
    </w:p>
    <w:p>
      <w:r>
        <w:t>La cellulose constitue la charpente pariétale (ossature de la paroi). Elle confère à la paroi 3 propriétés principales :</w:t>
      </w:r>
    </w:p>
    <w:tbl>
      <w:tblPr>
        <w:tblStyle w:val="Grilledetableauclaire"/>
        <w:tblW w:w="0" w:type="auto"/>
        <w:tblLook w:val="0400" w:firstRow="0" w:lastRow="0" w:firstColumn="0" w:lastColumn="0" w:noHBand="0" w:noVBand="1"/>
      </w:tblPr>
      <w:tblGrid>
        <w:gridCol w:w="2445"/>
        <w:gridCol w:w="2937"/>
        <w:gridCol w:w="1953"/>
      </w:tblGrid>
      <w:tr>
        <w:trPr>
          <w:trHeight w:val="263"/>
        </w:trPr>
        <w:tc>
          <w:tcPr>
            <w:tcW w:w="2445" w:type="dxa"/>
          </w:tcPr>
          <w:p>
            <w:r>
              <w:t>Résistance mécanique</w:t>
            </w:r>
          </w:p>
        </w:tc>
        <w:tc>
          <w:tcPr>
            <w:tcW w:w="2937" w:type="dxa"/>
          </w:tcPr>
          <w:p>
            <w:r>
              <w:t>Perméable et insoluble</w:t>
            </w:r>
          </w:p>
        </w:tc>
        <w:tc>
          <w:tcPr>
            <w:tcW w:w="1953" w:type="dxa"/>
          </w:tcPr>
          <w:p>
            <w:r>
              <w:t>Déformable</w:t>
            </w:r>
          </w:p>
        </w:tc>
      </w:tr>
    </w:tbl>
    <w:p>
      <w:r>
        <w:t>La cellulose est un polymère de sucre :</w:t>
      </w:r>
    </w:p>
    <w:p>
      <w:r>
        <w:rPr>
          <w:noProof/>
        </w:rPr>
        <w:drawing>
          <wp:inline distT="0" distB="0" distL="0" distR="0">
            <wp:extent cx="2965837" cy="961533"/>
            <wp:effectExtent l="0" t="0" r="635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94493" cy="970823"/>
                    </a:xfrm>
                    <a:prstGeom prst="rect">
                      <a:avLst/>
                    </a:prstGeom>
                    <a:noFill/>
                    <a:ln>
                      <a:noFill/>
                    </a:ln>
                  </pic:spPr>
                </pic:pic>
              </a:graphicData>
            </a:graphic>
          </wp:inline>
        </w:drawing>
      </w:r>
    </w:p>
    <w:p>
      <w:r>
        <w:lastRenderedPageBreak/>
        <w:t xml:space="preserve"> </w:t>
      </w:r>
      <w:r>
        <w:rPr>
          <w:rStyle w:val="Accentuation"/>
        </w:rPr>
        <w:t>Glycosyltransférases (CESA)</w:t>
      </w:r>
      <w:r>
        <w:t xml:space="preserve"> protéine transmembranaire qui produit la cellulose.</w:t>
      </w:r>
    </w:p>
    <w:tbl>
      <w:tblPr>
        <w:tblStyle w:val="Grilledetableauclaire"/>
        <w:tblW w:w="0" w:type="auto"/>
        <w:tblLook w:val="0400" w:firstRow="0" w:lastRow="0" w:firstColumn="0" w:lastColumn="0" w:noHBand="0" w:noVBand="1"/>
      </w:tblPr>
      <w:tblGrid>
        <w:gridCol w:w="3256"/>
        <w:gridCol w:w="4079"/>
      </w:tblGrid>
      <w:tr>
        <w:tc>
          <w:tcPr>
            <w:tcW w:w="3256" w:type="dxa"/>
          </w:tcPr>
          <w:p>
            <w:r>
              <w:rPr>
                <w:noProof/>
              </w:rPr>
              <w:drawing>
                <wp:inline distT="0" distB="0" distL="0" distR="0">
                  <wp:extent cx="1909818" cy="95673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35225" cy="969461"/>
                          </a:xfrm>
                          <a:prstGeom prst="rect">
                            <a:avLst/>
                          </a:prstGeom>
                          <a:noFill/>
                          <a:ln>
                            <a:noFill/>
                          </a:ln>
                        </pic:spPr>
                      </pic:pic>
                    </a:graphicData>
                  </a:graphic>
                </wp:inline>
              </w:drawing>
            </w:r>
          </w:p>
        </w:tc>
        <w:tc>
          <w:tcPr>
            <w:tcW w:w="4079" w:type="dxa"/>
          </w:tcPr>
          <w:p>
            <w:r>
              <w:rPr>
                <w:noProof/>
              </w:rPr>
              <w:drawing>
                <wp:inline distT="0" distB="0" distL="0" distR="0">
                  <wp:extent cx="1813560" cy="1064260"/>
                  <wp:effectExtent l="0" t="0" r="0" b="254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13560" cy="1064260"/>
                          </a:xfrm>
                          <a:prstGeom prst="rect">
                            <a:avLst/>
                          </a:prstGeom>
                          <a:noFill/>
                          <a:ln>
                            <a:noFill/>
                          </a:ln>
                        </pic:spPr>
                      </pic:pic>
                    </a:graphicData>
                  </a:graphic>
                </wp:inline>
              </w:drawing>
            </w:r>
          </w:p>
        </w:tc>
      </w:tr>
    </w:tbl>
    <w:p>
      <w:r>
        <w:t xml:space="preserve">Les fibres de celluloses sont associées en hexamère pour former des </w:t>
      </w:r>
      <w:r>
        <w:rPr>
          <w:rStyle w:val="Accentuation"/>
        </w:rPr>
        <w:t xml:space="preserve">microfibrilles </w:t>
      </w:r>
      <w:r>
        <w:rPr>
          <w:rStyle w:val="Accentuation"/>
          <w:color w:val="auto"/>
        </w:rPr>
        <w:t>également associées en rosette.</w:t>
      </w:r>
      <w:r>
        <w:t xml:space="preserve"> L’ensemble se déplacent sur la surface de la cellule pour former une structure ordonnée.</w:t>
      </w:r>
    </w:p>
    <w:p>
      <w:r>
        <w:t>La cellulose est difficile à dégrader. Trois enzymes sont nécessaires pour pouvoir séparer les molécules de glucoses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Endocellulose</w:t>
            </w:r>
          </w:p>
        </w:tc>
        <w:tc>
          <w:tcPr>
            <w:tcW w:w="2445" w:type="dxa"/>
          </w:tcPr>
          <w:p>
            <w:r>
              <w:t>Exoglucanase</w:t>
            </w:r>
          </w:p>
        </w:tc>
        <w:tc>
          <w:tcPr>
            <w:tcW w:w="2445" w:type="dxa"/>
          </w:tcPr>
          <w:p>
            <w:r>
              <w:t>Exoglycosidase</w:t>
            </w:r>
          </w:p>
        </w:tc>
      </w:tr>
    </w:tbl>
    <w:p>
      <w:r>
        <w:rPr>
          <w:noProof/>
        </w:rPr>
        <w:drawing>
          <wp:anchor distT="0" distB="0" distL="114300" distR="114300" simplePos="0" relativeHeight="251667456" behindDoc="1" locked="0" layoutInCell="1" allowOverlap="1">
            <wp:simplePos x="0" y="0"/>
            <wp:positionH relativeFrom="column">
              <wp:posOffset>-635</wp:posOffset>
            </wp:positionH>
            <wp:positionV relativeFrom="paragraph">
              <wp:posOffset>111125</wp:posOffset>
            </wp:positionV>
            <wp:extent cx="2628900" cy="1393825"/>
            <wp:effectExtent l="0" t="0" r="0" b="0"/>
            <wp:wrapThrough wrapText="bothSides">
              <wp:wrapPolygon edited="0">
                <wp:start x="0" y="0"/>
                <wp:lineTo x="0" y="21256"/>
                <wp:lineTo x="21443" y="21256"/>
                <wp:lineTo x="21443" y="0"/>
                <wp:lineTo x="0"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28900" cy="1393825"/>
                    </a:xfrm>
                    <a:prstGeom prst="rect">
                      <a:avLst/>
                    </a:prstGeom>
                    <a:noFill/>
                    <a:ln>
                      <a:noFill/>
                    </a:ln>
                  </pic:spPr>
                </pic:pic>
              </a:graphicData>
            </a:graphic>
          </wp:anchor>
        </w:drawing>
      </w:r>
      <w:r>
        <w:t xml:space="preserve"> </w:t>
      </w:r>
    </w:p>
    <w:p>
      <w:r>
        <w:t>L’’hémicellulose forme un réseau qui confère à la structure une résistance à la pression turgescente.</w:t>
      </w:r>
    </w:p>
    <w:p>
      <w:pPr>
        <w:pStyle w:val="Titre3"/>
      </w:pPr>
    </w:p>
    <w:p>
      <w:pPr>
        <w:pStyle w:val="Titre3"/>
      </w:pPr>
    </w:p>
    <w:p>
      <w:pPr>
        <w:pStyle w:val="Titre3"/>
      </w:pPr>
      <w:r>
        <w:t>Hémicellulose</w:t>
      </w:r>
    </w:p>
    <w:p>
      <w:r>
        <w:rPr>
          <w:rStyle w:val="Accentuation"/>
        </w:rPr>
        <w:t>Hémicellulose</w:t>
      </w:r>
      <w:r>
        <w:t xml:space="preserve"> polymère dont l’axe principal est composé soit de </w:t>
      </w:r>
    </w:p>
    <w:tbl>
      <w:tblPr>
        <w:tblStyle w:val="Grilledetableauclaire"/>
        <w:tblW w:w="0" w:type="auto"/>
        <w:tblLook w:val="0600" w:firstRow="0" w:lastRow="0" w:firstColumn="0" w:lastColumn="0" w:noHBand="1" w:noVBand="1"/>
      </w:tblPr>
      <w:tblGrid>
        <w:gridCol w:w="4390"/>
        <w:gridCol w:w="2945"/>
      </w:tblGrid>
      <w:tr>
        <w:tc>
          <w:tcPr>
            <w:tcW w:w="4390" w:type="dxa"/>
          </w:tcPr>
          <w:p>
            <w:r>
              <w:t>Xylose (pour les plantes dicotylédones)</w:t>
            </w:r>
          </w:p>
        </w:tc>
        <w:tc>
          <w:tcPr>
            <w:tcW w:w="2945" w:type="dxa"/>
          </w:tcPr>
          <w:p>
            <w:r>
              <w:t>Glucose</w:t>
            </w:r>
          </w:p>
        </w:tc>
      </w:tr>
    </w:tbl>
    <w:p>
      <w:r>
        <w:t xml:space="preserve">Le xylane est composé de la même molécule que la cellulose ce qui lui permet de s’associer facilement avec les microfibrilles. </w:t>
      </w:r>
    </w:p>
    <w:p>
      <w:r>
        <w:t xml:space="preserve">Il est produit au niveau du Réticulum Endoplasmique </w:t>
      </w:r>
      <w:proofErr w:type="spellStart"/>
      <w:r>
        <w:t>ruGueux</w:t>
      </w:r>
      <w:proofErr w:type="spellEnd"/>
      <w:r>
        <w:t xml:space="preserve"> (REG) et expulsé dans la paroi par exocytose.</w:t>
      </w:r>
    </w:p>
    <w:p>
      <w:pPr>
        <w:pStyle w:val="Titre3"/>
      </w:pPr>
      <w:r>
        <w:t>Pectines</w:t>
      </w:r>
    </w:p>
    <w:p>
      <w:r>
        <w:t>Les pectines permettent :</w:t>
      </w:r>
    </w:p>
    <w:tbl>
      <w:tblPr>
        <w:tblStyle w:val="Tableausimple1"/>
        <w:tblW w:w="0" w:type="auto"/>
        <w:tblLook w:val="0600" w:firstRow="0" w:lastRow="0" w:firstColumn="0" w:lastColumn="0" w:noHBand="1" w:noVBand="1"/>
      </w:tblPr>
      <w:tblGrid>
        <w:gridCol w:w="2122"/>
        <w:gridCol w:w="2768"/>
        <w:gridCol w:w="2445"/>
      </w:tblGrid>
      <w:tr>
        <w:tc>
          <w:tcPr>
            <w:tcW w:w="2122" w:type="dxa"/>
          </w:tcPr>
          <w:p>
            <w:r>
              <w:t>L’adhésion cellulaire</w:t>
            </w:r>
          </w:p>
        </w:tc>
        <w:tc>
          <w:tcPr>
            <w:tcW w:w="2768" w:type="dxa"/>
          </w:tcPr>
          <w:p>
            <w:r>
              <w:t>Contrôle de la porosité (rend la paroi hydrophile).</w:t>
            </w:r>
          </w:p>
        </w:tc>
        <w:tc>
          <w:tcPr>
            <w:tcW w:w="2445" w:type="dxa"/>
          </w:tcPr>
          <w:p>
            <w:r>
              <w:t>Contrôle des molécules chargées.</w:t>
            </w:r>
          </w:p>
        </w:tc>
      </w:tr>
    </w:tbl>
    <w:p>
      <w:r>
        <w:t>Les pectines sont les constituants principaux de la lamelle moyenne. Ils se présentent sous forme de gel et ils sont produits au niveau du REG puis expulsés par exocytose. Ils sont composés d’un mélange de polysaccharides (sucres) branchés et forme un milieu très hydrophile.</w:t>
      </w:r>
    </w:p>
    <w:p>
      <w:r>
        <w:t xml:space="preserve">Il existe 3 polysaccharides pectiques présent dans toutes les parois primaires : </w:t>
      </w:r>
      <w:proofErr w:type="spellStart"/>
      <w:r>
        <w:t>homogalacturonanes</w:t>
      </w:r>
      <w:proofErr w:type="spellEnd"/>
      <w:r>
        <w:t xml:space="preserve">, </w:t>
      </w:r>
      <w:proofErr w:type="spellStart"/>
      <w:r>
        <w:t>rhamnogalacturonanes</w:t>
      </w:r>
      <w:proofErr w:type="spellEnd"/>
      <w:r>
        <w:t xml:space="preserve"> I (introduit un coude), et </w:t>
      </w:r>
      <w:proofErr w:type="spellStart"/>
      <w:r>
        <w:t>rhamnogalacturonanes</w:t>
      </w:r>
      <w:proofErr w:type="spellEnd"/>
      <w:r>
        <w:t xml:space="preserve"> II</w:t>
      </w:r>
    </w:p>
    <w:p>
      <w:pPr>
        <w:pStyle w:val="Titre3"/>
      </w:pPr>
      <w:r>
        <w:t>Les protéines pariétales</w:t>
      </w:r>
    </w:p>
    <w:p>
      <w:r>
        <w:t>Quelques protéines pariétales notables :</w:t>
      </w:r>
    </w:p>
    <w:tbl>
      <w:tblPr>
        <w:tblStyle w:val="Grilledetableauclaire"/>
        <w:tblW w:w="0" w:type="auto"/>
        <w:tblLook w:val="0600" w:firstRow="0" w:lastRow="0" w:firstColumn="0" w:lastColumn="0" w:noHBand="1" w:noVBand="1"/>
      </w:tblPr>
      <w:tblGrid>
        <w:gridCol w:w="1830"/>
        <w:gridCol w:w="5505"/>
      </w:tblGrid>
      <w:tr>
        <w:tc>
          <w:tcPr>
            <w:tcW w:w="1830" w:type="dxa"/>
          </w:tcPr>
          <w:p>
            <w:r>
              <w:t>Hydroxyprolines (HRGP)</w:t>
            </w:r>
          </w:p>
        </w:tc>
        <w:tc>
          <w:tcPr>
            <w:tcW w:w="5505" w:type="dxa"/>
          </w:tcPr>
          <w:p>
            <w:r>
              <w:t>Qui inhibe la plasticité du réseau polysaccharidique à la fin de la croissance cellulaire.</w:t>
            </w:r>
          </w:p>
        </w:tc>
      </w:tr>
      <w:tr>
        <w:tc>
          <w:tcPr>
            <w:tcW w:w="1830" w:type="dxa"/>
          </w:tcPr>
          <w:p>
            <w:r>
              <w:t>Thréonines (HTRGP)</w:t>
            </w:r>
          </w:p>
        </w:tc>
        <w:tc>
          <w:tcPr>
            <w:tcW w:w="5505" w:type="dxa"/>
          </w:tcPr>
          <w:p>
            <w:r>
              <w:t>Qui renforce de manière irréversible la paroi en formant des ponts iso di-tyrosines</w:t>
            </w:r>
          </w:p>
        </w:tc>
      </w:tr>
    </w:tbl>
    <w:p>
      <w:proofErr w:type="spellStart"/>
      <w:r>
        <w:t>Arabino-galactates</w:t>
      </w:r>
      <w:proofErr w:type="spellEnd"/>
      <w:r>
        <w:t xml:space="preserve"> (</w:t>
      </w:r>
      <w:proofErr w:type="spellStart"/>
      <w:r>
        <w:t>AGPs</w:t>
      </w:r>
      <w:proofErr w:type="spellEnd"/>
      <w:r>
        <w:t xml:space="preserve">), Glycine (GRP), Prolines (PRP). </w:t>
      </w:r>
    </w:p>
    <w:p>
      <w:pPr>
        <w:pStyle w:val="Titre2"/>
      </w:pPr>
      <w:r>
        <w:t>Paroi et croissance de la plante</w:t>
      </w:r>
    </w:p>
    <w:p>
      <w:r>
        <w:t>La croissance de la plante est le résultat d’au moins un des mécanismes suivants :</w:t>
      </w:r>
    </w:p>
    <w:tbl>
      <w:tblPr>
        <w:tblStyle w:val="Grilledetableauclaire"/>
        <w:tblW w:w="0" w:type="auto"/>
        <w:tblLook w:val="0400" w:firstRow="0" w:lastRow="0" w:firstColumn="0" w:lastColumn="0" w:noHBand="0" w:noVBand="1"/>
      </w:tblPr>
      <w:tblGrid>
        <w:gridCol w:w="3667"/>
        <w:gridCol w:w="3668"/>
      </w:tblGrid>
      <w:tr>
        <w:tc>
          <w:tcPr>
            <w:tcW w:w="3667" w:type="dxa"/>
          </w:tcPr>
          <w:p>
            <w:r>
              <w:t>La multiplication des cellules</w:t>
            </w:r>
          </w:p>
        </w:tc>
        <w:tc>
          <w:tcPr>
            <w:tcW w:w="3668" w:type="dxa"/>
          </w:tcPr>
          <w:p>
            <w:r>
              <w:t>L’agrandissement de la taille des cellules</w:t>
            </w:r>
          </w:p>
        </w:tc>
      </w:tr>
    </w:tbl>
    <w:p>
      <w:r>
        <w:rPr>
          <w:rStyle w:val="Accentuation"/>
        </w:rPr>
        <w:t>Cytosquelette</w:t>
      </w:r>
      <w:r>
        <w:t xml:space="preserve"> réseau complexe de filaments protéiques qui s’étendent à travers le cytosol. Il est impliqué dans :</w:t>
      </w:r>
    </w:p>
    <w:tbl>
      <w:tblPr>
        <w:tblStyle w:val="Tableausimple1"/>
        <w:tblW w:w="0" w:type="auto"/>
        <w:tblLook w:val="0600" w:firstRow="0" w:lastRow="0" w:firstColumn="0" w:lastColumn="0" w:noHBand="1" w:noVBand="1"/>
      </w:tblPr>
      <w:tblGrid>
        <w:gridCol w:w="2445"/>
        <w:gridCol w:w="2445"/>
        <w:gridCol w:w="2445"/>
      </w:tblGrid>
      <w:tr>
        <w:tc>
          <w:tcPr>
            <w:tcW w:w="2445" w:type="dxa"/>
          </w:tcPr>
          <w:p>
            <w:r>
              <w:t>La division cellulaire</w:t>
            </w:r>
          </w:p>
        </w:tc>
        <w:tc>
          <w:tcPr>
            <w:tcW w:w="2445" w:type="dxa"/>
          </w:tcPr>
          <w:p>
            <w:r>
              <w:t>La croissance et la différenciation</w:t>
            </w:r>
          </w:p>
        </w:tc>
        <w:tc>
          <w:tcPr>
            <w:tcW w:w="2445" w:type="dxa"/>
          </w:tcPr>
          <w:p>
            <w:r>
              <w:t>Le déplacement des organites</w:t>
            </w:r>
          </w:p>
        </w:tc>
      </w:tr>
    </w:tbl>
    <w:p>
      <w:pPr>
        <w:pStyle w:val="Titre3"/>
      </w:pPr>
      <w:r>
        <w:lastRenderedPageBreak/>
        <w:t>Division cellulaire</w:t>
      </w:r>
    </w:p>
    <w:p>
      <w:r>
        <w:rPr>
          <w:rStyle w:val="Accentuation"/>
        </w:rPr>
        <w:t>Méristème</w:t>
      </w:r>
      <w:r>
        <w:t xml:space="preserve"> tissu végétal indifférencié dont les cellules sont capables de se multiplier par mitose. Il assure la formation de nouveaux</w:t>
      </w:r>
    </w:p>
    <w:tbl>
      <w:tblPr>
        <w:tblStyle w:val="Tableausimple1"/>
        <w:tblW w:w="0" w:type="auto"/>
        <w:tblLook w:val="0600" w:firstRow="0" w:lastRow="0" w:firstColumn="0" w:lastColumn="0" w:noHBand="1" w:noVBand="1"/>
      </w:tblPr>
      <w:tblGrid>
        <w:gridCol w:w="3667"/>
        <w:gridCol w:w="3668"/>
      </w:tblGrid>
      <w:tr>
        <w:tc>
          <w:tcPr>
            <w:tcW w:w="3667" w:type="dxa"/>
          </w:tcPr>
          <w:p>
            <w:r>
              <w:t>Tissus (histogenèse)</w:t>
            </w:r>
          </w:p>
        </w:tc>
        <w:tc>
          <w:tcPr>
            <w:tcW w:w="3668" w:type="dxa"/>
          </w:tcPr>
          <w:p>
            <w:r>
              <w:t>Organes (organogenèse).</w:t>
            </w:r>
          </w:p>
        </w:tc>
      </w:tr>
    </w:tbl>
    <w:p>
      <w:r>
        <w:t>Il en existe de deux types de cellules méristématiques, les méristèmes :</w:t>
      </w:r>
    </w:p>
    <w:tbl>
      <w:tblPr>
        <w:tblStyle w:val="Grilledetableauclaire"/>
        <w:tblW w:w="0" w:type="auto"/>
        <w:tblLook w:val="0400" w:firstRow="0" w:lastRow="0" w:firstColumn="0" w:lastColumn="0" w:noHBand="0" w:noVBand="1"/>
      </w:tblPr>
      <w:tblGrid>
        <w:gridCol w:w="3667"/>
        <w:gridCol w:w="3668"/>
      </w:tblGrid>
      <w:tr>
        <w:tc>
          <w:tcPr>
            <w:tcW w:w="3667" w:type="dxa"/>
          </w:tcPr>
          <w:p>
            <w:r>
              <w:t>Racinaires</w:t>
            </w:r>
          </w:p>
        </w:tc>
        <w:tc>
          <w:tcPr>
            <w:tcW w:w="3668" w:type="dxa"/>
          </w:tcPr>
          <w:p>
            <w:r>
              <w:t>Caulinaires</w:t>
            </w:r>
          </w:p>
        </w:tc>
      </w:tr>
    </w:tbl>
    <w:p>
      <w:r>
        <w:t>Les cellules indifférenciées possèdent des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pPr>
              <w:rPr>
                <w:bCs/>
              </w:rPr>
            </w:pPr>
            <w:r>
              <w:rPr>
                <w:bCs/>
              </w:rPr>
              <w:t>Pro vacuoles</w:t>
            </w:r>
          </w:p>
        </w:tc>
        <w:tc>
          <w:tcPr>
            <w:tcW w:w="2445" w:type="dxa"/>
          </w:tcPr>
          <w:p>
            <w:pPr>
              <w:rPr>
                <w:bCs/>
              </w:rPr>
            </w:pPr>
            <w:r>
              <w:rPr>
                <w:bCs/>
              </w:rPr>
              <w:t>Proplastes</w:t>
            </w:r>
          </w:p>
        </w:tc>
        <w:tc>
          <w:tcPr>
            <w:tcW w:w="2445" w:type="dxa"/>
          </w:tcPr>
          <w:p>
            <w:pPr>
              <w:rPr>
                <w:bCs/>
              </w:rPr>
            </w:pPr>
            <w:r>
              <w:rPr>
                <w:bCs/>
              </w:rPr>
              <w:t>Plasmodesmes</w:t>
            </w:r>
          </w:p>
        </w:tc>
      </w:tr>
    </w:tbl>
    <w:p>
      <w:pPr>
        <w:pStyle w:val="Titre3"/>
      </w:pPr>
      <w:r>
        <w:t>Agrandissement des cellules (la théorie de la croissance acide)</w:t>
      </w:r>
    </w:p>
    <w:p>
      <w:r>
        <w:rPr>
          <w:rStyle w:val="Accentuation"/>
        </w:rPr>
        <w:t>Auxine</w:t>
      </w:r>
      <w:r>
        <w:t xml:space="preserve"> hormone de croissance qui induit la croissance de la cellule.</w:t>
      </w:r>
    </w:p>
    <w:p>
      <w:r>
        <w:rPr>
          <w:noProof/>
        </w:rPr>
        <w:drawing>
          <wp:inline distT="0" distB="0" distL="0" distR="0">
            <wp:extent cx="4310180" cy="3338623"/>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38326" cy="3360425"/>
                    </a:xfrm>
                    <a:prstGeom prst="rect">
                      <a:avLst/>
                    </a:prstGeom>
                    <a:noFill/>
                    <a:ln>
                      <a:noFill/>
                    </a:ln>
                  </pic:spPr>
                </pic:pic>
              </a:graphicData>
            </a:graphic>
          </wp:inline>
        </w:drawing>
      </w:r>
    </w:p>
    <w:p>
      <w:r>
        <w:rPr>
          <w:rStyle w:val="Accentuation"/>
        </w:rPr>
        <w:t>Expansive</w:t>
      </w:r>
      <w:r>
        <w:t xml:space="preserve"> protéine responsable de l’expansion pariétale.</w:t>
      </w:r>
    </w:p>
    <w:p>
      <w:pPr>
        <w:pStyle w:val="Titre2"/>
      </w:pPr>
      <w:r>
        <w:t>Paroi secondaire</w:t>
      </w:r>
    </w:p>
    <w:p>
      <w:r>
        <w:t>Type deux substances sont ajoutées à la paroi :</w:t>
      </w:r>
    </w:p>
    <w:tbl>
      <w:tblPr>
        <w:tblStyle w:val="Grilledetableauclaire"/>
        <w:tblW w:w="0" w:type="auto"/>
        <w:tblLook w:val="04A0" w:firstRow="1" w:lastRow="0" w:firstColumn="1" w:lastColumn="0" w:noHBand="0" w:noVBand="1"/>
      </w:tblPr>
      <w:tblGrid>
        <w:gridCol w:w="1800"/>
        <w:gridCol w:w="2826"/>
        <w:gridCol w:w="2709"/>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tc>
        <w:tc>
          <w:tcPr>
            <w:tcW w:w="2826" w:type="dxa"/>
          </w:tcPr>
          <w:p>
            <w:pPr>
              <w:cnfStyle w:val="100000000000" w:firstRow="1" w:lastRow="0" w:firstColumn="0" w:lastColumn="0" w:oddVBand="0" w:evenVBand="0" w:oddHBand="0" w:evenHBand="0" w:firstRowFirstColumn="0" w:firstRowLastColumn="0" w:lastRowFirstColumn="0" w:lastRowLastColumn="0"/>
            </w:pPr>
            <w:r>
              <w:t>Incrustation</w:t>
            </w:r>
          </w:p>
        </w:tc>
        <w:tc>
          <w:tcPr>
            <w:tcW w:w="2709" w:type="dxa"/>
          </w:tcPr>
          <w:p>
            <w:pPr>
              <w:cnfStyle w:val="100000000000" w:firstRow="1" w:lastRow="0" w:firstColumn="0" w:lastColumn="0" w:oddVBand="0" w:evenVBand="0" w:oddHBand="0" w:evenHBand="0" w:firstRowFirstColumn="0" w:firstRowLastColumn="0" w:lastRowFirstColumn="0" w:lastRowLastColumn="0"/>
            </w:pPr>
            <w:r>
              <w:t>Adcrustation</w:t>
            </w:r>
          </w:p>
        </w:tc>
      </w:tr>
      <w:tr>
        <w:tc>
          <w:tcPr>
            <w:cnfStyle w:val="001000000000" w:firstRow="0" w:lastRow="0" w:firstColumn="1" w:lastColumn="0" w:oddVBand="0" w:evenVBand="0" w:oddHBand="0" w:evenHBand="0" w:firstRowFirstColumn="0" w:firstRowLastColumn="0" w:lastRowFirstColumn="0" w:lastRowLastColumn="0"/>
            <w:tcW w:w="1800" w:type="dxa"/>
          </w:tcPr>
          <w:p>
            <w:r>
              <w:t>Zone</w:t>
            </w:r>
          </w:p>
        </w:tc>
        <w:tc>
          <w:tcPr>
            <w:tcW w:w="2826" w:type="dxa"/>
          </w:tcPr>
          <w:p>
            <w:pPr>
              <w:cnfStyle w:val="000000000000" w:firstRow="0" w:lastRow="0" w:firstColumn="0" w:lastColumn="0" w:oddVBand="0" w:evenVBand="0" w:oddHBand="0" w:evenHBand="0" w:firstRowFirstColumn="0" w:firstRowLastColumn="0" w:lastRowFirstColumn="0" w:lastRowLastColumn="0"/>
            </w:pPr>
            <w:r>
              <w:t>Matrice pariétale</w:t>
            </w:r>
          </w:p>
        </w:tc>
        <w:tc>
          <w:tcPr>
            <w:tcW w:w="2709" w:type="dxa"/>
          </w:tcPr>
          <w:p>
            <w:pPr>
              <w:cnfStyle w:val="000000000000" w:firstRow="0" w:lastRow="0" w:firstColumn="0" w:lastColumn="0" w:oddVBand="0" w:evenVBand="0" w:oddHBand="0" w:evenHBand="0" w:firstRowFirstColumn="0" w:firstRowLastColumn="0" w:lastRowFirstColumn="0" w:lastRowLastColumn="0"/>
            </w:pPr>
            <w:r>
              <w:t>Entre membrane plasmique et paroi ou l’extérieur de la paroi</w:t>
            </w:r>
          </w:p>
        </w:tc>
      </w:tr>
      <w:tr>
        <w:tc>
          <w:tcPr>
            <w:cnfStyle w:val="001000000000" w:firstRow="0" w:lastRow="0" w:firstColumn="1" w:lastColumn="0" w:oddVBand="0" w:evenVBand="0" w:oddHBand="0" w:evenHBand="0" w:firstRowFirstColumn="0" w:firstRowLastColumn="0" w:lastRowFirstColumn="0" w:lastRowLastColumn="0"/>
            <w:tcW w:w="1800" w:type="dxa"/>
          </w:tcPr>
          <w:p>
            <w:r>
              <w:t>Rôle</w:t>
            </w:r>
          </w:p>
        </w:tc>
        <w:tc>
          <w:tcPr>
            <w:tcW w:w="2826" w:type="dxa"/>
          </w:tcPr>
          <w:p>
            <w:pPr>
              <w:cnfStyle w:val="000000000000" w:firstRow="0" w:lastRow="0" w:firstColumn="0" w:lastColumn="0" w:oddVBand="0" w:evenVBand="0" w:oddHBand="0" w:evenHBand="0" w:firstRowFirstColumn="0" w:firstRowLastColumn="0" w:lastRowFirstColumn="0" w:lastRowLastColumn="0"/>
            </w:pPr>
            <w:r>
              <w:t>Rigidification,</w:t>
            </w:r>
          </w:p>
          <w:p>
            <w:pPr>
              <w:cnfStyle w:val="000000000000" w:firstRow="0" w:lastRow="0" w:firstColumn="0" w:lastColumn="0" w:oddVBand="0" w:evenVBand="0" w:oddHBand="0" w:evenHBand="0" w:firstRowFirstColumn="0" w:firstRowLastColumn="0" w:lastRowFirstColumn="0" w:lastRowLastColumn="0"/>
            </w:pPr>
            <w:r>
              <w:t>Imperméabilisation paroi</w:t>
            </w:r>
          </w:p>
        </w:tc>
        <w:tc>
          <w:tcPr>
            <w:tcW w:w="2709" w:type="dxa"/>
          </w:tcPr>
          <w:p>
            <w:pPr>
              <w:cnfStyle w:val="000000000000" w:firstRow="0" w:lastRow="0" w:firstColumn="0" w:lastColumn="0" w:oddVBand="0" w:evenVBand="0" w:oddHBand="0" w:evenHBand="0" w:firstRowFirstColumn="0" w:firstRowLastColumn="0" w:lastRowFirstColumn="0" w:lastRowLastColumn="0"/>
            </w:pPr>
            <w:r>
              <w:t>Dev et maturation des fruits</w:t>
            </w:r>
          </w:p>
          <w:p>
            <w:pPr>
              <w:cnfStyle w:val="000000000000" w:firstRow="0" w:lastRow="0" w:firstColumn="0" w:lastColumn="0" w:oddVBand="0" w:evenVBand="0" w:oddHBand="0" w:evenHBand="0" w:firstRowFirstColumn="0" w:firstRowLastColumn="0" w:lastRowFirstColumn="0" w:lastRowLastColumn="0"/>
            </w:pPr>
            <w:r>
              <w:t>Abscission</w:t>
            </w:r>
          </w:p>
        </w:tc>
      </w:tr>
      <w:tr>
        <w:tc>
          <w:tcPr>
            <w:cnfStyle w:val="001000000000" w:firstRow="0" w:lastRow="0" w:firstColumn="1" w:lastColumn="0" w:oddVBand="0" w:evenVBand="0" w:oddHBand="0" w:evenHBand="0" w:firstRowFirstColumn="0" w:firstRowLastColumn="0" w:lastRowFirstColumn="0" w:lastRowLastColumn="0"/>
            <w:tcW w:w="1800" w:type="dxa"/>
          </w:tcPr>
          <w:p>
            <w:r>
              <w:t>Exemple</w:t>
            </w:r>
          </w:p>
        </w:tc>
        <w:tc>
          <w:tcPr>
            <w:tcW w:w="2826" w:type="dxa"/>
          </w:tcPr>
          <w:p>
            <w:pPr>
              <w:cnfStyle w:val="000000000000" w:firstRow="0" w:lastRow="0" w:firstColumn="0" w:lastColumn="0" w:oddVBand="0" w:evenVBand="0" w:oddHBand="0" w:evenHBand="0" w:firstRowFirstColumn="0" w:firstRowLastColumn="0" w:lastRowFirstColumn="0" w:lastRowLastColumn="0"/>
            </w:pPr>
            <w:r>
              <w:t>Lignine, minéraux, cutine, subérine</w:t>
            </w:r>
          </w:p>
        </w:tc>
        <w:tc>
          <w:tcPr>
            <w:tcW w:w="2709" w:type="dxa"/>
          </w:tcPr>
          <w:p>
            <w:pPr>
              <w:cnfStyle w:val="000000000000" w:firstRow="0" w:lastRow="0" w:firstColumn="0" w:lastColumn="0" w:oddVBand="0" w:evenVBand="0" w:oddHBand="0" w:evenHBand="0" w:firstRowFirstColumn="0" w:firstRowLastColumn="0" w:lastRowFirstColumn="0" w:lastRowLastColumn="0"/>
            </w:pPr>
            <w:r>
              <w:t>Teneur importante en pectine (hydrophile)</w:t>
            </w:r>
          </w:p>
        </w:tc>
      </w:tr>
    </w:tbl>
    <w:p>
      <w:pPr>
        <w:pStyle w:val="Titre2"/>
      </w:pPr>
      <w:r>
        <w:t>Lignine</w:t>
      </w:r>
    </w:p>
    <w:p>
      <w:r>
        <w:t>La lignine est le 2ème polymère le plus abondant sur Terre. Il confère à la plante :</w:t>
      </w:r>
    </w:p>
    <w:tbl>
      <w:tblPr>
        <w:tblStyle w:val="Tableausimple1"/>
        <w:tblW w:w="0" w:type="auto"/>
        <w:tblLook w:val="0600" w:firstRow="0" w:lastRow="0" w:firstColumn="0" w:lastColumn="0" w:noHBand="1" w:noVBand="1"/>
      </w:tblPr>
      <w:tblGrid>
        <w:gridCol w:w="1838"/>
        <w:gridCol w:w="3052"/>
        <w:gridCol w:w="2445"/>
      </w:tblGrid>
      <w:tr>
        <w:tc>
          <w:tcPr>
            <w:tcW w:w="1838" w:type="dxa"/>
          </w:tcPr>
          <w:p>
            <w:r>
              <w:t>Un port dressé</w:t>
            </w:r>
          </w:p>
        </w:tc>
        <w:tc>
          <w:tcPr>
            <w:tcW w:w="3052" w:type="dxa"/>
          </w:tcPr>
          <w:p>
            <w:r>
              <w:t>Une conductance de la sève vers les parties aériennes</w:t>
            </w:r>
          </w:p>
        </w:tc>
        <w:tc>
          <w:tcPr>
            <w:tcW w:w="2445" w:type="dxa"/>
          </w:tcPr>
          <w:p>
            <w:r>
              <w:t>Une structure rigide et cassante</w:t>
            </w:r>
          </w:p>
        </w:tc>
      </w:tr>
    </w:tbl>
    <w:p>
      <w:r>
        <w:t>C’est elle qui donne une couleur jaune marron au bois.</w:t>
      </w:r>
    </w:p>
    <w:p>
      <w:pPr>
        <w:pStyle w:val="Titre3"/>
      </w:pPr>
      <w:r>
        <w:t>Synthèse de la linine</w:t>
      </w:r>
    </w:p>
    <w:p>
      <w:r>
        <w:t>La copolymérisation forme un réseau infini et non répétitif de :</w:t>
      </w:r>
    </w:p>
    <w:tbl>
      <w:tblPr>
        <w:tblStyle w:val="Grilledetableauclaire"/>
        <w:tblW w:w="0" w:type="auto"/>
        <w:tblLook w:val="0420" w:firstRow="1" w:lastRow="0" w:firstColumn="0" w:lastColumn="0" w:noHBand="0" w:noVBand="1"/>
      </w:tblPr>
      <w:tblGrid>
        <w:gridCol w:w="1129"/>
        <w:gridCol w:w="3261"/>
        <w:gridCol w:w="2945"/>
      </w:tblGrid>
      <w:tr>
        <w:trPr>
          <w:cnfStyle w:val="100000000000" w:firstRow="1" w:lastRow="0" w:firstColumn="0" w:lastColumn="0" w:oddVBand="0" w:evenVBand="0" w:oddHBand="0" w:evenHBand="0" w:firstRowFirstColumn="0" w:firstRowLastColumn="0" w:lastRowFirstColumn="0" w:lastRowLastColumn="0"/>
        </w:trPr>
        <w:tc>
          <w:tcPr>
            <w:tcW w:w="1129" w:type="dxa"/>
          </w:tcPr>
          <w:p>
            <w:r>
              <w:t>Type de linine</w:t>
            </w:r>
          </w:p>
        </w:tc>
        <w:tc>
          <w:tcPr>
            <w:tcW w:w="3261" w:type="dxa"/>
          </w:tcPr>
          <w:p>
            <w:r>
              <w:t>Chaine principale de type alcool cinnamiques</w:t>
            </w:r>
          </w:p>
        </w:tc>
        <w:tc>
          <w:tcPr>
            <w:tcW w:w="2945" w:type="dxa"/>
          </w:tcPr>
          <w:p>
            <w:r>
              <w:t>Présent majoritairement chez</w:t>
            </w:r>
          </w:p>
        </w:tc>
      </w:tr>
      <w:tr>
        <w:tc>
          <w:tcPr>
            <w:tcW w:w="1129" w:type="dxa"/>
          </w:tcPr>
          <w:p>
            <w:r>
              <w:t>H</w:t>
            </w:r>
          </w:p>
        </w:tc>
        <w:tc>
          <w:tcPr>
            <w:tcW w:w="3261" w:type="dxa"/>
          </w:tcPr>
          <w:p>
            <w:r>
              <w:t>Coumarylique</w:t>
            </w:r>
          </w:p>
        </w:tc>
        <w:tc>
          <w:tcPr>
            <w:tcW w:w="2945" w:type="dxa"/>
          </w:tcPr>
          <w:p>
            <w:r>
              <w:t>Monocotylédones</w:t>
            </w:r>
          </w:p>
        </w:tc>
      </w:tr>
      <w:tr>
        <w:tc>
          <w:tcPr>
            <w:tcW w:w="1129" w:type="dxa"/>
          </w:tcPr>
          <w:p>
            <w:r>
              <w:t>G</w:t>
            </w:r>
          </w:p>
        </w:tc>
        <w:tc>
          <w:tcPr>
            <w:tcW w:w="3261" w:type="dxa"/>
          </w:tcPr>
          <w:p>
            <w:r>
              <w:t>Coniférylique</w:t>
            </w:r>
          </w:p>
        </w:tc>
        <w:tc>
          <w:tcPr>
            <w:tcW w:w="2945" w:type="dxa"/>
          </w:tcPr>
          <w:p>
            <w:r>
              <w:t>Gymnospermes</w:t>
            </w:r>
          </w:p>
          <w:p>
            <w:r>
              <w:t>Ptéridophytes</w:t>
            </w:r>
          </w:p>
        </w:tc>
      </w:tr>
      <w:tr>
        <w:tc>
          <w:tcPr>
            <w:tcW w:w="1129" w:type="dxa"/>
          </w:tcPr>
          <w:p>
            <w:r>
              <w:t>S</w:t>
            </w:r>
          </w:p>
        </w:tc>
        <w:tc>
          <w:tcPr>
            <w:tcW w:w="3261" w:type="dxa"/>
          </w:tcPr>
          <w:p>
            <w:r>
              <w:t>Sinapylique</w:t>
            </w:r>
          </w:p>
        </w:tc>
        <w:tc>
          <w:tcPr>
            <w:tcW w:w="2945" w:type="dxa"/>
          </w:tcPr>
          <w:p>
            <w:r>
              <w:t>Angiospermes</w:t>
            </w:r>
          </w:p>
        </w:tc>
      </w:tr>
    </w:tbl>
    <w:p>
      <w:r>
        <w:t>La linine est directement fabriquée dans les parois par des enzymes notamment la peroxydase et la laccase.</w:t>
      </w:r>
    </w:p>
    <w:p>
      <w:pPr>
        <w:pStyle w:val="Titre2"/>
      </w:pPr>
      <w:r>
        <w:lastRenderedPageBreak/>
        <w:t>Cutine et subérine</w:t>
      </w:r>
    </w:p>
    <w:p>
      <w:r>
        <w:t>La cutine et la subérine sont deux molécules synthétisées dans la cellule et transportées dans des vésicules pour être expulsées par exocytose dans les parois.</w:t>
      </w:r>
    </w:p>
    <w:p>
      <w:pPr>
        <w:pStyle w:val="Titre3"/>
      </w:pPr>
      <w:r>
        <w:t>L’épiderme cutinisé</w:t>
      </w:r>
    </w:p>
    <w:p>
      <w:r>
        <w:rPr>
          <w:noProof/>
        </w:rPr>
        <w:drawing>
          <wp:anchor distT="0" distB="0" distL="114300" distR="114300" simplePos="0" relativeHeight="251677696" behindDoc="1" locked="0" layoutInCell="1" allowOverlap="1">
            <wp:simplePos x="0" y="0"/>
            <wp:positionH relativeFrom="column">
              <wp:posOffset>0</wp:posOffset>
            </wp:positionH>
            <wp:positionV relativeFrom="paragraph">
              <wp:posOffset>3175</wp:posOffset>
            </wp:positionV>
            <wp:extent cx="2146759" cy="818148"/>
            <wp:effectExtent l="0" t="0" r="6350" b="1270"/>
            <wp:wrapTight wrapText="bothSides">
              <wp:wrapPolygon edited="0">
                <wp:start x="0" y="0"/>
                <wp:lineTo x="0" y="21130"/>
                <wp:lineTo x="21472" y="21130"/>
                <wp:lineTo x="21472"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46759" cy="818148"/>
                    </a:xfrm>
                    <a:prstGeom prst="rect">
                      <a:avLst/>
                    </a:prstGeom>
                    <a:noFill/>
                    <a:ln>
                      <a:noFill/>
                    </a:ln>
                  </pic:spPr>
                </pic:pic>
              </a:graphicData>
            </a:graphic>
          </wp:anchor>
        </w:drawing>
      </w:r>
    </w:p>
    <w:p>
      <w:r>
        <w:t xml:space="preserve">Les parties aériennes de la plante sont recouvertes de cire et de cutine pour : </w:t>
      </w:r>
    </w:p>
    <w:tbl>
      <w:tblPr>
        <w:tblStyle w:val="Grilledetableauclaire"/>
        <w:tblW w:w="0" w:type="auto"/>
        <w:tblLook w:val="0400" w:firstRow="0" w:lastRow="0" w:firstColumn="0" w:lastColumn="0" w:noHBand="0" w:noVBand="1"/>
      </w:tblPr>
      <w:tblGrid>
        <w:gridCol w:w="3667"/>
        <w:gridCol w:w="3668"/>
      </w:tblGrid>
      <w:tr>
        <w:tc>
          <w:tcPr>
            <w:tcW w:w="3667" w:type="dxa"/>
          </w:tcPr>
          <w:p>
            <w:r>
              <w:t>Limiter l’évaporation</w:t>
            </w:r>
          </w:p>
        </w:tc>
        <w:tc>
          <w:tcPr>
            <w:tcW w:w="3668" w:type="dxa"/>
          </w:tcPr>
          <w:p>
            <w:r>
              <w:t>Protéger la plante</w:t>
            </w:r>
          </w:p>
        </w:tc>
      </w:tr>
    </w:tbl>
    <w:p>
      <w:pPr>
        <w:pStyle w:val="Titre3"/>
      </w:pPr>
      <w:r>
        <w:t>Subérine</w:t>
      </w:r>
    </w:p>
    <w:p>
      <w:r>
        <w:t>La subérine est une molécule imperméabilisante et protectrice qui est notamment utiliser :</w:t>
      </w:r>
    </w:p>
    <w:p>
      <w:pPr>
        <w:pStyle w:val="Paragraphedeliste"/>
        <w:numPr>
          <w:ilvl w:val="0"/>
          <w:numId w:val="22"/>
        </w:numPr>
      </w:pPr>
      <w:r>
        <w:t>Au niveau de la bande de Caspy</w:t>
      </w:r>
    </w:p>
    <w:p>
      <w:pPr>
        <w:pStyle w:val="Paragraphedeliste"/>
        <w:numPr>
          <w:ilvl w:val="0"/>
          <w:numId w:val="22"/>
        </w:numPr>
      </w:pPr>
      <w:r>
        <w:t>En cas d’abscission.</w:t>
      </w:r>
    </w:p>
    <w:tbl>
      <w:tblPr>
        <w:tblStyle w:val="Grilledetableauclaire"/>
        <w:tblW w:w="0" w:type="auto"/>
        <w:tblLook w:val="0400" w:firstRow="0" w:lastRow="0" w:firstColumn="0" w:lastColumn="0" w:noHBand="0" w:noVBand="1"/>
      </w:tblPr>
      <w:tblGrid>
        <w:gridCol w:w="4236"/>
        <w:gridCol w:w="3099"/>
      </w:tblGrid>
      <w:tr>
        <w:tc>
          <w:tcPr>
            <w:tcW w:w="4236" w:type="dxa"/>
          </w:tcPr>
          <w:p>
            <w:r>
              <w:rPr>
                <w:noProof/>
              </w:rPr>
              <w:drawing>
                <wp:inline distT="0" distB="0" distL="0" distR="0">
                  <wp:extent cx="2552700" cy="1306195"/>
                  <wp:effectExtent l="0" t="0" r="0" b="825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52700" cy="1306195"/>
                          </a:xfrm>
                          <a:prstGeom prst="rect">
                            <a:avLst/>
                          </a:prstGeom>
                          <a:noFill/>
                          <a:ln>
                            <a:noFill/>
                          </a:ln>
                        </pic:spPr>
                      </pic:pic>
                    </a:graphicData>
                  </a:graphic>
                </wp:inline>
              </w:drawing>
            </w:r>
          </w:p>
        </w:tc>
        <w:tc>
          <w:tcPr>
            <w:tcW w:w="3099" w:type="dxa"/>
          </w:tcPr>
          <w:p>
            <w:r>
              <w:t>La bande de Caspy forme un endoderme c’est dire une paroi interne qui bloque l’apoplasme. Toutes les échanges doivent passer par les cellules.</w:t>
            </w:r>
          </w:p>
        </w:tc>
      </w:tr>
    </w:tbl>
    <w:p>
      <w:pPr>
        <w:pStyle w:val="Titre1"/>
      </w:pPr>
      <w:r>
        <w:t>Circulation et les échanges chimiques entre des cellules végétales</w:t>
      </w:r>
    </w:p>
    <w:p>
      <w:r>
        <w:t>La sève riche en minéraux remonte vers les parties aériennes de la plante par les vaisseaux de xylème et celle riche en énergie descend vers les racines par ceux du phloème.</w:t>
      </w:r>
    </w:p>
    <w:p>
      <w:r>
        <w:rPr>
          <w:noProof/>
        </w:rPr>
        <w:drawing>
          <wp:inline distT="0" distB="0" distL="0" distR="0">
            <wp:extent cx="1978296" cy="1163052"/>
            <wp:effectExtent l="0" t="0" r="317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78296" cy="1163052"/>
                    </a:xfrm>
                    <a:prstGeom prst="rect">
                      <a:avLst/>
                    </a:prstGeom>
                    <a:noFill/>
                    <a:ln>
                      <a:noFill/>
                    </a:ln>
                  </pic:spPr>
                </pic:pic>
              </a:graphicData>
            </a:graphic>
          </wp:inline>
        </w:drawing>
      </w:r>
    </w:p>
    <w:p>
      <w:r>
        <w:rPr>
          <w:noProof/>
        </w:rPr>
        <w:drawing>
          <wp:inline distT="0" distB="0" distL="0" distR="0">
            <wp:extent cx="3296285" cy="17983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96285" cy="1798320"/>
                    </a:xfrm>
                    <a:prstGeom prst="rect">
                      <a:avLst/>
                    </a:prstGeom>
                    <a:noFill/>
                    <a:ln>
                      <a:noFill/>
                    </a:ln>
                  </pic:spPr>
                </pic:pic>
              </a:graphicData>
            </a:graphic>
          </wp:inline>
        </w:drawing>
      </w:r>
      <w:r>
        <w:t>Coupe d’une racine</w:t>
      </w:r>
    </w:p>
    <w:p>
      <w:pPr>
        <w:pStyle w:val="Titre3"/>
      </w:pPr>
      <w:r>
        <w:t>Plasmodesme</w:t>
      </w:r>
    </w:p>
    <w:tbl>
      <w:tblPr>
        <w:tblStyle w:val="Grilledetableauclaire"/>
        <w:tblW w:w="0" w:type="auto"/>
        <w:tblLook w:val="0400" w:firstRow="0" w:lastRow="0" w:firstColumn="0" w:lastColumn="0" w:noHBand="0" w:noVBand="1"/>
      </w:tblPr>
      <w:tblGrid>
        <w:gridCol w:w="4156"/>
        <w:gridCol w:w="3179"/>
      </w:tblGrid>
      <w:tr>
        <w:trPr>
          <w:trHeight w:val="2100"/>
        </w:trPr>
        <w:tc>
          <w:tcPr>
            <w:tcW w:w="4156" w:type="dxa"/>
          </w:tcPr>
          <w:p>
            <w:r>
              <w:rPr>
                <w:noProof/>
              </w:rPr>
              <w:drawing>
                <wp:inline distT="0" distB="0" distL="0" distR="0">
                  <wp:extent cx="2501900" cy="126238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01900" cy="1262380"/>
                          </a:xfrm>
                          <a:prstGeom prst="rect">
                            <a:avLst/>
                          </a:prstGeom>
                          <a:noFill/>
                          <a:ln>
                            <a:noFill/>
                          </a:ln>
                        </pic:spPr>
                      </pic:pic>
                    </a:graphicData>
                  </a:graphic>
                </wp:inline>
              </w:drawing>
            </w:r>
          </w:p>
        </w:tc>
        <w:tc>
          <w:tcPr>
            <w:tcW w:w="3179" w:type="dxa"/>
          </w:tcPr>
          <w:p>
            <w:r>
              <w:rPr>
                <w:rStyle w:val="Accentuation"/>
              </w:rPr>
              <w:t>Plasmodesme</w:t>
            </w:r>
            <w:r>
              <w:t xml:space="preserve"> structure qui relie les cytoplasmes et régulent les échanges en ne laissant circuler que les petites molécules.</w:t>
            </w:r>
          </w:p>
        </w:tc>
      </w:tr>
    </w:tbl>
    <w:p>
      <w:r>
        <w:t>L’ensemble des plasmodesmes forment un continuum entre les cytoplasmes des cellules appelé symplasme.</w:t>
      </w:r>
    </w:p>
    <w:p>
      <w:r>
        <w:rPr>
          <w:rStyle w:val="Accentuation"/>
        </w:rPr>
        <w:t xml:space="preserve">Symplasme </w:t>
      </w:r>
      <w:r>
        <w:t>continuum entre les cytoplasmes.</w:t>
      </w:r>
    </w:p>
    <w:p>
      <w:r>
        <w:rPr>
          <w:rStyle w:val="Accentuation"/>
        </w:rPr>
        <w:t>Apoplasme</w:t>
      </w:r>
      <w:r>
        <w:t xml:space="preserve"> Continuum vide entre les parois.</w:t>
      </w:r>
    </w:p>
    <w:p/>
    <w:sectPr>
      <w:footerReference w:type="default" r:id="rId33"/>
      <w:pgSz w:w="16838" w:h="11906" w:orient="landscape"/>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Light">
    <w:panose1 w:val="020B0306030504020204"/>
    <w:charset w:val="00"/>
    <w:family w:val="swiss"/>
    <w:pitch w:val="variable"/>
    <w:sig w:usb0="E00002EF" w:usb1="4000205B" w:usb2="00000028" w:usb3="00000000" w:csb0="0000019F" w:csb1="00000000"/>
  </w:font>
  <w:font w:name="Open Sans">
    <w:panose1 w:val="020B08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Pieddepage"/>
    </w:pPr>
    <w:r>
      <w:t>OMM</w:t>
    </w:r>
    <w:r>
      <w:ptab w:relativeTo="margin" w:alignment="center" w:leader="none"/>
    </w:r>
    <w:r>
      <w:t>Spécificités de la cellule végétale</w:t>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9.4pt;height:22.6pt;visibility:visible;mso-wrap-style:square" o:bullet="t">
        <v:imagedata r:id="rId1" o:title=""/>
      </v:shape>
    </w:pict>
  </w:numPicBullet>
  <w:abstractNum w:abstractNumId="0" w15:restartNumberingAfterBreak="0">
    <w:nsid w:val="077F5054"/>
    <w:multiLevelType w:val="hybridMultilevel"/>
    <w:tmpl w:val="FACE7E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B45A78"/>
    <w:multiLevelType w:val="hybridMultilevel"/>
    <w:tmpl w:val="F4D8AD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9D499B"/>
    <w:multiLevelType w:val="hybridMultilevel"/>
    <w:tmpl w:val="0B7E53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FD05C4D"/>
    <w:multiLevelType w:val="hybridMultilevel"/>
    <w:tmpl w:val="F4F887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3462056"/>
    <w:multiLevelType w:val="hybridMultilevel"/>
    <w:tmpl w:val="90801E5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15:restartNumberingAfterBreak="0">
    <w:nsid w:val="15D36B81"/>
    <w:multiLevelType w:val="hybridMultilevel"/>
    <w:tmpl w:val="22547D0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1FED762C"/>
    <w:multiLevelType w:val="hybridMultilevel"/>
    <w:tmpl w:val="79B22DC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26537D2C"/>
    <w:multiLevelType w:val="hybridMultilevel"/>
    <w:tmpl w:val="98184252"/>
    <w:lvl w:ilvl="0" w:tplc="A24EF578">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88003A1"/>
    <w:multiLevelType w:val="hybridMultilevel"/>
    <w:tmpl w:val="D34A58B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15:restartNumberingAfterBreak="0">
    <w:nsid w:val="2D426F61"/>
    <w:multiLevelType w:val="hybridMultilevel"/>
    <w:tmpl w:val="999EC5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4F56B24"/>
    <w:multiLevelType w:val="hybridMultilevel"/>
    <w:tmpl w:val="4156C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CA246CD"/>
    <w:multiLevelType w:val="hybridMultilevel"/>
    <w:tmpl w:val="AEC405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1A11077"/>
    <w:multiLevelType w:val="hybridMultilevel"/>
    <w:tmpl w:val="2AC051F8"/>
    <w:lvl w:ilvl="0" w:tplc="47B8D5DE">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460684D"/>
    <w:multiLevelType w:val="hybridMultilevel"/>
    <w:tmpl w:val="456EDD5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6526C94"/>
    <w:multiLevelType w:val="hybridMultilevel"/>
    <w:tmpl w:val="7160F82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5" w15:restartNumberingAfterBreak="0">
    <w:nsid w:val="51946AEA"/>
    <w:multiLevelType w:val="hybridMultilevel"/>
    <w:tmpl w:val="A7E8E4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9625960"/>
    <w:multiLevelType w:val="hybridMultilevel"/>
    <w:tmpl w:val="2404261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7" w15:restartNumberingAfterBreak="0">
    <w:nsid w:val="5BFE698E"/>
    <w:multiLevelType w:val="hybridMultilevel"/>
    <w:tmpl w:val="FAF2E06C"/>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8" w15:restartNumberingAfterBreak="0">
    <w:nsid w:val="60A27CCA"/>
    <w:multiLevelType w:val="hybridMultilevel"/>
    <w:tmpl w:val="293EB6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70E4A9B"/>
    <w:multiLevelType w:val="hybridMultilevel"/>
    <w:tmpl w:val="DE18E6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8277888"/>
    <w:multiLevelType w:val="hybridMultilevel"/>
    <w:tmpl w:val="ADD2EBC2"/>
    <w:lvl w:ilvl="0" w:tplc="040C0001">
      <w:start w:val="1"/>
      <w:numFmt w:val="bullet"/>
      <w:lvlText w:val=""/>
      <w:lvlJc w:val="left"/>
      <w:pPr>
        <w:ind w:left="771" w:hanging="360"/>
      </w:pPr>
      <w:rPr>
        <w:rFonts w:ascii="Symbol" w:hAnsi="Symbol" w:hint="default"/>
      </w:rPr>
    </w:lvl>
    <w:lvl w:ilvl="1" w:tplc="040C0003" w:tentative="1">
      <w:start w:val="1"/>
      <w:numFmt w:val="bullet"/>
      <w:lvlText w:val="o"/>
      <w:lvlJc w:val="left"/>
      <w:pPr>
        <w:ind w:left="1491" w:hanging="360"/>
      </w:pPr>
      <w:rPr>
        <w:rFonts w:ascii="Courier New" w:hAnsi="Courier New" w:cs="Courier New" w:hint="default"/>
      </w:rPr>
    </w:lvl>
    <w:lvl w:ilvl="2" w:tplc="040C0005" w:tentative="1">
      <w:start w:val="1"/>
      <w:numFmt w:val="bullet"/>
      <w:lvlText w:val=""/>
      <w:lvlJc w:val="left"/>
      <w:pPr>
        <w:ind w:left="2211" w:hanging="360"/>
      </w:pPr>
      <w:rPr>
        <w:rFonts w:ascii="Wingdings" w:hAnsi="Wingdings" w:hint="default"/>
      </w:rPr>
    </w:lvl>
    <w:lvl w:ilvl="3" w:tplc="040C0001" w:tentative="1">
      <w:start w:val="1"/>
      <w:numFmt w:val="bullet"/>
      <w:lvlText w:val=""/>
      <w:lvlJc w:val="left"/>
      <w:pPr>
        <w:ind w:left="2931" w:hanging="360"/>
      </w:pPr>
      <w:rPr>
        <w:rFonts w:ascii="Symbol" w:hAnsi="Symbol" w:hint="default"/>
      </w:rPr>
    </w:lvl>
    <w:lvl w:ilvl="4" w:tplc="040C0003" w:tentative="1">
      <w:start w:val="1"/>
      <w:numFmt w:val="bullet"/>
      <w:lvlText w:val="o"/>
      <w:lvlJc w:val="left"/>
      <w:pPr>
        <w:ind w:left="3651" w:hanging="360"/>
      </w:pPr>
      <w:rPr>
        <w:rFonts w:ascii="Courier New" w:hAnsi="Courier New" w:cs="Courier New" w:hint="default"/>
      </w:rPr>
    </w:lvl>
    <w:lvl w:ilvl="5" w:tplc="040C0005" w:tentative="1">
      <w:start w:val="1"/>
      <w:numFmt w:val="bullet"/>
      <w:lvlText w:val=""/>
      <w:lvlJc w:val="left"/>
      <w:pPr>
        <w:ind w:left="4371" w:hanging="360"/>
      </w:pPr>
      <w:rPr>
        <w:rFonts w:ascii="Wingdings" w:hAnsi="Wingdings" w:hint="default"/>
      </w:rPr>
    </w:lvl>
    <w:lvl w:ilvl="6" w:tplc="040C0001" w:tentative="1">
      <w:start w:val="1"/>
      <w:numFmt w:val="bullet"/>
      <w:lvlText w:val=""/>
      <w:lvlJc w:val="left"/>
      <w:pPr>
        <w:ind w:left="5091" w:hanging="360"/>
      </w:pPr>
      <w:rPr>
        <w:rFonts w:ascii="Symbol" w:hAnsi="Symbol" w:hint="default"/>
      </w:rPr>
    </w:lvl>
    <w:lvl w:ilvl="7" w:tplc="040C0003" w:tentative="1">
      <w:start w:val="1"/>
      <w:numFmt w:val="bullet"/>
      <w:lvlText w:val="o"/>
      <w:lvlJc w:val="left"/>
      <w:pPr>
        <w:ind w:left="5811" w:hanging="360"/>
      </w:pPr>
      <w:rPr>
        <w:rFonts w:ascii="Courier New" w:hAnsi="Courier New" w:cs="Courier New" w:hint="default"/>
      </w:rPr>
    </w:lvl>
    <w:lvl w:ilvl="8" w:tplc="040C0005" w:tentative="1">
      <w:start w:val="1"/>
      <w:numFmt w:val="bullet"/>
      <w:lvlText w:val=""/>
      <w:lvlJc w:val="left"/>
      <w:pPr>
        <w:ind w:left="6531" w:hanging="360"/>
      </w:pPr>
      <w:rPr>
        <w:rFonts w:ascii="Wingdings" w:hAnsi="Wingdings" w:hint="default"/>
      </w:rPr>
    </w:lvl>
  </w:abstractNum>
  <w:abstractNum w:abstractNumId="21" w15:restartNumberingAfterBreak="0">
    <w:nsid w:val="73CB0A8A"/>
    <w:multiLevelType w:val="hybridMultilevel"/>
    <w:tmpl w:val="12C8C4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73971104">
    <w:abstractNumId w:val="17"/>
  </w:num>
  <w:num w:numId="2" w16cid:durableId="651643807">
    <w:abstractNumId w:val="16"/>
  </w:num>
  <w:num w:numId="3" w16cid:durableId="134681175">
    <w:abstractNumId w:val="6"/>
  </w:num>
  <w:num w:numId="4" w16cid:durableId="665134028">
    <w:abstractNumId w:val="0"/>
  </w:num>
  <w:num w:numId="5" w16cid:durableId="1273442820">
    <w:abstractNumId w:val="5"/>
  </w:num>
  <w:num w:numId="6" w16cid:durableId="713623238">
    <w:abstractNumId w:val="3"/>
  </w:num>
  <w:num w:numId="7" w16cid:durableId="1459958380">
    <w:abstractNumId w:val="7"/>
  </w:num>
  <w:num w:numId="8" w16cid:durableId="174266241">
    <w:abstractNumId w:val="12"/>
  </w:num>
  <w:num w:numId="9" w16cid:durableId="827095506">
    <w:abstractNumId w:val="18"/>
  </w:num>
  <w:num w:numId="10" w16cid:durableId="1691103398">
    <w:abstractNumId w:val="8"/>
  </w:num>
  <w:num w:numId="11" w16cid:durableId="1003360615">
    <w:abstractNumId w:val="9"/>
  </w:num>
  <w:num w:numId="12" w16cid:durableId="2045324526">
    <w:abstractNumId w:val="1"/>
  </w:num>
  <w:num w:numId="13" w16cid:durableId="961499674">
    <w:abstractNumId w:val="20"/>
  </w:num>
  <w:num w:numId="14" w16cid:durableId="240649117">
    <w:abstractNumId w:val="11"/>
  </w:num>
  <w:num w:numId="15" w16cid:durableId="1915049916">
    <w:abstractNumId w:val="14"/>
  </w:num>
  <w:num w:numId="16" w16cid:durableId="1772120189">
    <w:abstractNumId w:val="21"/>
  </w:num>
  <w:num w:numId="17" w16cid:durableId="651103121">
    <w:abstractNumId w:val="2"/>
  </w:num>
  <w:num w:numId="18" w16cid:durableId="901598306">
    <w:abstractNumId w:val="4"/>
  </w:num>
  <w:num w:numId="19" w16cid:durableId="143083808">
    <w:abstractNumId w:val="13"/>
  </w:num>
  <w:num w:numId="20" w16cid:durableId="49428751">
    <w:abstractNumId w:val="19"/>
  </w:num>
  <w:num w:numId="21" w16cid:durableId="716710552">
    <w:abstractNumId w:val="10"/>
  </w:num>
  <w:num w:numId="22" w16cid:durableId="205626850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revisionView w:inkAnnotation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49A5C2-EC63-408F-BA5C-A168E310F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rFonts w:ascii="Open Sans Light" w:hAnsi="Open Sans Light"/>
    </w:rPr>
  </w:style>
  <w:style w:type="paragraph" w:styleId="Titre1">
    <w:name w:val="heading 1"/>
    <w:aliases w:val="Titre niv1"/>
    <w:basedOn w:val="Normal"/>
    <w:next w:val="Normal"/>
    <w:link w:val="Titre1Car"/>
    <w:uiPriority w:val="9"/>
    <w:qFormat/>
    <w:pPr>
      <w:keepNext/>
      <w:keepLines/>
      <w:pBdr>
        <w:top w:val="dashSmallGap" w:sz="12" w:space="1" w:color="auto"/>
      </w:pBdr>
      <w:spacing w:before="120" w:after="0"/>
      <w:jc w:val="center"/>
      <w:outlineLvl w:val="0"/>
    </w:pPr>
    <w:rPr>
      <w:rFonts w:ascii="Open Sans" w:eastAsiaTheme="majorEastAsia" w:hAnsi="Open Sans" w:cstheme="majorBidi"/>
      <w:b/>
      <w:sz w:val="24"/>
      <w:szCs w:val="32"/>
    </w:rPr>
  </w:style>
  <w:style w:type="paragraph" w:styleId="Titre2">
    <w:name w:val="heading 2"/>
    <w:aliases w:val="Titre Tableau"/>
    <w:basedOn w:val="Titre1"/>
    <w:next w:val="Normal"/>
    <w:link w:val="Titre2Car"/>
    <w:uiPriority w:val="9"/>
    <w:unhideWhenUsed/>
    <w:qFormat/>
    <w:pPr>
      <w:pBdr>
        <w:top w:val="none" w:sz="0" w:space="0" w:color="auto"/>
      </w:pBdr>
      <w:jc w:val="left"/>
      <w:outlineLvl w:val="1"/>
    </w:pPr>
    <w:rPr>
      <w:szCs w:val="26"/>
    </w:rPr>
  </w:style>
  <w:style w:type="paragraph" w:styleId="Titre3">
    <w:name w:val="heading 3"/>
    <w:basedOn w:val="Normal"/>
    <w:next w:val="Normal"/>
    <w:link w:val="Titre3Car"/>
    <w:uiPriority w:val="9"/>
    <w:unhideWhenUsed/>
    <w:qFormat/>
    <w:pPr>
      <w:keepNext/>
      <w:keepLines/>
      <w:spacing w:before="40" w:after="0"/>
      <w:outlineLvl w:val="2"/>
    </w:pPr>
    <w:rPr>
      <w:rFonts w:ascii="Open Sans" w:eastAsiaTheme="majorEastAsia" w:hAnsi="Open Sans" w:cstheme="majorBidi"/>
      <w:color w:val="000000" w:themeColor="text1"/>
      <w:sz w:val="20"/>
      <w:szCs w:val="24"/>
      <w:u w:val="single"/>
    </w:rPr>
  </w:style>
  <w:style w:type="paragraph" w:styleId="Titre4">
    <w:name w:val="heading 4"/>
    <w:basedOn w:val="Normal"/>
    <w:next w:val="Normal"/>
    <w:link w:val="Titre4C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styleId="Paragraphedeliste">
    <w:name w:val="List Paragraph"/>
    <w:basedOn w:val="Normal"/>
    <w:uiPriority w:val="34"/>
    <w:qFormat/>
    <w:pPr>
      <w:ind w:left="720"/>
      <w:contextualSpacing/>
    </w:pPr>
  </w:style>
  <w:style w:type="character" w:customStyle="1" w:styleId="Titre1Car">
    <w:name w:val="Titre 1 Car"/>
    <w:aliases w:val="Titre niv1 Car"/>
    <w:basedOn w:val="Policepardfaut"/>
    <w:link w:val="Titre1"/>
    <w:uiPriority w:val="9"/>
    <w:rPr>
      <w:rFonts w:ascii="Open Sans" w:eastAsiaTheme="majorEastAsia" w:hAnsi="Open Sans" w:cstheme="majorBidi"/>
      <w:b/>
      <w:sz w:val="24"/>
      <w:szCs w:val="32"/>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
    <w:name w:val="List Table 1 Light"/>
    <w:basedOn w:val="TableauNormal"/>
    <w:uiPriority w:val="4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ansinterligne">
    <w:name w:val="No Spacing"/>
    <w:uiPriority w:val="1"/>
    <w:qFormat/>
    <w:pPr>
      <w:spacing w:after="0" w:line="240" w:lineRule="auto"/>
    </w:pPr>
  </w:style>
  <w:style w:type="character" w:customStyle="1" w:styleId="Titre2Car">
    <w:name w:val="Titre 2 Car"/>
    <w:aliases w:val="Titre Tableau Car"/>
    <w:basedOn w:val="Policepardfaut"/>
    <w:link w:val="Titre2"/>
    <w:uiPriority w:val="9"/>
    <w:rPr>
      <w:rFonts w:ascii="Open Sans" w:eastAsiaTheme="majorEastAsia" w:hAnsi="Open Sans" w:cstheme="majorBidi"/>
      <w:b/>
      <w:sz w:val="24"/>
      <w:szCs w:val="26"/>
    </w:rPr>
  </w:style>
  <w:style w:type="paragraph" w:customStyle="1" w:styleId="graphique">
    <w:name w:val="graphique"/>
    <w:basedOn w:val="Normal"/>
    <w:link w:val="graphiqueCar"/>
    <w:pPr>
      <w:spacing w:after="0" w:line="240" w:lineRule="auto"/>
    </w:pPr>
  </w:style>
  <w:style w:type="character" w:customStyle="1" w:styleId="graphiqueCar">
    <w:name w:val="graphique Car"/>
    <w:basedOn w:val="Policepardfaut"/>
    <w:link w:val="graphique"/>
  </w:style>
  <w:style w:type="character" w:customStyle="1" w:styleId="Titre3Car">
    <w:name w:val="Titre 3 Car"/>
    <w:basedOn w:val="Policepardfaut"/>
    <w:link w:val="Titre3"/>
    <w:uiPriority w:val="9"/>
    <w:rPr>
      <w:rFonts w:ascii="Open Sans" w:eastAsiaTheme="majorEastAsia" w:hAnsi="Open Sans" w:cstheme="majorBidi"/>
      <w:color w:val="000000" w:themeColor="text1"/>
      <w:sz w:val="20"/>
      <w:szCs w:val="24"/>
      <w:u w:val="single"/>
    </w:rPr>
  </w:style>
  <w:style w:type="paragraph" w:styleId="En-tte">
    <w:name w:val="header"/>
    <w:basedOn w:val="Normal"/>
    <w:link w:val="En-tteCar"/>
    <w:uiPriority w:val="99"/>
    <w:unhideWhenUsed/>
    <w:pPr>
      <w:tabs>
        <w:tab w:val="center" w:pos="4536"/>
        <w:tab w:val="right" w:pos="9072"/>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4536"/>
        <w:tab w:val="right" w:pos="9072"/>
      </w:tabs>
      <w:spacing w:after="0" w:line="240" w:lineRule="auto"/>
    </w:pPr>
  </w:style>
  <w:style w:type="character" w:customStyle="1" w:styleId="PieddepageCar">
    <w:name w:val="Pied de page Car"/>
    <w:basedOn w:val="Policepardfaut"/>
    <w:link w:val="Pieddepage"/>
    <w:uiPriority w:val="99"/>
  </w:style>
  <w:style w:type="character" w:styleId="Accentuation">
    <w:name w:val="Emphasis"/>
    <w:basedOn w:val="Policepardfaut"/>
    <w:uiPriority w:val="20"/>
    <w:qFormat/>
    <w:rPr>
      <w:i w:val="0"/>
      <w:iCs/>
      <w:color w:val="FF0000"/>
    </w:rPr>
  </w:style>
  <w:style w:type="character" w:styleId="Accentuationintense">
    <w:name w:val="Intense Emphasis"/>
    <w:basedOn w:val="Policepardfaut"/>
    <w:uiPriority w:val="21"/>
    <w:qFormat/>
    <w:rPr>
      <w:i/>
      <w:iCs/>
      <w:color w:val="4472C4" w:themeColor="accent1"/>
    </w:rPr>
  </w:style>
  <w:style w:type="table" w:styleId="Grilledetableauclaire">
    <w:name w:val="Grid Table Light"/>
    <w:aliases w:val="monTableau"/>
    <w:basedOn w:val="Tableau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rPr>
    </w:tblStylePr>
    <w:tblStylePr w:type="firstCol">
      <w:rPr>
        <w:b/>
      </w:rPr>
    </w:tblStylePr>
  </w:style>
  <w:style w:type="table" w:styleId="Tableausimple2">
    <w:name w:val="Plain Table 2"/>
    <w:basedOn w:val="Tableau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e2col">
    <w:name w:val="paragraphe 2 col"/>
    <w:basedOn w:val="Normal"/>
    <w:link w:val="paragraphe2colCar"/>
    <w:pPr>
      <w:spacing w:after="0" w:line="240" w:lineRule="auto"/>
    </w:pPr>
    <w:rPr>
      <w:rFonts w:ascii="Microsoft JhengHei" w:hAnsi="Microsoft JhengHei"/>
      <w:sz w:val="20"/>
    </w:rPr>
  </w:style>
  <w:style w:type="character" w:customStyle="1" w:styleId="paragraphe2colCar">
    <w:name w:val="paragraphe 2 col Car"/>
    <w:basedOn w:val="Policepardfaut"/>
    <w:link w:val="paragraphe2col"/>
    <w:rPr>
      <w:rFonts w:ascii="Microsoft JhengHei" w:hAnsi="Microsoft JhengHei"/>
      <w:sz w:val="20"/>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rPr>
  </w:style>
  <w:style w:type="character" w:styleId="Accentuationlgre">
    <w:name w:val="Subtle Emphasis"/>
    <w:basedOn w:val="Policepardfaut"/>
    <w:uiPriority w:val="19"/>
    <w:qFormat/>
    <w:rPr>
      <w:i/>
      <w:iCs/>
      <w:color w:val="404040" w:themeColor="text1" w:themeTint="BF"/>
    </w:rPr>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rPr>
  </w:style>
  <w:style w:type="character" w:styleId="Marquedecommentaire">
    <w:name w:val="annotation reference"/>
    <w:basedOn w:val="Policepardfaut"/>
    <w:uiPriority w:val="99"/>
    <w:semiHidden/>
    <w:unhideWhenUsed/>
    <w:rPr>
      <w:sz w:val="16"/>
      <w:szCs w:val="16"/>
    </w:r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rFonts w:ascii="Open Sans Light" w:hAnsi="Open Sans Light"/>
      <w:sz w:val="20"/>
      <w:szCs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rFonts w:ascii="Open Sans Light" w:hAnsi="Open Sans Light"/>
      <w:b/>
      <w:bCs/>
      <w:sz w:val="20"/>
      <w:szCs w:val="20"/>
    </w:rPr>
  </w:style>
  <w:style w:type="paragraph" w:styleId="Citationintense">
    <w:name w:val="Intense Quote"/>
    <w:basedOn w:val="Normal"/>
    <w:next w:val="Normal"/>
    <w:link w:val="Citationintense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Pr>
      <w:rFonts w:ascii="Open Sans Light" w:hAnsi="Open Sans Light"/>
      <w:i/>
      <w:iCs/>
      <w:color w:val="4472C4" w:themeColor="accent1"/>
    </w:rPr>
  </w:style>
  <w:style w:type="table" w:styleId="Tableausimple1">
    <w:name w:val="Plain Table 1"/>
    <w:basedOn w:val="Tableau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4Car">
    <w:name w:val="Titre 4 Car"/>
    <w:basedOn w:val="Policepardfaut"/>
    <w:link w:val="Titre4"/>
    <w:uiPriority w:val="9"/>
    <w:semiHidden/>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425650">
      <w:bodyDiv w:val="1"/>
      <w:marLeft w:val="0"/>
      <w:marRight w:val="0"/>
      <w:marTop w:val="0"/>
      <w:marBottom w:val="0"/>
      <w:divBdr>
        <w:top w:val="none" w:sz="0" w:space="0" w:color="auto"/>
        <w:left w:val="none" w:sz="0" w:space="0" w:color="auto"/>
        <w:bottom w:val="none" w:sz="0" w:space="0" w:color="auto"/>
        <w:right w:val="none" w:sz="0" w:space="0" w:color="auto"/>
      </w:divBdr>
    </w:div>
    <w:div w:id="612251172">
      <w:bodyDiv w:val="1"/>
      <w:marLeft w:val="0"/>
      <w:marRight w:val="0"/>
      <w:marTop w:val="0"/>
      <w:marBottom w:val="0"/>
      <w:divBdr>
        <w:top w:val="none" w:sz="0" w:space="0" w:color="auto"/>
        <w:left w:val="none" w:sz="0" w:space="0" w:color="auto"/>
        <w:bottom w:val="none" w:sz="0" w:space="0" w:color="auto"/>
        <w:right w:val="none" w:sz="0" w:space="0" w:color="auto"/>
      </w:divBdr>
    </w:div>
    <w:div w:id="734622873">
      <w:bodyDiv w:val="1"/>
      <w:marLeft w:val="0"/>
      <w:marRight w:val="0"/>
      <w:marTop w:val="0"/>
      <w:marBottom w:val="0"/>
      <w:divBdr>
        <w:top w:val="none" w:sz="0" w:space="0" w:color="auto"/>
        <w:left w:val="none" w:sz="0" w:space="0" w:color="auto"/>
        <w:bottom w:val="none" w:sz="0" w:space="0" w:color="auto"/>
        <w:right w:val="none" w:sz="0" w:space="0" w:color="auto"/>
      </w:divBdr>
    </w:div>
    <w:div w:id="916936954">
      <w:bodyDiv w:val="1"/>
      <w:marLeft w:val="0"/>
      <w:marRight w:val="0"/>
      <w:marTop w:val="0"/>
      <w:marBottom w:val="0"/>
      <w:divBdr>
        <w:top w:val="none" w:sz="0" w:space="0" w:color="auto"/>
        <w:left w:val="none" w:sz="0" w:space="0" w:color="auto"/>
        <w:bottom w:val="none" w:sz="0" w:space="0" w:color="auto"/>
        <w:right w:val="none" w:sz="0" w:space="0" w:color="auto"/>
      </w:divBdr>
    </w:div>
    <w:div w:id="1109080852">
      <w:bodyDiv w:val="1"/>
      <w:marLeft w:val="0"/>
      <w:marRight w:val="0"/>
      <w:marTop w:val="0"/>
      <w:marBottom w:val="0"/>
      <w:divBdr>
        <w:top w:val="none" w:sz="0" w:space="0" w:color="auto"/>
        <w:left w:val="none" w:sz="0" w:space="0" w:color="auto"/>
        <w:bottom w:val="none" w:sz="0" w:space="0" w:color="auto"/>
        <w:right w:val="none" w:sz="0" w:space="0" w:color="auto"/>
      </w:divBdr>
    </w:div>
    <w:div w:id="1179735680">
      <w:bodyDiv w:val="1"/>
      <w:marLeft w:val="0"/>
      <w:marRight w:val="0"/>
      <w:marTop w:val="0"/>
      <w:marBottom w:val="0"/>
      <w:divBdr>
        <w:top w:val="none" w:sz="0" w:space="0" w:color="auto"/>
        <w:left w:val="none" w:sz="0" w:space="0" w:color="auto"/>
        <w:bottom w:val="none" w:sz="0" w:space="0" w:color="auto"/>
        <w:right w:val="none" w:sz="0" w:space="0" w:color="auto"/>
      </w:divBdr>
    </w:div>
    <w:div w:id="1379743194">
      <w:bodyDiv w:val="1"/>
      <w:marLeft w:val="0"/>
      <w:marRight w:val="0"/>
      <w:marTop w:val="0"/>
      <w:marBottom w:val="0"/>
      <w:divBdr>
        <w:top w:val="none" w:sz="0" w:space="0" w:color="auto"/>
        <w:left w:val="none" w:sz="0" w:space="0" w:color="auto"/>
        <w:bottom w:val="none" w:sz="0" w:space="0" w:color="auto"/>
        <w:right w:val="none" w:sz="0" w:space="0" w:color="auto"/>
      </w:divBdr>
    </w:div>
    <w:div w:id="1727338526">
      <w:bodyDiv w:val="1"/>
      <w:marLeft w:val="0"/>
      <w:marRight w:val="0"/>
      <w:marTop w:val="0"/>
      <w:marBottom w:val="0"/>
      <w:divBdr>
        <w:top w:val="none" w:sz="0" w:space="0" w:color="auto"/>
        <w:left w:val="none" w:sz="0" w:space="0" w:color="auto"/>
        <w:bottom w:val="none" w:sz="0" w:space="0" w:color="auto"/>
        <w:right w:val="none" w:sz="0" w:space="0" w:color="auto"/>
      </w:divBdr>
    </w:div>
    <w:div w:id="1896235814">
      <w:bodyDiv w:val="1"/>
      <w:marLeft w:val="0"/>
      <w:marRight w:val="0"/>
      <w:marTop w:val="0"/>
      <w:marBottom w:val="0"/>
      <w:divBdr>
        <w:top w:val="none" w:sz="0" w:space="0" w:color="auto"/>
        <w:left w:val="none" w:sz="0" w:space="0" w:color="auto"/>
        <w:bottom w:val="none" w:sz="0" w:space="0" w:color="auto"/>
        <w:right w:val="none" w:sz="0" w:space="0" w:color="auto"/>
      </w:divBdr>
    </w:div>
    <w:div w:id="214010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theme" Target="theme/theme1.xml"/><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8E30B-9D4E-4740-B421-EC1400C23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4341</TotalTime>
  <Pages>7</Pages>
  <Words>1781</Words>
  <Characters>9799</Characters>
  <Application>Microsoft Office Word</Application>
  <DocSecurity>0</DocSecurity>
  <Lines>81</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D</dc:creator>
  <cp:keywords/>
  <dc:description/>
  <cp:lastModifiedBy>Guillaume D</cp:lastModifiedBy>
  <cp:revision>82</cp:revision>
  <cp:lastPrinted>2020-10-08T15:27:00Z</cp:lastPrinted>
  <dcterms:created xsi:type="dcterms:W3CDTF">2020-09-08T20:41:00Z</dcterms:created>
  <dcterms:modified xsi:type="dcterms:W3CDTF">2022-05-22T09:48:00Z</dcterms:modified>
</cp:coreProperties>
</file>