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464"/>
        <w:gridCol w:w="2319"/>
        <w:gridCol w:w="1335"/>
      </w:tblGrid>
      <w:tr>
        <w:tc>
          <w:tcPr>
            <w:tcW w:w="633" w:type="dxa"/>
          </w:tcPr>
          <w:p>
            <w:r>
              <w:t>Ions</w:t>
            </w:r>
          </w:p>
        </w:tc>
        <w:tc>
          <w:tcPr>
            <w:tcW w:w="584" w:type="dxa"/>
          </w:tcPr>
          <w:p>
            <w:r>
              <w:t>Eau</w:t>
            </w:r>
          </w:p>
        </w:tc>
        <w:tc>
          <w:tcPr>
            <w:tcW w:w="2464" w:type="dxa"/>
          </w:tcPr>
          <w:p>
            <w:r>
              <w:t>Déchets métaboliques</w:t>
            </w:r>
          </w:p>
        </w:tc>
        <w:tc>
          <w:tcPr>
            <w:tcW w:w="231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composé de régionalisations fonctionnelles appelées radeaux lipides qui sont riches en sphingolipide et cholestérol.</w:t>
      </w:r>
    </w:p>
    <w:p>
      <w:pPr>
        <w:pStyle w:val="Titre3"/>
      </w:pPr>
      <w:r>
        <w:t>Les glucides</w:t>
      </w:r>
    </w:p>
    <w:p>
      <w:r>
        <w:t xml:space="preserve">Les glucides sont soit attachés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lastRenderedPageBreak/>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la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397"/>
        <w:gridCol w:w="3938"/>
      </w:tblGrid>
      <w:tr>
        <w:tc>
          <w:tcPr>
            <w:tcW w:w="3397" w:type="dxa"/>
          </w:tcPr>
          <w:p>
            <w:r>
              <w:t>Gradient de concentration (chimique)</w:t>
            </w:r>
          </w:p>
        </w:tc>
        <w:tc>
          <w:tcPr>
            <w:tcW w:w="3938" w:type="dxa"/>
          </w:tcPr>
          <w:p>
            <w:r>
              <w:t>Gradient électronique (lié aux charges)</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différence. La diminution du gradient correspond à la formation d’un milieu homogène càd qui tend à faire disparaitre les différences spatiales.</w:t>
      </w:r>
    </w:p>
    <w:p>
      <w:r>
        <w:t>La membrane plasmique constitue une barrière entre deux milieux aqueux qui, en fonction du type de molécule, constitue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des propriétés moléculaires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r>
        <w:t>Ainsi en fonction du type de molécules, leur transport est assuré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t xml:space="preserve">Ainsi, si deux compartiments possèdent des concentrations différentes en soluté, et comme toutes les molécules ont la même probabilité de quitter leur compartiment, celles du compartiment le plus concentrés seront plus nombreuses à sortir.  </w:t>
      </w:r>
    </w:p>
    <w:p>
      <w:pPr>
        <w:pStyle w:val="Titre3"/>
      </w:pPr>
      <w:r>
        <w:t>Le gradient électrochimique</w:t>
      </w:r>
    </w:p>
    <w:p>
      <w:r>
        <w:t>Le gradient chimique est la différence du potentiel électrochimique entre deux milieux.</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c>
          <w:tcPr>
            <w:tcW w:w="4363"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w:r>
              <w:rPr>
                <w:rFonts w:eastAsiaTheme="minorEastAsia"/>
              </w:rPr>
              <w:t>R = 8,31 J.mol</w:t>
            </w:r>
            <w:r>
              <w:rPr>
                <w:rFonts w:eastAsiaTheme="minorEastAsia"/>
                <w:vertAlign w:val="superscript"/>
              </w:rPr>
              <w:t>-</w:t>
            </w:r>
            <w:proofErr w:type="gramStart"/>
            <w:r>
              <w:rPr>
                <w:rFonts w:eastAsiaTheme="minorEastAsia"/>
                <w:vertAlign w:val="superscript"/>
              </w:rPr>
              <w:t>1</w:t>
            </w:r>
            <w:r>
              <w:rPr>
                <w:rFonts w:eastAsiaTheme="minorEastAsia"/>
              </w:rPr>
              <w:t>.K</w:t>
            </w:r>
            <w:proofErr w:type="gramEnd"/>
            <w:r>
              <w:rPr>
                <w:rFonts w:eastAsiaTheme="minorEastAsia"/>
                <w:vertAlign w:val="superscript"/>
              </w:rPr>
              <w:t>-1</w:t>
            </w:r>
          </w:p>
          <w:p>
            <w:pPr>
              <w:rPr>
                <w:rFonts w:eastAsiaTheme="minorEastAsia"/>
              </w:rPr>
            </w:pPr>
            <m:oMath>
              <m:r>
                <w:rPr>
                  <w:rFonts w:ascii="Cambria Math" w:eastAsiaTheme="minorEastAsia" w:hAnsi="Cambria Math"/>
                </w:rPr>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nbre de charges électrique de la molécule </w:t>
            </w:r>
          </w:p>
          <w:p>
            <w:pPr>
              <w:rPr>
                <w:rFonts w:eastAsiaTheme="minorEastAsia"/>
              </w:rPr>
            </w:pPr>
            <w:r>
              <w:rPr>
                <w:rFonts w:eastAsiaTheme="minorEastAsia"/>
              </w:rPr>
              <w:lastRenderedPageBreak/>
              <w:t>E potentiel électrique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=V</m:t>
              </m:r>
            </m:oMath>
            <w:r>
              <w:rPr>
                <w:rFonts w:eastAsiaTheme="minorEastAsia"/>
              </w:rPr>
              <w:t>)</w:t>
            </w:r>
          </w:p>
        </w:tc>
      </w:tr>
    </w:tbl>
    <w:p>
      <w:pPr>
        <w:rPr>
          <w:rFonts w:eastAsiaTheme="minorEastAsia"/>
        </w:rPr>
      </w:pPr>
      <w:r>
        <w:rPr>
          <w:rFonts w:eastAsiaTheme="minorEastAsia"/>
        </w:rPr>
        <w:lastRenderedPageBreak/>
        <w:t>E le potentiel est électrique correspond à la charge totale par l’espace c’est-à-dire l’énergie unitaire d’un point de l’espace.</w:t>
      </w:r>
    </w:p>
    <w:p>
      <w:pPr>
        <w:rPr>
          <w:rFonts w:eastAsiaTheme="minorEastAsia"/>
        </w:rPr>
      </w:pPr>
      <w:r>
        <w:rPr>
          <w:rFonts w:eastAsiaTheme="minorEastAsia"/>
        </w:rPr>
        <w:t>Le potentiel correspond à une quantité d’énergie accumulée à disposition.  L’univers étant soumis au principe de l’entropie c’est-à-dire à la dispersion de l’énergie, elle se dispersera du compartiment avec le potentiel plus élevé vers le moins ce qui se traduira par une sortie de molécules.</w:t>
      </w:r>
    </w:p>
    <w:p>
      <w:pPr>
        <w:rPr>
          <w:rFonts w:eastAsiaTheme="minorEastAsia"/>
        </w:rPr>
      </w:pPr>
      <w:r>
        <w:rPr>
          <w:rFonts w:eastAsiaTheme="minorEastAsia"/>
          <w:u w:val="single"/>
        </w:rPr>
        <w:t>NB :</w:t>
      </w:r>
      <w:r>
        <w:rPr>
          <w:rFonts w:eastAsiaTheme="minorEastAsia"/>
        </w:rPr>
        <w:t xml:space="preserve"> le potentiel de membrane se calcule avec l’équation de </w:t>
      </w:r>
      <w:proofErr w:type="spellStart"/>
      <w:r>
        <w:rPr>
          <w:rFonts w:eastAsiaTheme="minorEastAsia"/>
        </w:rPr>
        <w:t>Nerst</w:t>
      </w:r>
      <w:proofErr w:type="spellEnd"/>
      <w:r>
        <w:rPr>
          <w:rFonts w:eastAsiaTheme="minorEastAsia"/>
        </w:rPr>
        <w:t>.</w:t>
      </w:r>
    </w:p>
    <w:p>
      <w:pPr>
        <w:rPr>
          <w:rFonts w:eastAsiaTheme="minorEastAsia"/>
        </w:rPr>
      </w:pPr>
      <w:r>
        <w:rPr>
          <w:rFonts w:eastAsiaTheme="minorEastAsia"/>
        </w:rPr>
        <w:t xml:space="preserve">Force électromotrice noté FEM : </w:t>
      </w:r>
      <m:oMath>
        <m:r>
          <w:rPr>
            <w:rFonts w:ascii="Cambria Math" w:hAnsi="Cambria Math"/>
          </w:rPr>
          <m:t>FEM=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tbl>
      <w:tblPr>
        <w:tblStyle w:val="Grilledetableauclaire"/>
        <w:tblW w:w="0" w:type="auto"/>
        <w:tblLook w:val="0400" w:firstRow="0" w:lastRow="0" w:firstColumn="0" w:lastColumn="0" w:noHBand="0" w:noVBand="1"/>
      </w:tblPr>
      <w:tblGrid>
        <w:gridCol w:w="7335"/>
      </w:tblGrid>
      <w:tr>
        <w:tc>
          <w:tcPr>
            <w:tcW w:w="7335" w:type="dxa"/>
          </w:tcPr>
          <w:p>
            <w:pPr>
              <w:rPr>
                <w:rFonts w:eastAsiaTheme="minorEastAsia"/>
                <w:b/>
              </w:rPr>
            </w:pPr>
            <w:r>
              <w:rPr>
                <w:rFonts w:eastAsiaTheme="minorEastAsia"/>
              </w:rPr>
              <w:t>Si on ouvre les canaux dans quel sens vont se déplacer les ions ?</w:t>
            </w:r>
          </w:p>
          <w:p>
            <w:pPr>
              <w:rPr>
                <w:rFonts w:eastAsiaTheme="minorEastAsia"/>
                <w:b/>
              </w:rPr>
            </w:pPr>
            <w:r>
              <w:rPr>
                <w:rFonts w:eastAsiaTheme="minorEastAsia"/>
              </w:rPr>
              <w:t xml:space="preserve">Pour </w:t>
            </w:r>
            <m:oMath>
              <m:sSup>
                <m:sSupPr>
                  <m:ctrlPr>
                    <w:rPr>
                      <w:rFonts w:ascii="Cambria Math" w:eastAsiaTheme="minorEastAsia" w:hAnsi="Cambria Math"/>
                      <w:i/>
                    </w:rPr>
                  </m:ctrlPr>
                </m:sSupPr>
                <m:e>
                  <m:r>
                    <m:rPr>
                      <m:sty m:val="bi"/>
                    </m:rPr>
                    <w:rPr>
                      <w:rFonts w:ascii="Cambria Math" w:eastAsiaTheme="minorEastAsia" w:hAnsi="Cambria Math"/>
                    </w:rPr>
                    <m:t>Cl</m:t>
                  </m:r>
                </m:e>
                <m:sup>
                  <m:r>
                    <m:rPr>
                      <m:sty m:val="bi"/>
                    </m:rPr>
                    <w:rPr>
                      <w:rFonts w:ascii="Cambria Math" w:eastAsiaTheme="minorEastAsia" w:hAnsi="Cambria Math"/>
                    </w:rPr>
                    <m:t>-</m:t>
                  </m:r>
                </m:sup>
              </m:sSup>
            </m:oMath>
            <w:r>
              <w:rPr>
                <w:rFonts w:eastAsiaTheme="minorEastAsia"/>
              </w:rPr>
              <w:t xml:space="preserve"> on a </w:t>
            </w:r>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int</m:t>
                  </m:r>
                </m:sub>
              </m:sSub>
              <m:r>
                <m:rPr>
                  <m:sty m:val="bi"/>
                </m:rPr>
                <w:rPr>
                  <w:rFonts w:ascii="Cambria Math" w:eastAsiaTheme="minorEastAsia" w:hAnsi="Cambria Math"/>
                </w:rPr>
                <m:t>=13</m:t>
              </m:r>
              <m:r>
                <m:rPr>
                  <m:sty m:val="bi"/>
                </m:rPr>
                <w:rPr>
                  <w:rFonts w:ascii="Cambria Math" w:eastAsiaTheme="minorEastAsia" w:hAnsi="Cambria Math"/>
                </w:rPr>
                <m:t>mM</m:t>
              </m:r>
            </m:oMath>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ext</m:t>
                  </m:r>
                </m:sub>
              </m:sSub>
              <m:r>
                <m:rPr>
                  <m:sty m:val="bi"/>
                </m:rPr>
                <w:rPr>
                  <w:rFonts w:ascii="Cambria Math" w:eastAsiaTheme="minorEastAsia" w:hAnsi="Cambria Math"/>
                </w:rPr>
                <m:t>=13</m:t>
              </m:r>
              <m:r>
                <m:rPr>
                  <m:sty m:val="bi"/>
                </m:rPr>
                <w:rPr>
                  <w:rFonts w:ascii="Cambria Math" w:eastAsiaTheme="minorEastAsia" w:hAnsi="Cambria Math"/>
                </w:rPr>
                <m:t>mM</m:t>
              </m:r>
            </m:oMath>
          </w:p>
          <w:p>
            <w:pPr>
              <w:rPr>
                <w:rFonts w:eastAsiaTheme="minorEastAsia"/>
                <w:b/>
              </w:rPr>
            </w:pPr>
            <w:proofErr w:type="spellStart"/>
            <w:r>
              <w:rPr>
                <w:rFonts w:eastAsiaTheme="minorEastAsia"/>
              </w:rPr>
              <w:t>E</w:t>
            </w:r>
            <w:r>
              <w:rPr>
                <w:rFonts w:eastAsiaTheme="minorEastAsia"/>
                <w:vertAlign w:val="subscript"/>
              </w:rPr>
              <w:t>ion</w:t>
            </w:r>
            <w:proofErr w:type="spellEnd"/>
            <w:r>
              <w:rPr>
                <w:rFonts w:eastAsiaTheme="minorEastAsia"/>
              </w:rPr>
              <w:t>=-58mV la membrane va tendre vers le potentiel d’équilibre de l’ion.</w:t>
            </w:r>
          </w:p>
          <w:p>
            <w:pPr>
              <w:rPr>
                <w:rFonts w:eastAsiaTheme="minorEastAsia"/>
                <w:b/>
              </w:rPr>
            </w:pPr>
            <w:r>
              <w:rPr>
                <w:rFonts w:eastAsiaTheme="minorEastAsia"/>
              </w:rPr>
              <w:t xml:space="preserve">Si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membrane</m:t>
                  </m:r>
                </m:sub>
              </m:sSub>
              <m:r>
                <m:rPr>
                  <m:sty m:val="bi"/>
                </m:rPr>
                <w:rPr>
                  <w:rFonts w:ascii="Cambria Math" w:eastAsiaTheme="minorEastAsia" w:hAnsi="Cambria Math"/>
                </w:rPr>
                <m:t>=-70</m:t>
              </m:r>
              <m:r>
                <m:rPr>
                  <m:sty m:val="bi"/>
                </m:rPr>
                <w:rPr>
                  <w:rFonts w:ascii="Cambria Math" w:eastAsiaTheme="minorEastAsia" w:hAnsi="Cambria Math"/>
                </w:rPr>
                <m:t>mV, l</m:t>
              </m:r>
            </m:oMath>
            <w:r>
              <w:rPr>
                <w:rFonts w:eastAsiaTheme="minorEastAsia"/>
              </w:rPr>
              <w:t>a force électromotrice est -70mV-(-58mV) = -12mV</w:t>
            </w:r>
          </w:p>
        </w:tc>
      </w:tr>
    </w:tbl>
    <w:p>
      <w:pPr>
        <w:rPr>
          <w:rFonts w:eastAsiaTheme="minorEastAsia"/>
        </w:rPr>
      </w:pPr>
      <w:r>
        <w:rPr>
          <w:rFonts w:eastAsiaTheme="minorEastAsia"/>
        </w:rPr>
        <w:t>Le flux de l’ion est nul si le potentiel de membrane est potentiel de l’ion.</w:t>
      </w:r>
    </w:p>
    <w:tbl>
      <w:tblPr>
        <w:tblStyle w:val="Grilledetableauclaire"/>
        <w:tblW w:w="0" w:type="auto"/>
        <w:tblLook w:val="0400" w:firstRow="0" w:lastRow="0" w:firstColumn="0" w:lastColumn="0" w:noHBand="0" w:noVBand="1"/>
      </w:tblPr>
      <w:tblGrid>
        <w:gridCol w:w="7335"/>
      </w:tblGrid>
      <w:tr>
        <w:tc>
          <w:tcPr>
            <w:tcW w:w="7335" w:type="dxa"/>
          </w:tcPr>
          <w:p>
            <w:pPr>
              <w:rPr>
                <w:rFonts w:eastAsiaTheme="minorEastAsia"/>
                <w:b/>
                <w:highlight w:val="yellow"/>
              </w:rPr>
            </w:pPr>
            <w:r>
              <w:rPr>
                <w:rStyle w:val="Accentuation"/>
                <w:highlight w:val="yellow"/>
              </w:rPr>
              <w:t>Potentiel d’équilibre</w:t>
            </w:r>
            <w:r>
              <w:rPr>
                <w:rFonts w:eastAsiaTheme="minorEastAsia"/>
                <w:highlight w:val="yellow"/>
              </w:rPr>
              <w:t xml:space="preserve"> la différence de charge entre le milieu interne et externe.</w:t>
            </w:r>
          </w:p>
          <w:p>
            <w:pPr>
              <w:rPr>
                <w:rFonts w:eastAsiaTheme="minorEastAsia"/>
                <w:b/>
              </w:rPr>
            </w:pPr>
            <w:r>
              <w:rPr>
                <w:rStyle w:val="Accentuation"/>
                <w:highlight w:val="yellow"/>
              </w:rPr>
              <w:t>FEM</w:t>
            </w:r>
            <w:r>
              <w:rPr>
                <w:rFonts w:eastAsiaTheme="minorEastAsia"/>
                <w:highlight w:val="yellow"/>
              </w:rPr>
              <w:t xml:space="preserve"> valeur de la charge dissymétrique entre les deux milieux soient égaux.</w:t>
            </w:r>
            <w:r>
              <w:rPr>
                <w:rFonts w:eastAsiaTheme="minorEastAsia"/>
              </w:rPr>
              <w:t xml:space="preserve"> </w:t>
            </w:r>
          </w:p>
        </w:tc>
      </w:tr>
    </w:tbl>
    <w:p>
      <w:pPr>
        <w:rPr>
          <w:rFonts w:eastAsiaTheme="minorEastAsia"/>
        </w:rPr>
      </w:pPr>
      <w:r>
        <w:rPr>
          <w:rFonts w:eastAsiaTheme="minorEastAsia"/>
          <w:u w:val="single"/>
        </w:rPr>
        <w:t>Rmq :</w:t>
      </w:r>
      <w:r>
        <w:rPr>
          <w:rFonts w:eastAsiaTheme="minorEastAsia"/>
        </w:rPr>
        <w:t xml:space="preserve"> pour connaître le flux, on pose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rPr>
                  <m:t>J=-D×S×</m:t>
                </m:r>
                <m:f>
                  <m:fPr>
                    <m:ctrlPr>
                      <w:rPr>
                        <w:rFonts w:ascii="Cambria Math" w:hAnsi="Cambria Math"/>
                        <w:b w:val="0"/>
                        <w:i/>
                      </w:rPr>
                    </m:ctrlPr>
                  </m:fPr>
                  <m:num>
                    <m:r>
                      <m:rPr>
                        <m:sty m:val="bi"/>
                      </m:rPr>
                      <w:rPr>
                        <w:rFonts w:ascii="Cambria Math" w:hAnsi="Cambria Math"/>
                      </w:rPr>
                      <m:t>∆C</m:t>
                    </m:r>
                  </m:num>
                  <m:den>
                    <m:r>
                      <m:rPr>
                        <m:sty m:val="bi"/>
                      </m:rPr>
                      <w:rPr>
                        <w:rFonts w:ascii="Cambria Math" w:hAnsi="Cambria Math"/>
                      </w:rPr>
                      <m:t>L</m:t>
                    </m:r>
                  </m:den>
                </m:f>
              </m:oMath>
            </m:oMathPara>
          </w:p>
        </w:tc>
        <w:tc>
          <w:tcPr>
            <w:tcW w:w="3668" w:type="dxa"/>
          </w:tcPr>
          <w:p>
            <w:pPr>
              <w:rPr>
                <w:vertAlign w:val="superscript"/>
              </w:rPr>
            </w:pPr>
            <m:oMath>
              <m:r>
                <w:rPr>
                  <w:rFonts w:ascii="Cambria Math" w:hAnsi="Cambria Math"/>
                </w:rPr>
                <m:t>J</m:t>
              </m:r>
            </m:oMath>
            <w:r>
              <w:t xml:space="preserve"> vitesse du flux en </w:t>
            </w:r>
            <w:proofErr w:type="gramStart"/>
            <w:r>
              <w:t>mole.s</w:t>
            </w:r>
            <w:proofErr w:type="gramEnd"/>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3"/>
      </w:pPr>
      <w:r>
        <w:t>Conductance unitaire du canal (loi d’Ohm)</w:t>
      </w:r>
    </w:p>
    <w:tbl>
      <w:tblPr>
        <w:tblStyle w:val="Grilledetableauclaire"/>
        <w:tblW w:w="0" w:type="auto"/>
        <w:tblLook w:val="0400" w:firstRow="0" w:lastRow="0" w:firstColumn="0" w:lastColumn="0" w:noHBand="0" w:noVBand="1"/>
      </w:tblPr>
      <w:tblGrid>
        <w:gridCol w:w="3667"/>
        <w:gridCol w:w="3668"/>
      </w:tblGrid>
      <w:tr>
        <w:tc>
          <w:tcPr>
            <w:tcW w:w="3667" w:type="dxa"/>
          </w:tcPr>
          <w:p>
            <m:oMathPara>
              <m:oMath>
                <m:sSub>
                  <m:sSubPr>
                    <m:ctrlPr>
                      <w:rPr>
                        <w:rFonts w:ascii="Cambria Math" w:hAnsi="Cambria Math"/>
                        <w:i/>
                      </w:rPr>
                    </m:ctrlPr>
                  </m:sSubPr>
                  <m:e>
                    <m:r>
                      <w:rPr>
                        <w:rFonts w:ascii="Cambria Math" w:hAnsi="Cambria Math"/>
                      </w:rPr>
                      <m:t>I</m:t>
                    </m:r>
                  </m:e>
                  <m:sub>
                    <m:r>
                      <w:rPr>
                        <w:rFonts w:ascii="Cambria Math" w:hAnsi="Cambria Math"/>
                      </w:rPr>
                      <m:t>ion</m:t>
                    </m:r>
                  </m:sub>
                </m:sSub>
                <m:r>
                  <w:rPr>
                    <w:rFonts w:ascii="Cambria Math" w:hAnsi="Cambria Math"/>
                  </w:rPr>
                  <m:t>=g×FEM=</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×FEM</m:t>
                </m:r>
              </m:oMath>
            </m:oMathPara>
          </w:p>
        </w:tc>
        <w:tc>
          <w:tcPr>
            <w:tcW w:w="3668" w:type="dxa"/>
          </w:tcPr>
          <w:p>
            <w:pPr>
              <w:rPr>
                <w:rFonts w:eastAsiaTheme="minorEastAsia"/>
                <w:b/>
              </w:rPr>
            </w:pPr>
            <m:oMath>
              <m:r>
                <w:rPr>
                  <w:rFonts w:ascii="Cambria Math" w:hAnsi="Cambria Math"/>
                </w:rPr>
                <m:t>g</m:t>
              </m:r>
            </m:oMath>
            <w:r>
              <w:t xml:space="preserve"> conductance unitaire du canal </w:t>
            </w:r>
            <m:oMath>
              <m:r>
                <w:rPr>
                  <w:rFonts w:ascii="Cambria Math" w:hAnsi="Cambria Math"/>
                </w:rPr>
                <m:t>A.</m:t>
              </m:r>
              <m:sSup>
                <m:sSupPr>
                  <m:ctrlPr>
                    <w:rPr>
                      <w:rFonts w:ascii="Cambria Math" w:hAnsi="Cambria Math"/>
                      <w:b/>
                      <w:i/>
                    </w:rPr>
                  </m:ctrlPr>
                </m:sSupPr>
                <m:e>
                  <m:r>
                    <w:rPr>
                      <w:rFonts w:ascii="Cambria Math" w:hAnsi="Cambria Math"/>
                    </w:rPr>
                    <m:t>V</m:t>
                  </m:r>
                </m:e>
                <m:sup>
                  <m:r>
                    <w:rPr>
                      <w:rFonts w:ascii="Cambria Math" w:hAnsi="Cambria Math"/>
                    </w:rPr>
                    <m:t>-1</m:t>
                  </m:r>
                </m:sup>
              </m:sSup>
              <m:r>
                <w:rPr>
                  <w:rFonts w:ascii="Cambria Math" w:hAnsi="Cambria Math"/>
                </w:rPr>
                <m:t>=</m:t>
              </m:r>
              <m:r>
                <m:rPr>
                  <m:sty m:val="p"/>
                </m:rPr>
                <w:rPr>
                  <w:rFonts w:ascii="Cambria Math" w:hAnsi="Cambria Math"/>
                </w:rPr>
                <m:t>Ω</m:t>
              </m:r>
            </m:oMath>
          </w:p>
          <w:p>
            <w:pPr>
              <w:rPr>
                <w:rFonts w:eastAsiaTheme="minorEastAsia"/>
                <w:b/>
              </w:rPr>
            </w:pPr>
            <m:oMath>
              <m:r>
                <w:rPr>
                  <w:rFonts w:ascii="Cambria Math" w:hAnsi="Cambria Math"/>
                </w:rPr>
                <m:t>I</m:t>
              </m:r>
            </m:oMath>
            <w:r>
              <w:rPr>
                <w:rFonts w:eastAsiaTheme="minorEastAsia"/>
              </w:rPr>
              <w:t xml:space="preserve"> intensité (charge par temps) C</w:t>
            </w:r>
            <m:oMath>
              <m:r>
                <w:rPr>
                  <w:rFonts w:ascii="Cambria Math" w:hAnsi="Cambria Math"/>
                </w:rPr>
                <m:t>.</m:t>
              </m:r>
              <m:sSup>
                <m:sSupPr>
                  <m:ctrlPr>
                    <w:rPr>
                      <w:rFonts w:ascii="Cambria Math" w:hAnsi="Cambria Math"/>
                      <w:b/>
                      <w:i/>
                    </w:rPr>
                  </m:ctrlPr>
                </m:sSupPr>
                <m:e>
                  <m:r>
                    <m:rPr>
                      <m:sty m:val="bi"/>
                    </m:rPr>
                    <w:rPr>
                      <w:rFonts w:ascii="Cambria Math" w:hAnsi="Cambria Math"/>
                    </w:rPr>
                    <m:t>s</m:t>
                  </m:r>
                </m:e>
                <m:sup>
                  <m:r>
                    <w:rPr>
                      <w:rFonts w:ascii="Cambria Math" w:hAnsi="Cambria Math"/>
                    </w:rPr>
                    <m:t>-1</m:t>
                  </m:r>
                </m:sup>
              </m:sSup>
              <m:r>
                <w:rPr>
                  <w:rFonts w:ascii="Cambria Math" w:hAnsi="Cambria Math"/>
                </w:rPr>
                <m:t>=A</m:t>
              </m:r>
            </m:oMath>
          </w:p>
          <w:p>
            <w:pPr>
              <w:rPr>
                <w:rFonts w:eastAsiaTheme="minorEastAsia"/>
              </w:rPr>
            </w:pP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résistance </w:t>
            </w:r>
            <m:oMath>
              <m:sSup>
                <m:sSupPr>
                  <m:ctrlPr>
                    <w:rPr>
                      <w:rFonts w:ascii="Cambria Math" w:hAnsi="Cambria Math"/>
                    </w:rPr>
                  </m:ctrlPr>
                </m:sSupPr>
                <m:e>
                  <m:r>
                    <m:rPr>
                      <m:sty m:val="p"/>
                    </m:rPr>
                    <w:rPr>
                      <w:rFonts w:ascii="Cambria Math" w:hAnsi="Cambria Math"/>
                    </w:rPr>
                    <m:t>Ω</m:t>
                  </m:r>
                </m:e>
                <m:sup>
                  <m:r>
                    <w:rPr>
                      <w:rFonts w:ascii="Cambria Math" w:hAnsi="Cambria Math"/>
                    </w:rPr>
                    <m:t>-1</m:t>
                  </m:r>
                </m:sup>
              </m:sSup>
            </m:oMath>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 :</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suffisamment rapidement.</w:t>
      </w:r>
    </w:p>
    <w:p>
      <w:r>
        <w:t xml:space="preserve">Cette difficulté a été résolue par l’utilisation de protéines membranaires qui facilitent la traversé de la membrane.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lastRenderedPageBreak/>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p>
    <w:p>
      <w:pPr>
        <w:pStyle w:val="Titre3"/>
      </w:pPr>
      <w:r>
        <w:t>Diffusion facilitée</w:t>
      </w:r>
    </w:p>
    <w:p>
      <w:r>
        <w:t>La diffusion facilitée est le moyen de transport des molécules pour qui la membrane plasmique ne permet pas une diffusion suffisamment rapide comme pour le glucose.</w:t>
      </w:r>
    </w:p>
    <w:p>
      <w:r>
        <w:t>Il existe trois types de protéines en fonction du nombre de molécule qu’elle échange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t>Canaux ioniques</w:t>
      </w:r>
    </w:p>
    <w:p>
      <w:pPr>
        <w:pStyle w:val="Paragraphedeliste"/>
        <w:numPr>
          <w:ilvl w:val="0"/>
          <w:numId w:val="33"/>
        </w:numPr>
      </w:pPr>
      <w:r>
        <w:t>Les aquaporines qui sont des canaux ouverts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Elles consomment 40% de l’ATP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La dissymétrie entre les deux milieux est générée par des transporteurs actifs.</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transporteurs de la diffusion facilitée. Ils sont par défaut fermés et ne s’ouvrent quand réponse à un stimuli de type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w:t>
      </w:r>
      <w:r>
        <w:lastRenderedPageBreak/>
        <w:t>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jusqu’à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rPr>
          <w:rStyle w:val="Accentuation"/>
        </w:rPr>
        <w:t>Potentiel d’équilibre</w:t>
      </w:r>
      <w:r>
        <w:t xml:space="preserve"> (noté </w:t>
      </w:r>
      <w:proofErr w:type="spellStart"/>
      <w:r>
        <w:t>E</w:t>
      </w:r>
      <w:r>
        <w:rPr>
          <w:vertAlign w:val="subscript"/>
        </w:rPr>
        <w:t>k</w:t>
      </w:r>
      <w:proofErr w:type="spellEnd"/>
      <w:r>
        <w:t>) c’est le potentiel pour lequel le flux net de l’ion étudié est nul.</w:t>
      </w:r>
    </w:p>
    <w:p>
      <w:r>
        <w:t>Potentiel de repos noté (E</w:t>
      </w:r>
      <w:r>
        <w:rPr>
          <w:vertAlign w:val="subscript"/>
        </w:rPr>
        <w:t>r</w:t>
      </w:r>
      <w:r>
        <w:t>) potentiel généré par l’activité de pompes (transport actif).</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Fibres musculaires.</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La bande Z pour les minces.</w:t>
            </w:r>
          </w:p>
        </w:tc>
        <w:tc>
          <w:tcPr>
            <w:tcW w:w="3668" w:type="dxa"/>
          </w:tcPr>
          <w:p>
            <w:r>
              <w:t>La bande M pour les épais.</w:t>
            </w:r>
          </w:p>
        </w:tc>
      </w:tr>
    </w:tbl>
    <w:p>
      <w:pPr>
        <w:pStyle w:val="Titre3"/>
      </w:pPr>
      <w:r>
        <w:t>L’unité de base motrice : le sarcomère</w:t>
      </w:r>
    </w:p>
    <w:p>
      <w:r>
        <w:t>Un sarcomère est défini comme l’unité motrice de base par la section entre deux bandes Z. Il est formé :</w:t>
      </w:r>
    </w:p>
    <w:p>
      <w:pPr>
        <w:pStyle w:val="Paragraphedeliste"/>
        <w:numPr>
          <w:ilvl w:val="0"/>
          <w:numId w:val="38"/>
        </w:numPr>
      </w:pPr>
      <w:r>
        <w:t xml:space="preserve">Au milieu d’un groupe de myofilaments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lastRenderedPageBreak/>
        <w:t>Les filaments de :</w:t>
      </w:r>
    </w:p>
    <w:p>
      <w:pPr>
        <w:pStyle w:val="Paragraphedeliste"/>
        <w:numPr>
          <w:ilvl w:val="0"/>
          <w:numId w:val="42"/>
        </w:numPr>
      </w:pPr>
      <w:r>
        <w:t>Myosines composés de l’assemblage de deux chaines protéiques terminées par une tête enroulée l’une autour de l’autre. Ils sont reliés à chaque extrémité à une lignes Z par une protéine élastique appelée titine. Elle confère au muscle une certaine élasticité. Elle s’apparente à un ressort. </w:t>
      </w:r>
    </w:p>
    <w:p>
      <w:pPr>
        <w:pStyle w:val="Paragraphedeliste"/>
        <w:numPr>
          <w:ilvl w:val="0"/>
          <w:numId w:val="42"/>
        </w:numPr>
      </w:pPr>
      <w:r>
        <w:t>Actines formés par deux chaines de tropomyosines qui entourent à intervalle régulier le complexe de troponine.</w:t>
      </w:r>
    </w:p>
    <w:p>
      <w:r>
        <w:t>Les tubules transverses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 Ce sera par exemple pour un neuromoteur, la quantité de référence d’une exocytose d’acétylcholine.</w:t>
      </w:r>
    </w:p>
    <w:p>
      <w:pPr>
        <w:rPr>
          <w:highlight w:val="yellow"/>
        </w:rPr>
      </w:pPr>
      <w:r>
        <w:rPr>
          <w:highlight w:val="yellow"/>
        </w:rPr>
        <w:t>Plaque motrice partie. Elle contient une forte densité de récepteur cholinergique (sensible à l’acétylcholine). </w:t>
      </w:r>
    </w:p>
    <w:p>
      <w:r>
        <w:rPr>
          <w:highlight w:val="yellow"/>
        </w:rPr>
        <w:t>Potentiel de la plaque motrice</w:t>
      </w:r>
      <w:r>
        <w:t>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La propagation du PA jusqu’au réticulum sarcoplasmique se fait par des canaux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que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lastRenderedPageBreak/>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La contraction musculaire est provoquée par la libération d’acétylcholine (un neurotransmetteur) par des neurones moteur. En se fixant aux récepteurs membranaire de la fibre musculaire, elle génère un potentiel d’action qui se propage dans le cytosol par des tubules transverses jusqu’au 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est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(opposition passive) </w:t>
      </w:r>
      <w:r>
        <w:t>tension exercer sur le muscle lorsqu’il est au repos (en contraction).</w:t>
      </w:r>
    </w:p>
    <w:p>
      <w:r>
        <w:t>Le muscle peut se raccourcir jusqu’à 30% de sa longueur. </w:t>
      </w:r>
    </w:p>
    <w:p>
      <w:pPr>
        <w:pStyle w:val="Titre2"/>
      </w:pPr>
      <w:r>
        <w:t>Les muscles lisses </w:t>
      </w:r>
    </w:p>
    <w:p>
      <w:r>
        <w:t>Les muscles lisses sont contrôlés par le SN autonome et le système endocrinien. Les cellules n’ont pas fusionné. De 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p>
      <w:r>
        <w:rPr>
          <w:rStyle w:val="Accentuation"/>
        </w:rPr>
        <w:t>Isométrique</w:t>
      </w:r>
      <w:r>
        <w:t xml:space="preserve"> même longueur.</w:t>
      </w:r>
    </w:p>
    <w:p>
      <w:r>
        <w:rPr>
          <w:rStyle w:val="Accentuation"/>
        </w:rPr>
        <w:t>Isotonique</w:t>
      </w:r>
      <w:r>
        <w:t xml:space="preserve"> même tension.</w:t>
      </w:r>
    </w:p>
    <w:p>
      <w:r>
        <w:rPr>
          <w:rStyle w:val="Accentuation"/>
        </w:rPr>
        <w:t>Force active</w:t>
      </w:r>
      <w:r>
        <w:t xml:space="preserve"> en fonction de sa longueur d’étirement</w:t>
      </w:r>
    </w:p>
    <w:p>
      <w:r>
        <w:rPr>
          <w:rStyle w:val="Accentuation"/>
        </w:rPr>
        <w:t>Force passive</w:t>
      </w:r>
      <w:r>
        <w:t xml:space="preserve"> en fonction de sa longueur d’étirement</w:t>
      </w:r>
    </w:p>
    <w:p>
      <w:r>
        <w:rPr>
          <w:rStyle w:val="Accentuation"/>
        </w:rPr>
        <w:t>Force totale</w:t>
      </w:r>
      <w:r>
        <w:t xml:space="preserve"> du muscle en fonction de sa longueur d’étirement</w:t>
      </w:r>
    </w:p>
    <w:p>
      <w:r>
        <w:rPr>
          <w:rStyle w:val="Accentuation"/>
        </w:rPr>
        <w:t>Supraliminaire</w:t>
      </w:r>
      <w:r>
        <w:t xml:space="preserve"> qui est supérieur à la valeur seuil.</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50.25pt;height:21.75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3"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26628321">
    <w:abstractNumId w:val="28"/>
  </w:num>
  <w:num w:numId="2" w16cid:durableId="1841967694">
    <w:abstractNumId w:val="27"/>
  </w:num>
  <w:num w:numId="3" w16cid:durableId="667100467">
    <w:abstractNumId w:val="12"/>
  </w:num>
  <w:num w:numId="4" w16cid:durableId="567962579">
    <w:abstractNumId w:val="1"/>
  </w:num>
  <w:num w:numId="5" w16cid:durableId="921180865">
    <w:abstractNumId w:val="11"/>
  </w:num>
  <w:num w:numId="6" w16cid:durableId="1049458750">
    <w:abstractNumId w:val="7"/>
  </w:num>
  <w:num w:numId="7" w16cid:durableId="131020815">
    <w:abstractNumId w:val="13"/>
  </w:num>
  <w:num w:numId="8" w16cid:durableId="635139293">
    <w:abstractNumId w:val="20"/>
  </w:num>
  <w:num w:numId="9" w16cid:durableId="1548760757">
    <w:abstractNumId w:val="30"/>
  </w:num>
  <w:num w:numId="10" w16cid:durableId="1614434736">
    <w:abstractNumId w:val="14"/>
  </w:num>
  <w:num w:numId="11" w16cid:durableId="46999594">
    <w:abstractNumId w:val="15"/>
  </w:num>
  <w:num w:numId="12" w16cid:durableId="65227704">
    <w:abstractNumId w:val="3"/>
  </w:num>
  <w:num w:numId="13" w16cid:durableId="392892159">
    <w:abstractNumId w:val="32"/>
  </w:num>
  <w:num w:numId="14" w16cid:durableId="749038268">
    <w:abstractNumId w:val="18"/>
  </w:num>
  <w:num w:numId="15" w16cid:durableId="1886529604">
    <w:abstractNumId w:val="22"/>
  </w:num>
  <w:num w:numId="16" w16cid:durableId="448623001">
    <w:abstractNumId w:val="36"/>
  </w:num>
  <w:num w:numId="17" w16cid:durableId="1848054188">
    <w:abstractNumId w:val="4"/>
  </w:num>
  <w:num w:numId="18" w16cid:durableId="669453065">
    <w:abstractNumId w:val="9"/>
  </w:num>
  <w:num w:numId="19" w16cid:durableId="1601335168">
    <w:abstractNumId w:val="21"/>
  </w:num>
  <w:num w:numId="20" w16cid:durableId="1870530049">
    <w:abstractNumId w:val="31"/>
  </w:num>
  <w:num w:numId="21" w16cid:durableId="1701395894">
    <w:abstractNumId w:val="16"/>
  </w:num>
  <w:num w:numId="22" w16cid:durableId="1812793575">
    <w:abstractNumId w:val="26"/>
  </w:num>
  <w:num w:numId="23" w16cid:durableId="2058846160">
    <w:abstractNumId w:val="39"/>
  </w:num>
  <w:num w:numId="24" w16cid:durableId="837961028">
    <w:abstractNumId w:val="35"/>
  </w:num>
  <w:num w:numId="25" w16cid:durableId="810680470">
    <w:abstractNumId w:val="38"/>
  </w:num>
  <w:num w:numId="26" w16cid:durableId="670449965">
    <w:abstractNumId w:val="5"/>
  </w:num>
  <w:num w:numId="27" w16cid:durableId="677539886">
    <w:abstractNumId w:val="0"/>
  </w:num>
  <w:num w:numId="28" w16cid:durableId="1336344595">
    <w:abstractNumId w:val="25"/>
  </w:num>
  <w:num w:numId="29" w16cid:durableId="417945490">
    <w:abstractNumId w:val="6"/>
  </w:num>
  <w:num w:numId="30" w16cid:durableId="344333444">
    <w:abstractNumId w:val="29"/>
  </w:num>
  <w:num w:numId="31" w16cid:durableId="2006785056">
    <w:abstractNumId w:val="19"/>
  </w:num>
  <w:num w:numId="32" w16cid:durableId="339311745">
    <w:abstractNumId w:val="2"/>
  </w:num>
  <w:num w:numId="33" w16cid:durableId="969750711">
    <w:abstractNumId w:val="40"/>
  </w:num>
  <w:num w:numId="34" w16cid:durableId="584606795">
    <w:abstractNumId w:val="34"/>
  </w:num>
  <w:num w:numId="35" w16cid:durableId="688414831">
    <w:abstractNumId w:val="24"/>
  </w:num>
  <w:num w:numId="36" w16cid:durableId="314645359">
    <w:abstractNumId w:val="8"/>
  </w:num>
  <w:num w:numId="37" w16cid:durableId="2134321591">
    <w:abstractNumId w:val="23"/>
  </w:num>
  <w:num w:numId="38" w16cid:durableId="543294535">
    <w:abstractNumId w:val="33"/>
  </w:num>
  <w:num w:numId="39" w16cid:durableId="476994264">
    <w:abstractNumId w:val="41"/>
  </w:num>
  <w:num w:numId="40" w16cid:durableId="1939410571">
    <w:abstractNumId w:val="10"/>
  </w:num>
  <w:num w:numId="41" w16cid:durableId="1547060275">
    <w:abstractNumId w:val="37"/>
  </w:num>
  <w:num w:numId="42" w16cid:durableId="3143338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7</Pages>
  <Words>2537</Words>
  <Characters>13956</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59</cp:revision>
  <cp:lastPrinted>2021-02-13T18:38:00Z</cp:lastPrinted>
  <dcterms:created xsi:type="dcterms:W3CDTF">2021-05-17T20:06:00Z</dcterms:created>
  <dcterms:modified xsi:type="dcterms:W3CDTF">2022-04-14T10:03:00Z</dcterms:modified>
</cp:coreProperties>
</file>