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Les êtes vivants sont constitués de deux types de molécules de :</w:t>
      </w:r>
    </w:p>
    <w:tbl>
      <w:tblPr>
        <w:tblStyle w:val="Grilledetableauclaire"/>
        <w:tblW w:w="0" w:type="auto"/>
        <w:tblLook w:val="0600" w:firstRow="0" w:lastRow="0" w:firstColumn="0" w:lastColumn="0" w:noHBand="1" w:noVBand="1"/>
      </w:tblPr>
      <w:tblGrid>
        <w:gridCol w:w="3667"/>
        <w:gridCol w:w="3668"/>
      </w:tblGrid>
      <w:tr>
        <w:tc>
          <w:tcPr>
            <w:tcW w:w="3667" w:type="dxa"/>
          </w:tcPr>
          <w:p>
            <w:r>
              <w:t>Polymères (3 types différents)</w:t>
            </w:r>
          </w:p>
        </w:tc>
        <w:tc>
          <w:tcPr>
            <w:tcW w:w="3668" w:type="dxa"/>
          </w:tcPr>
          <w:p>
            <w:r>
              <w:t>Lipides</w:t>
            </w:r>
          </w:p>
        </w:tc>
      </w:tr>
    </w:tbl>
    <w:p>
      <w:r>
        <w:t xml:space="preserve">Les polymères sont des séquences d’unités, de molécules appelées </w:t>
      </w:r>
      <w:r>
        <w:t>monomères</w:t>
      </w:r>
      <w:r>
        <w:t>, répétés p</w:t>
      </w:r>
      <w:r>
        <w:t xml:space="preserve">lusieurs </w:t>
      </w:r>
      <w:r>
        <w:t>fois.</w:t>
      </w:r>
    </w:p>
    <w:p>
      <w:pPr>
        <w:pStyle w:val="Titre3"/>
      </w:pPr>
      <w:r>
        <w:t>Les polymères</w:t>
      </w:r>
    </w:p>
    <w:p>
      <w:r>
        <w:t>Les polymères organiques sont composés de :</w:t>
      </w:r>
    </w:p>
    <w:tbl>
      <w:tblPr>
        <w:tblStyle w:val="Grilledetableauclaire"/>
        <w:tblW w:w="0" w:type="auto"/>
        <w:tblLook w:val="04A0" w:firstRow="1" w:lastRow="0" w:firstColumn="1" w:lastColumn="0" w:noHBand="0" w:noVBand="1"/>
      </w:tblPr>
      <w:tblGrid>
        <w:gridCol w:w="1833"/>
        <w:gridCol w:w="2131"/>
        <w:gridCol w:w="1843"/>
        <w:gridCol w:w="1528"/>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
              <w:t>Monomère</w:t>
            </w:r>
          </w:p>
        </w:tc>
        <w:tc>
          <w:tcPr>
            <w:tcW w:w="2131" w:type="dxa"/>
          </w:tcPr>
          <w:p>
            <w:pPr>
              <w:cnfStyle w:val="100000000000" w:firstRow="1" w:lastRow="0" w:firstColumn="0" w:lastColumn="0" w:oddVBand="0" w:evenVBand="0" w:oddHBand="0" w:evenHBand="0" w:firstRowFirstColumn="0" w:firstRowLastColumn="0" w:lastRowFirstColumn="0" w:lastRowLastColumn="0"/>
            </w:pPr>
            <w:r>
              <w:t>Acide aminé</w:t>
            </w:r>
          </w:p>
        </w:tc>
        <w:tc>
          <w:tcPr>
            <w:tcW w:w="1843" w:type="dxa"/>
          </w:tcPr>
          <w:p>
            <w:pPr>
              <w:cnfStyle w:val="100000000000" w:firstRow="1" w:lastRow="0" w:firstColumn="0" w:lastColumn="0" w:oddVBand="0" w:evenVBand="0" w:oddHBand="0" w:evenHBand="0" w:firstRowFirstColumn="0" w:firstRowLastColumn="0" w:lastRowFirstColumn="0" w:lastRowLastColumn="0"/>
            </w:pPr>
            <w:r>
              <w:t>Acide nucléique</w:t>
            </w:r>
          </w:p>
        </w:tc>
        <w:tc>
          <w:tcPr>
            <w:tcW w:w="1528" w:type="dxa"/>
          </w:tcPr>
          <w:p>
            <w:pPr>
              <w:cnfStyle w:val="100000000000" w:firstRow="1" w:lastRow="0" w:firstColumn="0" w:lastColumn="0" w:oddVBand="0" w:evenVBand="0" w:oddHBand="0" w:evenHBand="0" w:firstRowFirstColumn="0" w:firstRowLastColumn="0" w:lastRowFirstColumn="0" w:lastRowLastColumn="0"/>
            </w:pPr>
            <w:r>
              <w:t>Glucide</w:t>
            </w:r>
          </w:p>
        </w:tc>
      </w:tr>
      <w:tr>
        <w:tc>
          <w:tcPr>
            <w:cnfStyle w:val="001000000000" w:firstRow="0" w:lastRow="0" w:firstColumn="1" w:lastColumn="0" w:oddVBand="0" w:evenVBand="0" w:oddHBand="0" w:evenHBand="0" w:firstRowFirstColumn="0" w:firstRowLastColumn="0" w:lastRowFirstColumn="0" w:lastRowLastColumn="0"/>
            <w:tcW w:w="1833" w:type="dxa"/>
          </w:tcPr>
          <w:p>
            <w:r>
              <w:t>Nbre de mono</w:t>
            </w:r>
          </w:p>
        </w:tc>
        <w:tc>
          <w:tcPr>
            <w:tcW w:w="2131" w:type="dxa"/>
          </w:tcPr>
          <w:p>
            <w:pPr>
              <w:cnfStyle w:val="000000000000" w:firstRow="0" w:lastRow="0" w:firstColumn="0" w:lastColumn="0" w:oddVBand="0" w:evenVBand="0" w:oddHBand="0" w:evenHBand="0" w:firstRowFirstColumn="0" w:firstRowLastColumn="0" w:lastRowFirstColumn="0" w:lastRowLastColumn="0"/>
            </w:pPr>
            <w:r>
              <w:t>20</w:t>
            </w:r>
          </w:p>
        </w:tc>
        <w:tc>
          <w:tcPr>
            <w:tcW w:w="1843" w:type="dxa"/>
          </w:tcPr>
          <w:p>
            <w:pPr>
              <w:cnfStyle w:val="000000000000" w:firstRow="0" w:lastRow="0" w:firstColumn="0" w:lastColumn="0" w:oddVBand="0" w:evenVBand="0" w:oddHBand="0" w:evenHBand="0" w:firstRowFirstColumn="0" w:firstRowLastColumn="0" w:lastRowFirstColumn="0" w:lastRowLastColumn="0"/>
            </w:pPr>
            <w:r>
              <w:t>5</w:t>
            </w:r>
          </w:p>
        </w:tc>
        <w:tc>
          <w:tcPr>
            <w:tcW w:w="1528" w:type="dxa"/>
          </w:tcPr>
          <w:p>
            <w:pPr>
              <w:cnfStyle w:val="000000000000" w:firstRow="0" w:lastRow="0" w:firstColumn="0" w:lastColumn="0" w:oddVBand="0" w:evenVBand="0" w:oddHBand="0" w:evenHBand="0" w:firstRowFirstColumn="0" w:firstRowLastColumn="0" w:lastRowFirstColumn="0" w:lastRowLastColumn="0"/>
            </w:pPr>
            <w:r>
              <w:t>Infini</w:t>
            </w:r>
          </w:p>
        </w:tc>
      </w:tr>
      <w:tr>
        <w:tc>
          <w:tcPr>
            <w:cnfStyle w:val="001000000000" w:firstRow="0" w:lastRow="0" w:firstColumn="1" w:lastColumn="0" w:oddVBand="0" w:evenVBand="0" w:oddHBand="0" w:evenHBand="0" w:firstRowFirstColumn="0" w:firstRowLastColumn="0" w:lastRowFirstColumn="0" w:lastRowLastColumn="0"/>
            <w:tcW w:w="1833" w:type="dxa"/>
          </w:tcPr>
          <w:p>
            <w:r>
              <w:t>Polymère</w:t>
            </w:r>
          </w:p>
        </w:tc>
        <w:tc>
          <w:tcPr>
            <w:tcW w:w="2131" w:type="dxa"/>
          </w:tcPr>
          <w:p>
            <w:pPr>
              <w:cnfStyle w:val="000000000000" w:firstRow="0" w:lastRow="0" w:firstColumn="0" w:lastColumn="0" w:oddVBand="0" w:evenVBand="0" w:oddHBand="0" w:evenHBand="0" w:firstRowFirstColumn="0" w:firstRowLastColumn="0" w:lastRowFirstColumn="0" w:lastRowLastColumn="0"/>
            </w:pPr>
            <w:r>
              <w:t>Chaine peptidique</w:t>
            </w:r>
          </w:p>
          <w:p>
            <w:pPr>
              <w:cnfStyle w:val="000000000000" w:firstRow="0" w:lastRow="0" w:firstColumn="0" w:lastColumn="0" w:oddVBand="0" w:evenVBand="0" w:oddHBand="0" w:evenHBand="0" w:firstRowFirstColumn="0" w:firstRowLastColumn="0" w:lastRowFirstColumn="0" w:lastRowLastColumn="0"/>
            </w:pPr>
            <w:r>
              <w:t>Protéines</w:t>
            </w:r>
          </w:p>
        </w:tc>
        <w:tc>
          <w:tcPr>
            <w:tcW w:w="1843" w:type="dxa"/>
          </w:tcPr>
          <w:p>
            <w:pPr>
              <w:cnfStyle w:val="000000000000" w:firstRow="0" w:lastRow="0" w:firstColumn="0" w:lastColumn="0" w:oddVBand="0" w:evenVBand="0" w:oddHBand="0" w:evenHBand="0" w:firstRowFirstColumn="0" w:firstRowLastColumn="0" w:lastRowFirstColumn="0" w:lastRowLastColumn="0"/>
            </w:pPr>
            <w:r>
              <w:t>ADN</w:t>
            </w:r>
          </w:p>
          <w:p>
            <w:pPr>
              <w:cnfStyle w:val="000000000000" w:firstRow="0" w:lastRow="0" w:firstColumn="0" w:lastColumn="0" w:oddVBand="0" w:evenVBand="0" w:oddHBand="0" w:evenHBand="0" w:firstRowFirstColumn="0" w:firstRowLastColumn="0" w:lastRowFirstColumn="0" w:lastRowLastColumn="0"/>
            </w:pPr>
            <w:r>
              <w:t>ARN</w:t>
            </w:r>
          </w:p>
        </w:tc>
        <w:tc>
          <w:tcPr>
            <w:tcW w:w="1528" w:type="dxa"/>
          </w:tcPr>
          <w:p>
            <w:pPr>
              <w:cnfStyle w:val="000000000000" w:firstRow="0" w:lastRow="0" w:firstColumn="0" w:lastColumn="0" w:oddVBand="0" w:evenVBand="0" w:oddHBand="0" w:evenHBand="0" w:firstRowFirstColumn="0" w:firstRowLastColumn="0" w:lastRowFirstColumn="0" w:lastRowLastColumn="0"/>
            </w:pPr>
            <w:r>
              <w:t>Amidon</w:t>
            </w:r>
          </w:p>
          <w:p>
            <w:pPr>
              <w:cnfStyle w:val="000000000000" w:firstRow="0" w:lastRow="0" w:firstColumn="0" w:lastColumn="0" w:oddVBand="0" w:evenVBand="0" w:oddHBand="0" w:evenHBand="0" w:firstRowFirstColumn="0" w:firstRowLastColumn="0" w:lastRowFirstColumn="0" w:lastRowLastColumn="0"/>
            </w:pPr>
            <w:r>
              <w:t>Glycogènes…</w:t>
            </w:r>
          </w:p>
        </w:tc>
      </w:tr>
    </w:tbl>
    <w:p>
      <w:r>
        <w:rPr>
          <w:u w:val="single"/>
        </w:rPr>
        <w:t>Rmq :</w:t>
      </w:r>
      <w:r>
        <w:t xml:space="preserve"> Les polymères de saccharoses sont appelés plus couramment les sucres lents car l’organisme met plus de temps à pouvoir les assimiler</w:t>
      </w:r>
      <w:r>
        <w:t xml:space="preserve"> car il doit d’abord les réduire en monomère</w:t>
      </w:r>
      <w:r>
        <w:t xml:space="preserve">. </w:t>
      </w:r>
    </w:p>
    <w:p>
      <w:r>
        <w:rPr>
          <w:u w:val="single"/>
        </w:rPr>
        <w:t>NB :</w:t>
      </w:r>
      <w:r>
        <w:t xml:space="preserve"> L’ADN et l’ARN sont traités dans le ECUE biologie moléculaire.</w:t>
      </w:r>
    </w:p>
    <w:p>
      <w:r>
        <w:t>Les interactions entre les molécules sont conditionnées par :</w:t>
      </w:r>
    </w:p>
    <w:tbl>
      <w:tblPr>
        <w:tblStyle w:val="Grilledetableauclaire"/>
        <w:tblW w:w="0" w:type="auto"/>
        <w:tblLook w:val="0600" w:firstRow="0" w:lastRow="0" w:firstColumn="0" w:lastColumn="0" w:noHBand="1" w:noVBand="1"/>
      </w:tblPr>
      <w:tblGrid>
        <w:gridCol w:w="3667"/>
        <w:gridCol w:w="3668"/>
      </w:tblGrid>
      <w:tr>
        <w:tc>
          <w:tcPr>
            <w:tcW w:w="3667" w:type="dxa"/>
          </w:tcPr>
          <w:p>
            <w:r>
              <w:t>La température</w:t>
            </w:r>
          </w:p>
        </w:tc>
        <w:tc>
          <w:tcPr>
            <w:tcW w:w="3668" w:type="dxa"/>
          </w:tcPr>
          <w:p>
            <w:r>
              <w:t>Le pH</w:t>
            </w:r>
          </w:p>
        </w:tc>
      </w:tr>
    </w:tbl>
    <w:p>
      <w:pPr>
        <w:pStyle w:val="Titre1"/>
      </w:pPr>
      <w:r>
        <w:t>Les liaisons du vivant</w:t>
      </w:r>
    </w:p>
    <w:p>
      <w:r>
        <w:t>Le vivant utilise principalement des réactions de es molécules du vivant utilisent comme réaction pour :</w:t>
      </w:r>
    </w:p>
    <w:tbl>
      <w:tblPr>
        <w:tblStyle w:val="Grilledetableauclaire"/>
        <w:tblW w:w="0" w:type="auto"/>
        <w:tblLook w:val="0400" w:firstRow="0" w:lastRow="0" w:firstColumn="0" w:lastColumn="0" w:noHBand="0" w:noVBand="1"/>
      </w:tblPr>
      <w:tblGrid>
        <w:gridCol w:w="3667"/>
        <w:gridCol w:w="3668"/>
      </w:tblGrid>
      <w:tr>
        <w:tc>
          <w:tcPr>
            <w:tcW w:w="3667" w:type="dxa"/>
          </w:tcPr>
          <w:p>
            <w:r>
              <w:t>Déshydratation</w:t>
            </w:r>
            <w:r>
              <w:t xml:space="preserve"> pour créer des liaison (élimination d’une molécule d’H</w:t>
            </w:r>
            <w:r>
              <w:rPr>
                <w:vertAlign w:val="subscript"/>
              </w:rPr>
              <w:t>2</w:t>
            </w:r>
            <w:r>
              <w:t>0)</w:t>
            </w:r>
          </w:p>
        </w:tc>
        <w:tc>
          <w:tcPr>
            <w:tcW w:w="3668" w:type="dxa"/>
          </w:tcPr>
          <w:p>
            <w:r>
              <w:t>D’hydrolyse pour briser une liaison (ajout d’une molécule d’eau)</w:t>
            </w:r>
          </w:p>
        </w:tc>
      </w:tr>
    </w:tbl>
    <w:p>
      <w:r>
        <w:rPr>
          <w:rStyle w:val="Accentuation"/>
        </w:rPr>
        <w:t>Déshydratation</w:t>
      </w:r>
      <w:r>
        <w:t xml:space="preserve"> perte d’une molécule d’eau pour créer une liaison covalente.</w:t>
      </w:r>
    </w:p>
    <w:p>
      <w:pPr>
        <w:pStyle w:val="Titre1"/>
      </w:pPr>
      <w:r>
        <w:t>Ph Potentiel Hydrogène</w:t>
      </w:r>
    </w:p>
    <w:p>
      <w:pPr>
        <w:pStyle w:val="Titre2"/>
      </w:pPr>
      <w:r>
        <w:t>Notion acide/base</w:t>
      </w:r>
    </w:p>
    <w:p>
      <w:r>
        <w:rPr>
          <w:noProof/>
        </w:rPr>
        <w:drawing>
          <wp:anchor distT="0" distB="0" distL="114300" distR="114300" simplePos="0" relativeHeight="251673600" behindDoc="1" locked="0" layoutInCell="1" allowOverlap="1">
            <wp:simplePos x="0" y="0"/>
            <wp:positionH relativeFrom="column">
              <wp:posOffset>0</wp:posOffset>
            </wp:positionH>
            <wp:positionV relativeFrom="paragraph">
              <wp:posOffset>4445</wp:posOffset>
            </wp:positionV>
            <wp:extent cx="2492828" cy="1406890"/>
            <wp:effectExtent l="0" t="0" r="3175" b="3175"/>
            <wp:wrapTight wrapText="bothSides">
              <wp:wrapPolygon edited="0">
                <wp:start x="0" y="0"/>
                <wp:lineTo x="0" y="21356"/>
                <wp:lineTo x="21462" y="21356"/>
                <wp:lineTo x="21462"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2828" cy="1406890"/>
                    </a:xfrm>
                    <a:prstGeom prst="rect">
                      <a:avLst/>
                    </a:prstGeom>
                    <a:noFill/>
                    <a:ln>
                      <a:noFill/>
                    </a:ln>
                  </pic:spPr>
                </pic:pic>
              </a:graphicData>
            </a:graphic>
          </wp:anchor>
        </w:drawing>
      </w:r>
    </w:p>
    <w:p>
      <w:r>
        <w:rPr>
          <w:u w:val="single"/>
        </w:rPr>
        <w:t>NB</w:t>
      </w:r>
      <w:r>
        <w:t xml:space="preserve"> La notion d’acide/base n’a rien à voir avec une solution acide/basique qui quantifie le nombre de protons présent dans une solution.</w:t>
      </w:r>
    </w:p>
    <w:p>
      <w:r>
        <w:t>Un acide est une molécule capable de gagner un proton (H</w:t>
      </w:r>
      <w:r>
        <w:rPr>
          <w:vertAlign w:val="superscript"/>
        </w:rPr>
        <w:t>+</w:t>
      </w:r>
      <w:r>
        <w:t>). Il est dit dissocié (par opposition à une base qui est dite associée).</w:t>
      </w:r>
    </w:p>
    <w:p>
      <w:r>
        <w:rPr>
          <w:u w:val="single"/>
        </w:rPr>
        <w:t>NB :</w:t>
      </w:r>
      <w:r>
        <w:t xml:space="preserve"> Un acide ou une base sont dits forts s’ils réagissent totalement avec l’eau.</w:t>
      </w:r>
    </w:p>
    <w:p>
      <w:r>
        <w:rPr>
          <w:rStyle w:val="Accentuation"/>
        </w:rPr>
        <w:t>Autoprotolyse</w:t>
      </w:r>
      <w:r>
        <w:t xml:space="preserve"> capacité entre deux même molécules d’échanger un proton (</w:t>
      </w:r>
      <w:r>
        <w:rPr>
          <w:rFonts w:eastAsiaTheme="minorEastAsia"/>
        </w:rPr>
        <w:t xml:space="preserve">ex : </w:t>
      </w:r>
      <m:oMath>
        <m:sSub>
          <m:sSubPr>
            <m:ctrlPr>
              <w:rPr>
                <w:rFonts w:ascii="Cambria Math" w:hAnsi="Cambria Math"/>
                <w:i/>
              </w:rPr>
            </m:ctrlPr>
          </m:sSubPr>
          <m:e>
            <m:r>
              <w:rPr>
                <w:rFonts w:ascii="Cambria Math" w:hAnsi="Cambria Math"/>
              </w:rPr>
              <m:t>2H</m:t>
            </m:r>
          </m:e>
          <m:sub>
            <m:r>
              <w:rPr>
                <w:rFonts w:ascii="Cambria Math" w:hAnsi="Cambria Math"/>
              </w:rPr>
              <m:t>2</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3</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HO</m:t>
            </m:r>
          </m:e>
          <m:sup>
            <m:r>
              <w:rPr>
                <w:rFonts w:ascii="Cambria Math" w:hAnsi="Cambria Math"/>
              </w:rPr>
              <m:t>-</m:t>
            </m:r>
          </m:sup>
        </m:sSup>
      </m:oMath>
      <w:r>
        <w:rPr>
          <w:rFonts w:eastAsiaTheme="minorEastAsia"/>
        </w:rPr>
        <w:t>)</w:t>
      </w:r>
      <w:r>
        <w:t>.</w:t>
      </w:r>
    </w:p>
    <w:p>
      <w:r>
        <w:t xml:space="preserve">L’autoprotolyse de l’eau </w:t>
      </w:r>
      <w:r>
        <w:t>à 25 degrés </w:t>
      </w:r>
      <w:r>
        <w:t>est de</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3</m:t>
                </m:r>
              </m:sub>
            </m:sSub>
            <m:sSup>
              <m:sSupPr>
                <m:ctrlPr>
                  <w:rPr>
                    <w:rFonts w:ascii="Cambria Math" w:hAnsi="Cambria Math"/>
                    <w:i/>
                  </w:rPr>
                </m:ctrlPr>
              </m:sSupPr>
              <m:e>
                <m:r>
                  <w:rPr>
                    <w:rFonts w:ascii="Cambria Math" w:hAnsi="Cambria Math"/>
                  </w:rPr>
                  <m:t>O</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O</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r>
        <w:rPr>
          <w:rFonts w:eastAsiaTheme="minorEastAsia"/>
        </w:rPr>
        <w:t>mol/L</w:t>
      </w:r>
    </w:p>
    <w:p/>
    <w:p>
      <w:pPr>
        <w:pStyle w:val="Titre2"/>
      </w:pPr>
      <w:r>
        <w:t>Potentiel hydrogène d’une solution</w:t>
      </w:r>
    </w:p>
    <w:p>
      <w:r>
        <w:rPr>
          <w:rFonts w:cs="Open Sans Light"/>
        </w:rPr>
        <w:t xml:space="preserve">L’équilibre de dissociation : </w:t>
      </w:r>
      <w:r>
        <w:rPr>
          <w:rFonts w:cs="Open Sans Light"/>
          <w:b/>
          <w:bCs/>
          <w:color w:val="000000"/>
          <w:shd w:val="clear" w:color="auto" w:fill="FFFFFF"/>
        </w:rPr>
        <w:t xml:space="preserve"> </w:t>
      </w:r>
    </w:p>
    <w:tbl>
      <w:tblPr>
        <w:tblStyle w:val="Grilledetableauclaire"/>
        <w:tblW w:w="0" w:type="auto"/>
        <w:tblLook w:val="0400" w:firstRow="0" w:lastRow="0" w:firstColumn="0" w:lastColumn="0" w:noHBand="0" w:noVBand="1"/>
      </w:tblPr>
      <w:tblGrid>
        <w:gridCol w:w="3667"/>
        <w:gridCol w:w="3668"/>
      </w:tblGrid>
      <w:tr>
        <w:tc>
          <w:tcPr>
            <w:tcW w:w="3667" w:type="dxa"/>
          </w:tcPr>
          <w:p>
            <w:pPr>
              <w:rPr>
                <w:rFonts w:eastAsia="Times New Roman" w:cs="Open Sans Light"/>
              </w:rPr>
            </w:pPr>
            <m:oMathPara>
              <m:oMath>
                <m:r>
                  <w:rPr>
                    <w:rFonts w:ascii="Cambria Math" w:hAnsi="Cambria Math" w:cs="Open Sans Light"/>
                  </w:rPr>
                  <m:t>pH=-</m:t>
                </m:r>
                <m:func>
                  <m:funcPr>
                    <m:ctrlPr>
                      <w:rPr>
                        <w:rFonts w:ascii="Cambria Math" w:hAnsi="Cambria Math" w:cs="Open Sans Light"/>
                      </w:rPr>
                    </m:ctrlPr>
                  </m:funcPr>
                  <m:fName>
                    <m:r>
                      <m:rPr>
                        <m:sty m:val="p"/>
                      </m:rPr>
                      <w:rPr>
                        <w:rFonts w:ascii="Cambria Math" w:hAnsi="Cambria Math" w:cs="Open Sans Light"/>
                      </w:rPr>
                      <m:t>log</m:t>
                    </m:r>
                    <m:ctrlPr>
                      <w:rPr>
                        <w:rFonts w:ascii="Cambria Math" w:hAnsi="Cambria Math" w:cs="Open Sans Light"/>
                        <w:i/>
                      </w:rPr>
                    </m:ctrlPr>
                  </m:fName>
                  <m:e>
                    <m:d>
                      <m:dPr>
                        <m:begChr m:val="["/>
                        <m:endChr m:val="]"/>
                        <m:ctrlPr>
                          <w:rPr>
                            <w:rFonts w:ascii="Cambria Math" w:hAnsi="Cambria Math" w:cs="Open Sans Light"/>
                          </w:rPr>
                        </m:ctrlPr>
                      </m:dPr>
                      <m:e>
                        <m:sSup>
                          <m:sSupPr>
                            <m:ctrlPr>
                              <w:rPr>
                                <w:rFonts w:ascii="Cambria Math" w:hAnsi="Cambria Math" w:cs="Open Sans Light"/>
                              </w:rPr>
                            </m:ctrlPr>
                          </m:sSupPr>
                          <m:e>
                            <m:r>
                              <w:rPr>
                                <w:rFonts w:ascii="Cambria Math" w:hAnsi="Cambria Math" w:cs="Open Sans Light"/>
                              </w:rPr>
                              <m:t>H</m:t>
                            </m:r>
                          </m:e>
                          <m:sup>
                            <m:r>
                              <w:rPr>
                                <w:rFonts w:ascii="Cambria Math" w:hAnsi="Cambria Math" w:cs="Open Sans Light"/>
                              </w:rPr>
                              <m:t>+</m:t>
                            </m:r>
                          </m:sup>
                        </m:sSup>
                        <m:ctrlPr>
                          <w:rPr>
                            <w:rFonts w:ascii="Cambria Math" w:hAnsi="Cambria Math" w:cs="Open Sans Light"/>
                            <w:i/>
                          </w:rPr>
                        </m:ctrlPr>
                      </m:e>
                    </m:d>
                  </m:e>
                </m:func>
                <m:r>
                  <w:rPr>
                    <w:rFonts w:ascii="Cambria Math" w:hAnsi="Cambria Math" w:cs="Open Sans Light"/>
                  </w:rPr>
                  <m:t>=-</m:t>
                </m:r>
                <m:func>
                  <m:funcPr>
                    <m:ctrlPr>
                      <w:rPr>
                        <w:rFonts w:ascii="Cambria Math" w:hAnsi="Cambria Math" w:cs="Open Sans Light"/>
                      </w:rPr>
                    </m:ctrlPr>
                  </m:funcPr>
                  <m:fName>
                    <m:r>
                      <m:rPr>
                        <m:sty m:val="p"/>
                      </m:rPr>
                      <w:rPr>
                        <w:rFonts w:ascii="Cambria Math" w:hAnsi="Cambria Math" w:cs="Open Sans Light"/>
                      </w:rPr>
                      <m:t>log</m:t>
                    </m:r>
                    <m:ctrlPr>
                      <w:rPr>
                        <w:rFonts w:ascii="Cambria Math" w:hAnsi="Cambria Math" w:cs="Open Sans Light"/>
                        <w:i/>
                      </w:rPr>
                    </m:ctrlPr>
                  </m:fName>
                  <m:e>
                    <m:d>
                      <m:dPr>
                        <m:begChr m:val="["/>
                        <m:endChr m:val="]"/>
                        <m:ctrlPr>
                          <w:rPr>
                            <w:rFonts w:ascii="Cambria Math" w:hAnsi="Cambria Math" w:cs="Open Sans Light"/>
                          </w:rPr>
                        </m:ctrlPr>
                      </m:dPr>
                      <m:e>
                        <m:sSup>
                          <m:sSupPr>
                            <m:ctrlPr>
                              <w:rPr>
                                <w:rFonts w:ascii="Cambria Math" w:hAnsi="Cambria Math" w:cs="Open Sans Light"/>
                              </w:rPr>
                            </m:ctrlPr>
                          </m:sSupPr>
                          <m:e>
                            <m:r>
                              <w:rPr>
                                <w:rFonts w:ascii="Cambria Math" w:hAnsi="Cambria Math" w:cs="Open Sans Light"/>
                              </w:rPr>
                              <m:t>O</m:t>
                            </m:r>
                            <m:sSub>
                              <m:sSubPr>
                                <m:ctrlPr>
                                  <w:rPr>
                                    <w:rFonts w:ascii="Cambria Math" w:hAnsi="Cambria Math" w:cs="Open Sans Light"/>
                                    <w:i/>
                                  </w:rPr>
                                </m:ctrlPr>
                              </m:sSubPr>
                              <m:e>
                                <m:r>
                                  <w:rPr>
                                    <w:rFonts w:ascii="Cambria Math" w:hAnsi="Cambria Math" w:cs="Open Sans Light"/>
                                  </w:rPr>
                                  <m:t>H</m:t>
                                </m:r>
                              </m:e>
                              <m:sub>
                                <m:r>
                                  <w:rPr>
                                    <w:rFonts w:ascii="Cambria Math" w:hAnsi="Cambria Math" w:cs="Open Sans Light"/>
                                  </w:rPr>
                                  <m:t>3</m:t>
                                </m:r>
                              </m:sub>
                            </m:sSub>
                          </m:e>
                          <m:sup>
                            <m:r>
                              <w:rPr>
                                <w:rFonts w:ascii="Cambria Math" w:hAnsi="Cambria Math" w:cs="Open Sans Light"/>
                              </w:rPr>
                              <m:t>+</m:t>
                            </m:r>
                          </m:sup>
                        </m:sSup>
                        <m:ctrlPr>
                          <w:rPr>
                            <w:rFonts w:ascii="Cambria Math" w:hAnsi="Cambria Math" w:cs="Open Sans Light"/>
                            <w:i/>
                          </w:rPr>
                        </m:ctrlPr>
                      </m:e>
                    </m:d>
                  </m:e>
                </m:func>
              </m:oMath>
            </m:oMathPara>
          </w:p>
          <w:p>
            <w:pPr>
              <w:rPr>
                <w:b/>
                <w:bCs/>
                <w:color w:val="FF0000"/>
                <w:sz w:val="36"/>
                <w:szCs w:val="36"/>
                <w:shd w:val="clear" w:color="auto" w:fill="FFFFFF"/>
              </w:rPr>
            </w:pPr>
            <w:r>
              <w:rPr>
                <w:rFonts w:eastAsia="Times New Roman" w:cs="Open Sans Light"/>
                <w:b/>
                <w:bCs/>
              </w:rPr>
              <w:t xml:space="preserve"> </w:t>
            </w:r>
            <w:r>
              <w:rPr>
                <w:rFonts w:eastAsia="Times New Roman" w:cs="Open Sans Light"/>
              </w:rPr>
              <w:t>Ou [A] est la concentration en mol/L</w:t>
            </w:r>
          </w:p>
        </w:tc>
        <w:tc>
          <w:tcPr>
            <w:tcW w:w="3668" w:type="dxa"/>
          </w:tcPr>
          <w:p>
            <w:pPr>
              <w:rPr>
                <w:rFonts w:eastAsia="Times New Roman" w:cs="Open Sans Light"/>
              </w:rPr>
            </w:pPr>
            <m:oMathPara>
              <m:oMath>
                <m:r>
                  <w:rPr>
                    <w:rFonts w:ascii="Cambria Math" w:hAnsi="Cambria Math" w:cs="Open Sans Light"/>
                  </w:rPr>
                  <m:t>pH=p</m:t>
                </m:r>
                <m:sSub>
                  <m:sSubPr>
                    <m:ctrlPr>
                      <w:rPr>
                        <w:rFonts w:ascii="Cambria Math" w:hAnsi="Cambria Math" w:cs="Open Sans Light"/>
                        <w:i/>
                      </w:rPr>
                    </m:ctrlPr>
                  </m:sSubPr>
                  <m:e>
                    <m:r>
                      <w:rPr>
                        <w:rFonts w:ascii="Cambria Math" w:hAnsi="Cambria Math" w:cs="Open Sans Light"/>
                      </w:rPr>
                      <m:t>K</m:t>
                    </m:r>
                  </m:e>
                  <m:sub>
                    <m:r>
                      <w:rPr>
                        <w:rFonts w:ascii="Cambria Math" w:hAnsi="Cambria Math" w:cs="Open Sans Light"/>
                      </w:rPr>
                      <m:t>a</m:t>
                    </m:r>
                  </m:sub>
                </m:sSub>
                <m:r>
                  <w:rPr>
                    <w:rFonts w:ascii="Cambria Math" w:eastAsiaTheme="minorEastAsia" w:hAnsi="Cambria Math" w:cs="Open Sans Light"/>
                  </w:rPr>
                  <m:t>+</m:t>
                </m:r>
                <m:func>
                  <m:funcPr>
                    <m:ctrlPr>
                      <w:rPr>
                        <w:rFonts w:ascii="Cambria Math" w:eastAsiaTheme="minorEastAsia" w:hAnsi="Cambria Math" w:cs="Open Sans Light"/>
                      </w:rPr>
                    </m:ctrlPr>
                  </m:funcPr>
                  <m:fName>
                    <m:r>
                      <m:rPr>
                        <m:sty m:val="p"/>
                      </m:rPr>
                      <w:rPr>
                        <w:rFonts w:ascii="Cambria Math" w:eastAsiaTheme="minorEastAsia" w:hAnsi="Cambria Math" w:cs="Open Sans Light"/>
                      </w:rPr>
                      <m:t>log</m:t>
                    </m:r>
                    <m:ctrlPr>
                      <w:rPr>
                        <w:rFonts w:ascii="Cambria Math" w:eastAsiaTheme="minorEastAsia" w:hAnsi="Cambria Math" w:cs="Open Sans Light"/>
                        <w:i/>
                      </w:rPr>
                    </m:ctrlPr>
                  </m:fName>
                  <m:e>
                    <m:d>
                      <m:dPr>
                        <m:ctrlPr>
                          <w:rPr>
                            <w:rFonts w:ascii="Cambria Math" w:eastAsiaTheme="minorEastAsia" w:hAnsi="Cambria Math" w:cs="Open Sans Light"/>
                            <w:i/>
                          </w:rPr>
                        </m:ctrlPr>
                      </m:dPr>
                      <m:e>
                        <m:f>
                          <m:fPr>
                            <m:ctrlPr>
                              <w:rPr>
                                <w:rFonts w:ascii="Cambria Math" w:eastAsiaTheme="minorEastAsia" w:hAnsi="Cambria Math" w:cs="Open Sans Light"/>
                                <w:i/>
                              </w:rPr>
                            </m:ctrlPr>
                          </m:fPr>
                          <m:num>
                            <m:r>
                              <w:rPr>
                                <w:rFonts w:ascii="Cambria Math" w:eastAsiaTheme="minorEastAsia" w:hAnsi="Cambria Math" w:cs="Open Sans Light"/>
                              </w:rPr>
                              <m:t>[</m:t>
                            </m:r>
                            <m:sSup>
                              <m:sSupPr>
                                <m:ctrlPr>
                                  <w:rPr>
                                    <w:rFonts w:ascii="Cambria Math" w:eastAsiaTheme="minorEastAsia" w:hAnsi="Cambria Math" w:cs="Open Sans Light"/>
                                    <w:i/>
                                  </w:rPr>
                                </m:ctrlPr>
                              </m:sSupPr>
                              <m:e>
                                <m:r>
                                  <w:rPr>
                                    <w:rFonts w:ascii="Cambria Math" w:eastAsiaTheme="minorEastAsia" w:hAnsi="Cambria Math" w:cs="Open Sans Light"/>
                                  </w:rPr>
                                  <m:t>A</m:t>
                                </m:r>
                              </m:e>
                              <m:sup>
                                <m:r>
                                  <w:rPr>
                                    <w:rFonts w:ascii="Cambria Math" w:eastAsiaTheme="minorEastAsia" w:hAnsi="Cambria Math" w:cs="Open Sans Light"/>
                                  </w:rPr>
                                  <m:t>-</m:t>
                                </m:r>
                              </m:sup>
                            </m:sSup>
                            <m:r>
                              <w:rPr>
                                <w:rFonts w:ascii="Cambria Math" w:eastAsiaTheme="minorEastAsia" w:hAnsi="Cambria Math" w:cs="Open Sans Light"/>
                              </w:rPr>
                              <m:t>]</m:t>
                            </m:r>
                          </m:num>
                          <m:den>
                            <m:r>
                              <w:rPr>
                                <w:rFonts w:ascii="Cambria Math" w:eastAsiaTheme="minorEastAsia" w:hAnsi="Cambria Math" w:cs="Open Sans Light"/>
                              </w:rPr>
                              <m:t>[AH]</m:t>
                            </m:r>
                          </m:den>
                        </m:f>
                      </m:e>
                    </m:d>
                  </m:e>
                </m:func>
              </m:oMath>
            </m:oMathPara>
          </w:p>
          <w:p>
            <w:pPr>
              <w:rPr>
                <w:rFonts w:eastAsia="Times New Roman" w:cs="Open Sans Light"/>
              </w:rPr>
            </w:pPr>
            <w:r>
              <w:rPr>
                <w:rFonts w:eastAsia="Times New Roman" w:cs="Open Sans Light"/>
              </w:rPr>
              <w:t xml:space="preserve">Ou </w:t>
            </w:r>
            <m:oMath>
              <m:r>
                <w:rPr>
                  <w:rFonts w:ascii="Cambria Math" w:hAnsi="Cambria Math" w:cs="Open Sans Light"/>
                </w:rPr>
                <m:t>p</m:t>
              </m:r>
              <m:sSub>
                <m:sSubPr>
                  <m:ctrlPr>
                    <w:rPr>
                      <w:rFonts w:ascii="Cambria Math" w:hAnsi="Cambria Math" w:cs="Open Sans Light"/>
                      <w:i/>
                    </w:rPr>
                  </m:ctrlPr>
                </m:sSubPr>
                <m:e>
                  <m:r>
                    <w:rPr>
                      <w:rFonts w:ascii="Cambria Math" w:hAnsi="Cambria Math" w:cs="Open Sans Light"/>
                    </w:rPr>
                    <m:t>K</m:t>
                  </m:r>
                </m:e>
                <m:sub>
                  <m:r>
                    <w:rPr>
                      <w:rFonts w:ascii="Cambria Math" w:hAnsi="Cambria Math" w:cs="Open Sans Light"/>
                    </w:rPr>
                    <m:t>a</m:t>
                  </m:r>
                </m:sub>
              </m:sSub>
            </m:oMath>
            <w:r>
              <w:rPr>
                <w:rFonts w:eastAsia="Times New Roman" w:cs="Open Sans Light"/>
              </w:rPr>
              <w:t xml:space="preserve"> </w:t>
            </w:r>
            <w:r>
              <w:rPr>
                <w:rFonts w:eastAsiaTheme="minorEastAsia" w:cs="Open Sans Light"/>
              </w:rPr>
              <w:t xml:space="preserve">est une constante de </w:t>
            </w:r>
          </w:p>
          <w:p>
            <w:pPr>
              <w:rPr>
                <w:rFonts w:eastAsia="Times New Roman" w:cs="Open Sans Light"/>
              </w:rPr>
            </w:pPr>
            <m:oMathPara>
              <m:oMath>
                <m:r>
                  <w:rPr>
                    <w:rFonts w:ascii="Cambria Math" w:hAnsi="Cambria Math" w:cs="Open Sans Light"/>
                  </w:rPr>
                  <m:t>p</m:t>
                </m:r>
                <m:sSub>
                  <m:sSubPr>
                    <m:ctrlPr>
                      <w:rPr>
                        <w:rFonts w:ascii="Cambria Math" w:hAnsi="Cambria Math" w:cs="Open Sans Light"/>
                        <w:i/>
                      </w:rPr>
                    </m:ctrlPr>
                  </m:sSubPr>
                  <m:e>
                    <m:r>
                      <w:rPr>
                        <w:rFonts w:ascii="Cambria Math" w:hAnsi="Cambria Math" w:cs="Open Sans Light"/>
                      </w:rPr>
                      <m:t>K</m:t>
                    </m:r>
                  </m:e>
                  <m:sub>
                    <m:r>
                      <w:rPr>
                        <w:rFonts w:ascii="Cambria Math" w:hAnsi="Cambria Math" w:cs="Open Sans Light"/>
                      </w:rPr>
                      <m:t>0</m:t>
                    </m:r>
                  </m:sub>
                </m:sSub>
                <m:r>
                  <w:rPr>
                    <w:rFonts w:ascii="Cambria Math" w:hAnsi="Cambria Math" w:cs="Open Sans Light"/>
                  </w:rPr>
                  <m:t>&lt;p</m:t>
                </m:r>
                <m:sSub>
                  <m:sSubPr>
                    <m:ctrlPr>
                      <w:rPr>
                        <w:rFonts w:ascii="Cambria Math" w:hAnsi="Cambria Math" w:cs="Open Sans Light"/>
                        <w:i/>
                      </w:rPr>
                    </m:ctrlPr>
                  </m:sSubPr>
                  <m:e>
                    <m:r>
                      <w:rPr>
                        <w:rFonts w:ascii="Cambria Math" w:hAnsi="Cambria Math" w:cs="Open Sans Light"/>
                      </w:rPr>
                      <m:t>K</m:t>
                    </m:r>
                  </m:e>
                  <m:sub>
                    <m:r>
                      <w:rPr>
                        <w:rFonts w:ascii="Cambria Math" w:hAnsi="Cambria Math" w:cs="Open Sans Light"/>
                      </w:rPr>
                      <m:t>1</m:t>
                    </m:r>
                  </m:sub>
                </m:sSub>
                <m:box>
                  <m:boxPr>
                    <m:opEmu m:val="1"/>
                    <m:ctrlPr>
                      <w:rPr>
                        <w:rFonts w:ascii="Cambria Math" w:hAnsi="Cambria Math" w:cs="Open Sans Light"/>
                        <w:i/>
                      </w:rPr>
                    </m:ctrlPr>
                  </m:boxPr>
                  <m:e>
                    <m:groupChr>
                      <m:groupChrPr>
                        <m:chr m:val="⇔"/>
                        <m:vertJc m:val="bot"/>
                        <m:ctrlPr>
                          <w:rPr>
                            <w:rFonts w:ascii="Cambria Math" w:hAnsi="Cambria Math" w:cs="Open Sans Light"/>
                            <w:i/>
                          </w:rPr>
                        </m:ctrlPr>
                      </m:groupChrPr>
                      <m:e/>
                    </m:groupChr>
                  </m:e>
                </m:box>
                <m:r>
                  <w:rPr>
                    <w:rFonts w:ascii="Cambria Math" w:hAnsi="Cambria Math" w:cs="Open Sans Light"/>
                  </w:rPr>
                  <m:t xml:space="preserve"> p</m:t>
                </m:r>
                <m:sSub>
                  <m:sSubPr>
                    <m:ctrlPr>
                      <w:rPr>
                        <w:rFonts w:ascii="Cambria Math" w:hAnsi="Cambria Math" w:cs="Open Sans Light"/>
                        <w:i/>
                      </w:rPr>
                    </m:ctrlPr>
                  </m:sSubPr>
                  <m:e>
                    <m:r>
                      <w:rPr>
                        <w:rFonts w:ascii="Cambria Math" w:hAnsi="Cambria Math" w:cs="Open Sans Light"/>
                      </w:rPr>
                      <m:t>H</m:t>
                    </m:r>
                  </m:e>
                  <m:sub>
                    <m:r>
                      <w:rPr>
                        <w:rFonts w:ascii="Cambria Math" w:hAnsi="Cambria Math" w:cs="Open Sans Light"/>
                      </w:rPr>
                      <m:t>0</m:t>
                    </m:r>
                  </m:sub>
                </m:sSub>
                <m:r>
                  <w:rPr>
                    <w:rFonts w:ascii="Cambria Math" w:hAnsi="Cambria Math" w:cs="Open Sans Light"/>
                  </w:rPr>
                  <m:t>&lt;p</m:t>
                </m:r>
                <m:sSub>
                  <m:sSubPr>
                    <m:ctrlPr>
                      <w:rPr>
                        <w:rFonts w:ascii="Cambria Math" w:hAnsi="Cambria Math" w:cs="Open Sans Light"/>
                        <w:i/>
                      </w:rPr>
                    </m:ctrlPr>
                  </m:sSubPr>
                  <m:e>
                    <m:r>
                      <w:rPr>
                        <w:rFonts w:ascii="Cambria Math" w:hAnsi="Cambria Math" w:cs="Open Sans Light"/>
                      </w:rPr>
                      <m:t>H</m:t>
                    </m:r>
                  </m:e>
                  <m:sub>
                    <m:r>
                      <w:rPr>
                        <w:rFonts w:ascii="Cambria Math" w:hAnsi="Cambria Math" w:cs="Open Sans Light"/>
                      </w:rPr>
                      <m:t>1</m:t>
                    </m:r>
                  </m:sub>
                </m:sSub>
              </m:oMath>
            </m:oMathPara>
          </w:p>
        </w:tc>
      </w:tr>
    </w:tbl>
    <w:p>
      <w:pPr>
        <w:rPr>
          <w:rStyle w:val="Accentuation"/>
          <w:color w:val="auto"/>
        </w:rPr>
      </w:pPr>
      <w:r>
        <w:rPr>
          <w:rStyle w:val="Accentuation"/>
        </w:rPr>
        <w:t>Attention </w:t>
      </w:r>
      <w:r>
        <w:rPr>
          <w:rStyle w:val="Accentuation"/>
          <w:color w:val="auto"/>
        </w:rPr>
        <w:t>AH est l’acide au sens de Bronsted c’est-à-dire que la molécule capable de relâcher un proton.</w:t>
      </w:r>
    </w:p>
    <w:p>
      <w:pPr>
        <w:rPr>
          <w:iCs/>
          <w:color w:val="FF0000"/>
        </w:rPr>
      </w:pPr>
      <w:r>
        <w:rPr>
          <w:rStyle w:val="Accentuation"/>
        </w:rPr>
        <w:t>Isoélectrique</w:t>
      </w:r>
      <w:r>
        <w:t xml:space="preserve"> c’est le pH où la forme neutre est la plus abondante. Pour cela on calcule la moyenne pKa entre lesquelles l’espèce est neutre.</w:t>
      </w:r>
    </w:p>
    <w:tbl>
      <w:tblPr>
        <w:tblStyle w:val="Grilledetableauclaire"/>
        <w:tblW w:w="0" w:type="auto"/>
        <w:tblLook w:val="0420" w:firstRow="1" w:lastRow="0" w:firstColumn="0" w:lastColumn="0" w:noHBand="0" w:noVBand="1"/>
      </w:tblPr>
      <w:tblGrid>
        <w:gridCol w:w="2547"/>
        <w:gridCol w:w="2551"/>
        <w:gridCol w:w="2237"/>
      </w:tblGrid>
      <w:tr>
        <w:trPr>
          <w:cnfStyle w:val="100000000000" w:firstRow="1" w:lastRow="0" w:firstColumn="0" w:lastColumn="0" w:oddVBand="0" w:evenVBand="0" w:oddHBand="0" w:evenHBand="0" w:firstRowFirstColumn="0" w:firstRowLastColumn="0" w:lastRowFirstColumn="0" w:lastRowLastColumn="0"/>
        </w:trPr>
        <w:tc>
          <w:tcPr>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pPr>
              <w:rPr>
                <w:bCs/>
              </w:rPr>
            </w:pPr>
            <w:r>
              <w:rPr>
                <w:b w:val="0"/>
                <w:bCs/>
              </w:rPr>
              <w:lastRenderedPageBreak/>
              <w:t>Autoprotolyse de l’eau</w:t>
            </w:r>
          </w:p>
        </w:tc>
        <w:tc>
          <w:tcPr>
            <w:tcW w:w="4788"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pPr>
              <w:rPr>
                <w:b w:val="0"/>
                <w:bCs/>
              </w:rPr>
            </w:pPr>
            <w:r>
              <w:rPr>
                <w:b w:val="0"/>
                <w:bCs/>
              </w:rPr>
              <w:t xml:space="preserve">Constante d’équilibre </w:t>
            </w:r>
          </w:p>
        </w:tc>
      </w:tr>
      <w:tr>
        <w:tc>
          <w:tcPr>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m:oMathPara>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m:oMathPara>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O</m:t>
                            </m:r>
                          </m:e>
                          <m:sup>
                            <m:r>
                              <w:rPr>
                                <w:rFonts w:ascii="Cambria Math" w:hAnsi="Cambria Math"/>
                              </w:rPr>
                              <m:t>+</m:t>
                            </m:r>
                          </m:sup>
                        </m:sSup>
                      </m:e>
                    </m:d>
                    <m:r>
                      <w:rPr>
                        <w:rFonts w:ascii="Cambria Math" w:hAnsi="Cambria Math"/>
                      </w:rPr>
                      <m:t>.[AH]</m:t>
                    </m:r>
                  </m:num>
                  <m:den>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en>
                </m:f>
              </m:oMath>
            </m:oMathPara>
          </w:p>
        </w:tc>
        <w:tc>
          <w:tcPr>
            <w:tcW w:w="22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m:oMathPara>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HO</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2</m:t>
                            </m:r>
                          </m:sub>
                        </m:sSub>
                      </m:e>
                      <m:sup>
                        <m:r>
                          <w:rPr>
                            <w:rFonts w:ascii="Cambria Math" w:hAnsi="Cambria Math"/>
                          </w:rPr>
                          <m:t>+</m:t>
                        </m:r>
                      </m:sup>
                    </m:sSup>
                    <m:r>
                      <w:rPr>
                        <w:rFonts w:ascii="Cambria Math" w:hAnsi="Cambria Math"/>
                      </w:rPr>
                      <m:t>]</m:t>
                    </m:r>
                  </m:num>
                  <m:den>
                    <m:r>
                      <w:rPr>
                        <w:rFonts w:ascii="Cambria Math" w:hAnsi="Cambria Math"/>
                      </w:rPr>
                      <m:t>[AH]</m:t>
                    </m:r>
                  </m:den>
                </m:f>
              </m:oMath>
            </m:oMathPara>
          </w:p>
        </w:tc>
      </w:tr>
      <w:tr>
        <w:tc>
          <w:tcPr>
            <w:tcW w:w="7335"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pPr>
              <w:rPr>
                <w:rFonts w:eastAsia="Calibri"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r>
                  <m:rPr>
                    <m:sty m:val="p"/>
                  </m:rPr>
                  <w:rPr>
                    <w:rFonts w:ascii="Cambria Math"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e>
                </m:d>
              </m:oMath>
            </m:oMathPara>
          </w:p>
        </w:tc>
      </w:tr>
    </w:tbl>
    <w:p>
      <w:r>
        <w:t xml:space="preserve">On obtient </w:t>
      </w:r>
    </w:p>
    <w:tbl>
      <w:tblPr>
        <w:tblStyle w:val="Grilledetableauclaire"/>
        <w:tblW w:w="0" w:type="auto"/>
        <w:tblLook w:val="04A0" w:firstRow="1" w:lastRow="0" w:firstColumn="1" w:lastColumn="0" w:noHBand="0" w:noVBand="1"/>
      </w:tblPr>
      <w:tblGrid>
        <w:gridCol w:w="988"/>
        <w:gridCol w:w="3173"/>
        <w:gridCol w:w="3174"/>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pPr>
              <w:rPr>
                <w:rFonts w:eastAsiaTheme="minorEastAsia"/>
              </w:rPr>
            </w:pPr>
          </w:p>
        </w:tc>
        <w:tc>
          <w:tcPr>
            <w:tcW w:w="3173" w:type="dxa"/>
          </w:tcPr>
          <w:p>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Acide</w:t>
            </w:r>
          </w:p>
        </w:tc>
        <w:tc>
          <w:tcPr>
            <w:tcW w:w="3174" w:type="dxa"/>
          </w:tcPr>
          <w:p>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Base</w:t>
            </w:r>
          </w:p>
        </w:tc>
      </w:tr>
      <w:tr>
        <w:tc>
          <w:tcPr>
            <w:cnfStyle w:val="001000000000" w:firstRow="0" w:lastRow="0" w:firstColumn="1" w:lastColumn="0" w:oddVBand="0" w:evenVBand="0" w:oddHBand="0" w:evenHBand="0" w:firstRowFirstColumn="0" w:firstRowLastColumn="0" w:lastRowFirstColumn="0" w:lastRowLastColumn="0"/>
            <w:tcW w:w="988" w:type="dxa"/>
          </w:tcPr>
          <w:p>
            <w:pPr>
              <w:rPr>
                <w:rFonts w:eastAsiaTheme="minorEastAsia"/>
              </w:rPr>
            </w:pPr>
            <w:r>
              <w:rPr>
                <w:rFonts w:eastAsiaTheme="minorEastAsia"/>
              </w:rPr>
              <w:t>Fort</w:t>
            </w:r>
          </w:p>
        </w:tc>
        <w:tc>
          <w:tcPr>
            <w:tcW w:w="3173" w:type="dxa"/>
          </w:tcPr>
          <w:p>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hAnsi="Cambria Math" w:cs="Open Sans Light"/>
                  </w:rPr>
                  <m:t>pH=-</m:t>
                </m:r>
                <m:r>
                  <m:rPr>
                    <m:sty m:val="p"/>
                  </m:rPr>
                  <w:rPr>
                    <w:rFonts w:ascii="Cambria Math" w:hAnsi="Cambria Math" w:cs="Open Sans Light"/>
                  </w:rPr>
                  <m:t>log⁡</m:t>
                </m:r>
                <m:sSub>
                  <m:sSubPr>
                    <m:ctrlPr>
                      <w:rPr>
                        <w:rFonts w:ascii="Cambria Math" w:hAnsi="Cambria Math" w:cs="Open Sans Light"/>
                        <w:i/>
                      </w:rPr>
                    </m:ctrlPr>
                  </m:sSubPr>
                  <m:e>
                    <m:r>
                      <w:rPr>
                        <w:rFonts w:ascii="Cambria Math" w:hAnsi="Cambria Math" w:cs="Open Sans Light"/>
                      </w:rPr>
                      <m:t>C</m:t>
                    </m:r>
                  </m:e>
                  <m:sub>
                    <m:r>
                      <w:rPr>
                        <w:rFonts w:ascii="Cambria Math" w:hAnsi="Cambria Math" w:cs="Open Sans Light"/>
                      </w:rPr>
                      <m:t>0</m:t>
                    </m:r>
                  </m:sub>
                </m:sSub>
              </m:oMath>
            </m:oMathPara>
          </w:p>
        </w:tc>
        <w:tc>
          <w:tcPr>
            <w:tcW w:w="3174" w:type="dxa"/>
          </w:tcPr>
          <w:p>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hAnsi="Cambria Math" w:cs="Open Sans Light"/>
                  </w:rPr>
                  <m:t>pH=14+</m:t>
                </m:r>
                <m:r>
                  <m:rPr>
                    <m:sty m:val="p"/>
                  </m:rPr>
                  <w:rPr>
                    <w:rFonts w:ascii="Cambria Math" w:hAnsi="Cambria Math" w:cs="Open Sans Light"/>
                  </w:rPr>
                  <m:t>log⁡</m:t>
                </m:r>
                <m:sSub>
                  <m:sSubPr>
                    <m:ctrlPr>
                      <w:rPr>
                        <w:rFonts w:ascii="Cambria Math" w:hAnsi="Cambria Math" w:cs="Open Sans Light"/>
                        <w:i/>
                      </w:rPr>
                    </m:ctrlPr>
                  </m:sSubPr>
                  <m:e>
                    <m:r>
                      <w:rPr>
                        <w:rFonts w:ascii="Cambria Math" w:hAnsi="Cambria Math" w:cs="Open Sans Light"/>
                      </w:rPr>
                      <m:t>C</m:t>
                    </m:r>
                  </m:e>
                  <m:sub>
                    <m:r>
                      <w:rPr>
                        <w:rFonts w:ascii="Cambria Math" w:hAnsi="Cambria Math" w:cs="Open Sans Light"/>
                      </w:rPr>
                      <m:t>0</m:t>
                    </m:r>
                  </m:sub>
                </m:sSub>
              </m:oMath>
            </m:oMathPara>
          </w:p>
        </w:tc>
      </w:tr>
      <w:tr>
        <w:trPr>
          <w:trHeight w:val="682"/>
        </w:trPr>
        <w:tc>
          <w:tcPr>
            <w:cnfStyle w:val="001000000000" w:firstRow="0" w:lastRow="0" w:firstColumn="1" w:lastColumn="0" w:oddVBand="0" w:evenVBand="0" w:oddHBand="0" w:evenHBand="0" w:firstRowFirstColumn="0" w:firstRowLastColumn="0" w:lastRowFirstColumn="0" w:lastRowLastColumn="0"/>
            <w:tcW w:w="988" w:type="dxa"/>
          </w:tcPr>
          <w:p>
            <w:pPr>
              <w:rPr>
                <w:rFonts w:eastAsiaTheme="minorEastAsia"/>
              </w:rPr>
            </w:pPr>
            <w:r>
              <w:rPr>
                <w:rFonts w:eastAsiaTheme="minorEastAsia"/>
              </w:rPr>
              <w:t>Faible</w:t>
            </w:r>
          </w:p>
        </w:tc>
        <w:tc>
          <w:tcPr>
            <w:tcW w:w="3173" w:type="dxa"/>
          </w:tcPr>
          <w:p>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hAnsi="Cambria Math" w:cs="Open Sans Light"/>
                  </w:rPr>
                  <m:t>pH=</m:t>
                </m:r>
                <m:f>
                  <m:fPr>
                    <m:ctrlPr>
                      <w:rPr>
                        <w:rFonts w:ascii="Cambria Math" w:hAnsi="Cambria Math" w:cs="Open Sans Light"/>
                        <w:i/>
                      </w:rPr>
                    </m:ctrlPr>
                  </m:fPr>
                  <m:num>
                    <m:r>
                      <w:rPr>
                        <w:rFonts w:ascii="Cambria Math" w:hAnsi="Cambria Math" w:cs="Open Sans Light"/>
                      </w:rPr>
                      <m:t>1</m:t>
                    </m:r>
                  </m:num>
                  <m:den>
                    <m:r>
                      <w:rPr>
                        <w:rFonts w:ascii="Cambria Math" w:hAnsi="Cambria Math" w:cs="Open Sans Light"/>
                      </w:rPr>
                      <m:t>2</m:t>
                    </m:r>
                  </m:den>
                </m:f>
                <m:r>
                  <w:rPr>
                    <w:rFonts w:ascii="Cambria Math" w:hAnsi="Cambria Math" w:cs="Open Sans Light"/>
                  </w:rPr>
                  <m:t>(pKa-</m:t>
                </m:r>
                <m:r>
                  <m:rPr>
                    <m:sty m:val="p"/>
                  </m:rPr>
                  <w:rPr>
                    <w:rFonts w:ascii="Cambria Math" w:hAnsi="Cambria Math" w:cs="Open Sans Light"/>
                  </w:rPr>
                  <m:t>log⁡</m:t>
                </m:r>
                <m:sSub>
                  <m:sSubPr>
                    <m:ctrlPr>
                      <w:rPr>
                        <w:rFonts w:ascii="Cambria Math" w:hAnsi="Cambria Math" w:cs="Open Sans Light"/>
                        <w:i/>
                      </w:rPr>
                    </m:ctrlPr>
                  </m:sSubPr>
                  <m:e>
                    <m:r>
                      <w:rPr>
                        <w:rFonts w:ascii="Cambria Math" w:hAnsi="Cambria Math" w:cs="Open Sans Light"/>
                      </w:rPr>
                      <m:t>C</m:t>
                    </m:r>
                  </m:e>
                  <m:sub>
                    <m:r>
                      <w:rPr>
                        <w:rFonts w:ascii="Cambria Math" w:hAnsi="Cambria Math" w:cs="Open Sans Light"/>
                      </w:rPr>
                      <m:t>0</m:t>
                    </m:r>
                  </m:sub>
                </m:sSub>
                <m:r>
                  <w:rPr>
                    <w:rFonts w:ascii="Cambria Math" w:hAnsi="Cambria Math" w:cs="Open Sans Light"/>
                  </w:rPr>
                  <m:t>)</m:t>
                </m:r>
              </m:oMath>
            </m:oMathPara>
          </w:p>
        </w:tc>
        <w:tc>
          <w:tcPr>
            <w:tcW w:w="3174" w:type="dxa"/>
          </w:tcPr>
          <w:p>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hAnsi="Cambria Math" w:cs="Open Sans Light"/>
                  </w:rPr>
                  <m:t>pH=7+</m:t>
                </m:r>
                <m:f>
                  <m:fPr>
                    <m:ctrlPr>
                      <w:rPr>
                        <w:rFonts w:ascii="Cambria Math" w:hAnsi="Cambria Math" w:cs="Open Sans Light"/>
                        <w:i/>
                      </w:rPr>
                    </m:ctrlPr>
                  </m:fPr>
                  <m:num>
                    <m:r>
                      <w:rPr>
                        <w:rFonts w:ascii="Cambria Math" w:hAnsi="Cambria Math" w:cs="Open Sans Light"/>
                      </w:rPr>
                      <m:t>1</m:t>
                    </m:r>
                  </m:num>
                  <m:den>
                    <m:r>
                      <w:rPr>
                        <w:rFonts w:ascii="Cambria Math" w:hAnsi="Cambria Math" w:cs="Open Sans Light"/>
                      </w:rPr>
                      <m:t>2</m:t>
                    </m:r>
                  </m:den>
                </m:f>
                <m:r>
                  <w:rPr>
                    <w:rFonts w:ascii="Cambria Math" w:hAnsi="Cambria Math" w:cs="Open Sans Light"/>
                  </w:rPr>
                  <m:t>(pKa+</m:t>
                </m:r>
                <m:r>
                  <m:rPr>
                    <m:sty m:val="p"/>
                  </m:rPr>
                  <w:rPr>
                    <w:rFonts w:ascii="Cambria Math" w:hAnsi="Cambria Math" w:cs="Open Sans Light"/>
                  </w:rPr>
                  <m:t>log⁡</m:t>
                </m:r>
                <m:sSub>
                  <m:sSubPr>
                    <m:ctrlPr>
                      <w:rPr>
                        <w:rFonts w:ascii="Cambria Math" w:hAnsi="Cambria Math" w:cs="Open Sans Light"/>
                        <w:i/>
                      </w:rPr>
                    </m:ctrlPr>
                  </m:sSubPr>
                  <m:e>
                    <m:r>
                      <w:rPr>
                        <w:rFonts w:ascii="Cambria Math" w:hAnsi="Cambria Math" w:cs="Open Sans Light"/>
                      </w:rPr>
                      <m:t>C</m:t>
                    </m:r>
                  </m:e>
                  <m:sub>
                    <m:r>
                      <w:rPr>
                        <w:rFonts w:ascii="Cambria Math" w:hAnsi="Cambria Math" w:cs="Open Sans Light"/>
                      </w:rPr>
                      <m:t>0</m:t>
                    </m:r>
                  </m:sub>
                </m:sSub>
                <m:r>
                  <w:rPr>
                    <w:rFonts w:ascii="Cambria Math" w:hAnsi="Cambria Math" w:cs="Open Sans Light"/>
                  </w:rPr>
                  <m:t>)</m:t>
                </m:r>
              </m:oMath>
            </m:oMathPara>
          </w:p>
        </w:tc>
      </w:tr>
    </w:tbl>
    <w:p>
      <w:pPr>
        <w:pStyle w:val="Titre2"/>
      </w:pPr>
      <w:r>
        <w:t>L’effet tampons</w:t>
      </w:r>
    </w:p>
    <w:p>
      <w:r>
        <w:rPr>
          <w:noProof/>
        </w:rPr>
        <w:drawing>
          <wp:anchor distT="0" distB="0" distL="114300" distR="114300" simplePos="0" relativeHeight="251672576" behindDoc="1" locked="0" layoutInCell="1" allowOverlap="1">
            <wp:simplePos x="0" y="0"/>
            <wp:positionH relativeFrom="column">
              <wp:posOffset>0</wp:posOffset>
            </wp:positionH>
            <wp:positionV relativeFrom="paragraph">
              <wp:posOffset>4445</wp:posOffset>
            </wp:positionV>
            <wp:extent cx="1558695" cy="771276"/>
            <wp:effectExtent l="0" t="0" r="3810" b="0"/>
            <wp:wrapTight wrapText="bothSides">
              <wp:wrapPolygon edited="0">
                <wp:start x="0" y="0"/>
                <wp:lineTo x="0" y="20817"/>
                <wp:lineTo x="21389" y="20817"/>
                <wp:lineTo x="21389"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8695" cy="771276"/>
                    </a:xfrm>
                    <a:prstGeom prst="rect">
                      <a:avLst/>
                    </a:prstGeom>
                    <a:noFill/>
                    <a:ln>
                      <a:noFill/>
                    </a:ln>
                  </pic:spPr>
                </pic:pic>
              </a:graphicData>
            </a:graphic>
          </wp:anchor>
        </w:drawing>
      </w:r>
    </w:p>
    <w:p>
      <w:r>
        <w:t>Le système oscille vers un état d’équilibre</w:t>
      </w:r>
    </w:p>
    <w:p>
      <w:pPr>
        <w:pStyle w:val="Titre2"/>
      </w:pPr>
    </w:p>
    <w:p>
      <w:pPr>
        <w:pStyle w:val="Titre3"/>
      </w:pPr>
      <w:r>
        <w:t>Molécule tampons du corps</w:t>
      </w:r>
    </w:p>
    <w:tbl>
      <w:tblPr>
        <w:tblStyle w:val="Grilledetableauclaire"/>
        <w:tblW w:w="0" w:type="auto"/>
        <w:tblLook w:val="04A0" w:firstRow="1" w:lastRow="0" w:firstColumn="1" w:lastColumn="0" w:noHBand="0" w:noVBand="1"/>
      </w:tblPr>
      <w:tblGrid>
        <w:gridCol w:w="1448"/>
        <w:gridCol w:w="2541"/>
        <w:gridCol w:w="901"/>
        <w:gridCol w:w="1228"/>
        <w:gridCol w:w="1217"/>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tc>
        <w:tc>
          <w:tcPr>
            <w:tcW w:w="2541" w:type="dxa"/>
          </w:tcPr>
          <w:p>
            <w:pPr>
              <w:cnfStyle w:val="100000000000" w:firstRow="1" w:lastRow="0" w:firstColumn="0" w:lastColumn="0" w:oddVBand="0" w:evenVBand="0" w:oddHBand="0" w:evenHBand="0" w:firstRowFirstColumn="0" w:firstRowLastColumn="0" w:lastRowFirstColumn="0" w:lastRowLastColumn="0"/>
            </w:pPr>
            <w:r>
              <w:t>Molécules</w:t>
            </w:r>
          </w:p>
        </w:tc>
        <w:tc>
          <w:tcPr>
            <w:tcW w:w="901" w:type="dxa"/>
          </w:tcPr>
          <w:p>
            <w:pPr>
              <w:cnfStyle w:val="100000000000" w:firstRow="1" w:lastRow="0" w:firstColumn="0" w:lastColumn="0" w:oddVBand="0" w:evenVBand="0" w:oddHBand="0" w:evenHBand="0" w:firstRowFirstColumn="0" w:firstRowLastColumn="0" w:lastRowFirstColumn="0" w:lastRowLastColumn="0"/>
            </w:pPr>
            <w:r>
              <w:t>Stocké</w:t>
            </w:r>
          </w:p>
        </w:tc>
        <w:tc>
          <w:tcPr>
            <w:tcW w:w="1228" w:type="dxa"/>
          </w:tcPr>
          <w:p>
            <w:pPr>
              <w:cnfStyle w:val="100000000000" w:firstRow="1" w:lastRow="0" w:firstColumn="0" w:lastColumn="0" w:oddVBand="0" w:evenVBand="0" w:oddHBand="0" w:evenHBand="0" w:firstRowFirstColumn="0" w:firstRowLastColumn="0" w:lastRowFirstColumn="0" w:lastRowLastColumn="0"/>
            </w:pPr>
            <w:r>
              <w:t>Présent</w:t>
            </w:r>
          </w:p>
        </w:tc>
        <w:tc>
          <w:tcPr>
            <w:tcW w:w="1217" w:type="dxa"/>
          </w:tcPr>
          <w:p>
            <w:pPr>
              <w:cnfStyle w:val="100000000000" w:firstRow="1" w:lastRow="0" w:firstColumn="0" w:lastColumn="0" w:oddVBand="0" w:evenVBand="0" w:oddHBand="0" w:evenHBand="0" w:firstRowFirstColumn="0" w:firstRowLastColumn="0" w:lastRowFirstColumn="0" w:lastRowLastColumn="0"/>
            </w:pPr>
            <w:r>
              <w:t>Évacué</w:t>
            </w:r>
          </w:p>
        </w:tc>
      </w:tr>
      <w:tr>
        <w:trPr>
          <w:trHeight w:val="795"/>
        </w:trPr>
        <w:tc>
          <w:tcPr>
            <w:cnfStyle w:val="001000000000" w:firstRow="0" w:lastRow="0" w:firstColumn="1" w:lastColumn="0" w:oddVBand="0" w:evenVBand="0" w:oddHBand="0" w:evenHBand="0" w:firstRowFirstColumn="0" w:firstRowLastColumn="0" w:lastRowFirstColumn="0" w:lastRowLastColumn="0"/>
            <w:tcW w:w="1448" w:type="dxa"/>
          </w:tcPr>
          <w:p>
            <w:r>
              <w:t>Phosphate inorganique</w:t>
            </w:r>
          </w:p>
        </w:tc>
        <w:tc>
          <w:tcPr>
            <w:tcW w:w="2541"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279866" cy="4965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0740" cy="504669"/>
                          </a:xfrm>
                          <a:prstGeom prst="rect">
                            <a:avLst/>
                          </a:prstGeom>
                          <a:noFill/>
                          <a:ln>
                            <a:noFill/>
                          </a:ln>
                        </pic:spPr>
                      </pic:pic>
                    </a:graphicData>
                  </a:graphic>
                </wp:inline>
              </w:drawing>
            </w:r>
          </w:p>
        </w:tc>
        <w:tc>
          <w:tcPr>
            <w:tcW w:w="901"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91772" cy="36195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292" cy="379985"/>
                          </a:xfrm>
                          <a:prstGeom prst="rect">
                            <a:avLst/>
                          </a:prstGeom>
                          <a:noFill/>
                          <a:ln>
                            <a:noFill/>
                          </a:ln>
                        </pic:spPr>
                      </pic:pic>
                    </a:graphicData>
                  </a:graphic>
                </wp:inline>
              </w:drawing>
            </w:r>
          </w:p>
        </w:tc>
        <w:tc>
          <w:tcPr>
            <w:tcW w:w="1228"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98099" cy="342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6242" cy="359035"/>
                          </a:xfrm>
                          <a:prstGeom prst="rect">
                            <a:avLst/>
                          </a:prstGeom>
                          <a:noFill/>
                          <a:ln>
                            <a:noFill/>
                          </a:ln>
                        </pic:spPr>
                      </pic:pic>
                    </a:graphicData>
                  </a:graphic>
                </wp:inline>
              </w:drawing>
            </w:r>
          </w:p>
        </w:tc>
        <w:tc>
          <w:tcPr>
            <w:tcW w:w="1217"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19100" cy="44259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097" cy="468995"/>
                          </a:xfrm>
                          <a:prstGeom prst="rect">
                            <a:avLst/>
                          </a:prstGeom>
                          <a:noFill/>
                          <a:ln>
                            <a:noFill/>
                          </a:ln>
                        </pic:spPr>
                      </pic:pic>
                    </a:graphicData>
                  </a:graphic>
                </wp:inline>
              </w:drawing>
            </w:r>
          </w:p>
        </w:tc>
      </w:tr>
      <w:tr>
        <w:tc>
          <w:tcPr>
            <w:cnfStyle w:val="001000000000" w:firstRow="0" w:lastRow="0" w:firstColumn="1" w:lastColumn="0" w:oddVBand="0" w:evenVBand="0" w:oddHBand="0" w:evenHBand="0" w:firstRowFirstColumn="0" w:firstRowLastColumn="0" w:lastRowFirstColumn="0" w:lastRowLastColumn="0"/>
            <w:tcW w:w="1448" w:type="dxa"/>
          </w:tcPr>
          <w:p>
            <w:r>
              <w:t>Bicarbonate</w:t>
            </w:r>
          </w:p>
        </w:tc>
        <w:tc>
          <w:tcPr>
            <w:tcW w:w="2541"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476375" cy="3441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1704" cy="354752"/>
                          </a:xfrm>
                          <a:prstGeom prst="rect">
                            <a:avLst/>
                          </a:prstGeom>
                          <a:noFill/>
                          <a:ln>
                            <a:noFill/>
                          </a:ln>
                        </pic:spPr>
                      </pic:pic>
                    </a:graphicData>
                  </a:graphic>
                </wp:inline>
              </w:drawing>
            </w:r>
          </w:p>
        </w:tc>
        <w:tc>
          <w:tcPr>
            <w:tcW w:w="901" w:type="dxa"/>
          </w:tcPr>
          <w:p>
            <w:pPr>
              <w:cnfStyle w:val="000000000000" w:firstRow="0" w:lastRow="0" w:firstColumn="0" w:lastColumn="0" w:oddVBand="0" w:evenVBand="0" w:oddHBand="0" w:evenHBand="0" w:firstRowFirstColumn="0" w:firstRowLastColumn="0" w:lastRowFirstColumn="0" w:lastRowLastColumn="0"/>
            </w:pPr>
          </w:p>
        </w:tc>
        <w:tc>
          <w:tcPr>
            <w:tcW w:w="1228" w:type="dxa"/>
          </w:tcPr>
          <w:p>
            <w:pPr>
              <w:cnfStyle w:val="000000000000" w:firstRow="0" w:lastRow="0" w:firstColumn="0" w:lastColumn="0" w:oddVBand="0" w:evenVBand="0" w:oddHBand="0" w:evenHBand="0" w:firstRowFirstColumn="0" w:firstRowLastColumn="0" w:lastRowFirstColumn="0" w:lastRowLastColumn="0"/>
            </w:pPr>
          </w:p>
        </w:tc>
        <w:tc>
          <w:tcPr>
            <w:tcW w:w="1217"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609397" cy="508000"/>
                  <wp:effectExtent l="0" t="0" r="635"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3057" cy="544395"/>
                          </a:xfrm>
                          <a:prstGeom prst="rect">
                            <a:avLst/>
                          </a:prstGeom>
                          <a:noFill/>
                          <a:ln>
                            <a:noFill/>
                          </a:ln>
                        </pic:spPr>
                      </pic:pic>
                    </a:graphicData>
                  </a:graphic>
                </wp:inline>
              </w:drawing>
            </w:r>
          </w:p>
        </w:tc>
      </w:tr>
    </w:tbl>
    <w:p>
      <w:r>
        <w:t>Dans le cas où les systèmes tampons précédent ne sont pas suffisant, l’organisme utilise les groupements ionisables des protéines avec un pKa entre 4-5 et 9-10.</w:t>
      </w:r>
    </w:p>
    <w:p>
      <w:pPr>
        <w:pStyle w:val="Titre1"/>
      </w:pPr>
      <w:r>
        <w:t>Les protéines</w:t>
      </w:r>
    </w:p>
    <w:p>
      <w:r>
        <w:t>Une protéine est une chaine composée en moyenne de 50 acides aminées appelée chaine peptidique.</w:t>
      </w:r>
    </w:p>
    <w:p>
      <w:pPr>
        <w:pStyle w:val="Titre2"/>
      </w:pPr>
      <w:r>
        <w:t>Stéréochimie</w:t>
      </w:r>
    </w:p>
    <w:p>
      <w:r>
        <w:t>Tous les êtres vivants utilisent pour former les protéines car elle est plus présente que D dans l’Univers.</w:t>
      </w:r>
      <w:r>
        <w:rPr>
          <w:noProof/>
        </w:rPr>
        <w:drawing>
          <wp:anchor distT="0" distB="0" distL="114300" distR="114300" simplePos="0" relativeHeight="251669504" behindDoc="1" locked="0" layoutInCell="1" allowOverlap="1">
            <wp:simplePos x="0" y="0"/>
            <wp:positionH relativeFrom="column">
              <wp:posOffset>1270</wp:posOffset>
            </wp:positionH>
            <wp:positionV relativeFrom="paragraph">
              <wp:posOffset>0</wp:posOffset>
            </wp:positionV>
            <wp:extent cx="1781093" cy="811419"/>
            <wp:effectExtent l="0" t="0" r="0" b="8255"/>
            <wp:wrapTight wrapText="bothSides">
              <wp:wrapPolygon edited="0">
                <wp:start x="0" y="0"/>
                <wp:lineTo x="0" y="21312"/>
                <wp:lineTo x="21261" y="21312"/>
                <wp:lineTo x="2126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1093" cy="811419"/>
                    </a:xfrm>
                    <a:prstGeom prst="rect">
                      <a:avLst/>
                    </a:prstGeom>
                    <a:noFill/>
                    <a:ln>
                      <a:noFill/>
                    </a:ln>
                  </pic:spPr>
                </pic:pic>
              </a:graphicData>
            </a:graphic>
          </wp:anchor>
        </w:drawing>
      </w:r>
    </w:p>
    <w:p>
      <w:pPr>
        <w:pStyle w:val="Titre2"/>
      </w:pPr>
    </w:p>
    <w:p>
      <w:pPr>
        <w:pStyle w:val="Titre2"/>
      </w:pPr>
      <w:r>
        <w:t>Acide aminé</w:t>
      </w:r>
    </w:p>
    <w:p>
      <w:r>
        <w:rPr>
          <w:noProof/>
        </w:rPr>
        <w:drawing>
          <wp:inline distT="0" distB="0" distL="0" distR="0">
            <wp:extent cx="3379690" cy="11334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5286" cy="1138706"/>
                    </a:xfrm>
                    <a:prstGeom prst="rect">
                      <a:avLst/>
                    </a:prstGeom>
                    <a:noFill/>
                    <a:ln>
                      <a:noFill/>
                    </a:ln>
                  </pic:spPr>
                </pic:pic>
              </a:graphicData>
            </a:graphic>
          </wp:inline>
        </w:drawing>
      </w:r>
    </w:p>
    <w:p>
      <w:r>
        <w:t>Les propriétés physico-chimiques des protéines dépendent de :</w:t>
      </w:r>
    </w:p>
    <w:p>
      <w:pPr>
        <w:pStyle w:val="Paragraphedeliste"/>
        <w:numPr>
          <w:ilvl w:val="0"/>
          <w:numId w:val="8"/>
        </w:numPr>
      </w:pPr>
      <w:r>
        <w:t xml:space="preserve">La structure chimique (20 acides aminés différents). </w:t>
      </w:r>
    </w:p>
    <w:p>
      <w:pPr>
        <w:pStyle w:val="Paragraphedeliste"/>
        <w:numPr>
          <w:ilvl w:val="0"/>
          <w:numId w:val="8"/>
        </w:numPr>
      </w:pPr>
      <w:r>
        <w:t>La séquence d’acides aminés (ordre des acides aminés).</w:t>
      </w:r>
    </w:p>
    <w:p>
      <w:pPr>
        <w:pStyle w:val="Titre2"/>
      </w:pPr>
      <w:r>
        <w:t>Liaison entre les acides aminés : liaison peptidique</w:t>
      </w:r>
    </w:p>
    <w:p>
      <w:r>
        <w:rPr>
          <w:noProof/>
        </w:rPr>
        <w:drawing>
          <wp:anchor distT="0" distB="0" distL="114300" distR="114300" simplePos="0" relativeHeight="251666432" behindDoc="1" locked="0" layoutInCell="1" allowOverlap="1">
            <wp:simplePos x="0" y="0"/>
            <wp:positionH relativeFrom="column">
              <wp:posOffset>123825</wp:posOffset>
            </wp:positionH>
            <wp:positionV relativeFrom="paragraph">
              <wp:posOffset>71120</wp:posOffset>
            </wp:positionV>
            <wp:extent cx="1303655" cy="965200"/>
            <wp:effectExtent l="0" t="0" r="0" b="6350"/>
            <wp:wrapThrough wrapText="bothSides">
              <wp:wrapPolygon edited="0">
                <wp:start x="0" y="0"/>
                <wp:lineTo x="0" y="21316"/>
                <wp:lineTo x="21148" y="21316"/>
                <wp:lineTo x="21148"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3655" cy="965200"/>
                    </a:xfrm>
                    <a:prstGeom prst="rect">
                      <a:avLst/>
                    </a:prstGeom>
                    <a:noFill/>
                    <a:ln>
                      <a:noFill/>
                    </a:ln>
                  </pic:spPr>
                </pic:pic>
              </a:graphicData>
            </a:graphic>
          </wp:anchor>
        </w:drawing>
      </w:r>
    </w:p>
    <w:p>
      <w:r>
        <w:t xml:space="preserve">La création de la liaison demande de l’énergie produite par hydrolyse du GDT : </w:t>
      </w:r>
      <m:oMath>
        <m:r>
          <w:rPr>
            <w:rFonts w:ascii="Cambria Math" w:hAnsi="Cambria Math"/>
          </w:rPr>
          <m:t>GDT→GDP+Pi</m:t>
        </m:r>
      </m:oMath>
    </w:p>
    <w:p>
      <w:pPr>
        <w:rPr>
          <w:noProof/>
        </w:rPr>
      </w:pPr>
      <w:r>
        <w:rPr>
          <w:noProof/>
        </w:rPr>
        <w:t>Elle forme une partie de molécule plane.</w:t>
      </w:r>
    </w:p>
    <w:p>
      <w:pPr>
        <w:pStyle w:val="Titre2"/>
        <w:rPr>
          <w:noProof/>
        </w:rPr>
      </w:pPr>
      <w:r>
        <w:t>Chaine principale</w:t>
      </w:r>
      <w:r>
        <w:rPr>
          <w:noProof/>
        </w:rPr>
        <w:t xml:space="preserve"> </w:t>
      </w:r>
    </w:p>
    <w:p>
      <w:r>
        <w:rPr>
          <w:noProof/>
        </w:rPr>
        <w:drawing>
          <wp:inline distT="0" distB="0" distL="0" distR="0">
            <wp:extent cx="3048000" cy="11404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1227" cy="1156825"/>
                    </a:xfrm>
                    <a:prstGeom prst="rect">
                      <a:avLst/>
                    </a:prstGeom>
                    <a:noFill/>
                    <a:ln>
                      <a:noFill/>
                    </a:ln>
                  </pic:spPr>
                </pic:pic>
              </a:graphicData>
            </a:graphic>
          </wp:inline>
        </w:drawing>
      </w:r>
    </w:p>
    <w:p>
      <w:pPr>
        <w:pStyle w:val="Titre2"/>
      </w:pPr>
      <w:r>
        <w:lastRenderedPageBreak/>
        <w:t>Acides aminés hydrophobes (8)</w:t>
      </w:r>
    </w:p>
    <w:p>
      <w:pPr>
        <w:rPr>
          <w:noProof/>
        </w:rPr>
      </w:pPr>
      <w:r>
        <w:rPr>
          <w:noProof/>
        </w:rPr>
        <w:drawing>
          <wp:inline distT="0" distB="0" distL="0" distR="0">
            <wp:extent cx="521981" cy="1057619"/>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664" cy="1089394"/>
                    </a:xfrm>
                    <a:prstGeom prst="rect">
                      <a:avLst/>
                    </a:prstGeom>
                    <a:noFill/>
                    <a:ln>
                      <a:noFill/>
                    </a:ln>
                  </pic:spPr>
                </pic:pic>
              </a:graphicData>
            </a:graphic>
          </wp:inline>
        </w:drawing>
      </w:r>
      <w:r>
        <w:rPr>
          <w:noProof/>
        </w:rPr>
        <w:t xml:space="preserve"> </w:t>
      </w:r>
      <w:r>
        <w:rPr>
          <w:noProof/>
        </w:rPr>
        <w:drawing>
          <wp:inline distT="0" distB="0" distL="0" distR="0">
            <wp:extent cx="763829" cy="584196"/>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0154" cy="596681"/>
                    </a:xfrm>
                    <a:prstGeom prst="rect">
                      <a:avLst/>
                    </a:prstGeom>
                    <a:noFill/>
                    <a:ln>
                      <a:noFill/>
                    </a:ln>
                  </pic:spPr>
                </pic:pic>
              </a:graphicData>
            </a:graphic>
          </wp:inline>
        </w:drawing>
      </w:r>
      <w:r>
        <w:rPr>
          <w:noProof/>
        </w:rPr>
        <w:drawing>
          <wp:inline distT="0" distB="0" distL="0" distR="0">
            <wp:extent cx="2261286" cy="1200150"/>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3040" cy="1238232"/>
                    </a:xfrm>
                    <a:prstGeom prst="rect">
                      <a:avLst/>
                    </a:prstGeom>
                    <a:noFill/>
                    <a:ln>
                      <a:noFill/>
                    </a:ln>
                  </pic:spPr>
                </pic:pic>
              </a:graphicData>
            </a:graphic>
          </wp:inline>
        </w:drawing>
      </w:r>
      <w:r>
        <w:rPr>
          <w:noProof/>
        </w:rPr>
        <w:t xml:space="preserve"> </w:t>
      </w:r>
    </w:p>
    <w:p>
      <w:pPr>
        <w:rPr>
          <w:noProof/>
        </w:rPr>
      </w:pPr>
      <w:r>
        <w:rPr>
          <w:noProof/>
        </w:rPr>
        <w:drawing>
          <wp:inline distT="0" distB="0" distL="0" distR="0">
            <wp:extent cx="847725" cy="1480864"/>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59947" cy="1502214"/>
                    </a:xfrm>
                    <a:prstGeom prst="rect">
                      <a:avLst/>
                    </a:prstGeom>
                    <a:noFill/>
                    <a:ln>
                      <a:noFill/>
                    </a:ln>
                  </pic:spPr>
                </pic:pic>
              </a:graphicData>
            </a:graphic>
          </wp:inline>
        </w:drawing>
      </w:r>
      <w:r>
        <w:rPr>
          <w:noProof/>
        </w:rPr>
        <w:t xml:space="preserve"> </w:t>
      </w:r>
      <w:r>
        <w:rPr>
          <w:noProof/>
        </w:rPr>
        <w:drawing>
          <wp:inline distT="0" distB="0" distL="0" distR="0">
            <wp:extent cx="1057674" cy="14478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2677" cy="1468336"/>
                    </a:xfrm>
                    <a:prstGeom prst="rect">
                      <a:avLst/>
                    </a:prstGeom>
                    <a:noFill/>
                    <a:ln>
                      <a:noFill/>
                    </a:ln>
                  </pic:spPr>
                </pic:pic>
              </a:graphicData>
            </a:graphic>
          </wp:inline>
        </w:drawing>
      </w:r>
      <w:r>
        <w:rPr>
          <w:noProof/>
        </w:rPr>
        <w:t xml:space="preserve"> </w:t>
      </w:r>
      <w:r>
        <w:rPr>
          <w:noProof/>
        </w:rPr>
        <w:drawing>
          <wp:inline distT="0" distB="0" distL="0" distR="0">
            <wp:extent cx="933450" cy="10001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34836" cy="1001610"/>
                    </a:xfrm>
                    <a:prstGeom prst="rect">
                      <a:avLst/>
                    </a:prstGeom>
                    <a:noFill/>
                    <a:ln>
                      <a:noFill/>
                    </a:ln>
                  </pic:spPr>
                </pic:pic>
              </a:graphicData>
            </a:graphic>
          </wp:inline>
        </w:drawing>
      </w:r>
    </w:p>
    <w:p>
      <w:r>
        <w:rPr>
          <w:noProof/>
        </w:rPr>
        <w:drawing>
          <wp:anchor distT="0" distB="0" distL="114300" distR="114300" simplePos="0" relativeHeight="251668480" behindDoc="1" locked="0" layoutInCell="1" allowOverlap="1">
            <wp:simplePos x="0" y="0"/>
            <wp:positionH relativeFrom="column">
              <wp:posOffset>1270</wp:posOffset>
            </wp:positionH>
            <wp:positionV relativeFrom="paragraph">
              <wp:posOffset>-1270</wp:posOffset>
            </wp:positionV>
            <wp:extent cx="1713865" cy="990600"/>
            <wp:effectExtent l="0" t="0" r="635" b="0"/>
            <wp:wrapTight wrapText="bothSides">
              <wp:wrapPolygon edited="0">
                <wp:start x="0" y="0"/>
                <wp:lineTo x="0" y="21185"/>
                <wp:lineTo x="21368" y="21185"/>
                <wp:lineTo x="21368"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3865" cy="990600"/>
                    </a:xfrm>
                    <a:prstGeom prst="rect">
                      <a:avLst/>
                    </a:prstGeom>
                    <a:noFill/>
                    <a:ln>
                      <a:noFill/>
                    </a:ln>
                  </pic:spPr>
                </pic:pic>
              </a:graphicData>
            </a:graphic>
          </wp:anchor>
        </w:drawing>
      </w:r>
    </w:p>
    <w:p>
      <w:r>
        <w:rPr>
          <w:noProof/>
        </w:rPr>
        <w:t>Propriété qui bloque les changements de conformation.</w:t>
      </w:r>
    </w:p>
    <w:p>
      <w:pPr>
        <w:pStyle w:val="Titre2"/>
      </w:pPr>
    </w:p>
    <w:p>
      <w:pPr>
        <w:pStyle w:val="Titre2"/>
      </w:pPr>
      <w:r>
        <w:t>Acides aminés chargés à pH physiologique (5)</w:t>
      </w:r>
    </w:p>
    <w:p>
      <w:pPr>
        <w:pStyle w:val="Titre3"/>
      </w:pPr>
      <w:r>
        <w:t>Négatif = acide (2)</w:t>
      </w:r>
    </w:p>
    <w:p>
      <w:r>
        <w:rPr>
          <w:noProof/>
        </w:rPr>
        <w:drawing>
          <wp:inline distT="0" distB="0" distL="0" distR="0">
            <wp:extent cx="1377108" cy="137429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8584" cy="1395724"/>
                    </a:xfrm>
                    <a:prstGeom prst="rect">
                      <a:avLst/>
                    </a:prstGeom>
                    <a:noFill/>
                    <a:ln>
                      <a:noFill/>
                    </a:ln>
                  </pic:spPr>
                </pic:pic>
              </a:graphicData>
            </a:graphic>
          </wp:inline>
        </w:drawing>
      </w:r>
      <w:r>
        <w:rPr>
          <w:noProof/>
        </w:rPr>
        <w:drawing>
          <wp:inline distT="0" distB="0" distL="0" distR="0">
            <wp:extent cx="892366" cy="1551061"/>
            <wp:effectExtent l="0" t="0" r="317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06868" cy="1576268"/>
                    </a:xfrm>
                    <a:prstGeom prst="rect">
                      <a:avLst/>
                    </a:prstGeom>
                    <a:noFill/>
                    <a:ln>
                      <a:noFill/>
                    </a:ln>
                  </pic:spPr>
                </pic:pic>
              </a:graphicData>
            </a:graphic>
          </wp:inline>
        </w:drawing>
      </w:r>
    </w:p>
    <w:p>
      <w:pPr>
        <w:pStyle w:val="Titre3"/>
      </w:pPr>
      <w:r>
        <w:t>Positif = basique (3)</w:t>
      </w:r>
    </w:p>
    <w:p>
      <w:r>
        <w:rPr>
          <w:noProof/>
        </w:rPr>
        <w:drawing>
          <wp:inline distT="0" distB="0" distL="0" distR="0">
            <wp:extent cx="959693" cy="171994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72917" cy="1743643"/>
                    </a:xfrm>
                    <a:prstGeom prst="rect">
                      <a:avLst/>
                    </a:prstGeom>
                    <a:noFill/>
                    <a:ln>
                      <a:noFill/>
                    </a:ln>
                  </pic:spPr>
                </pic:pic>
              </a:graphicData>
            </a:graphic>
          </wp:inline>
        </w:drawing>
      </w:r>
      <w:r>
        <w:rPr>
          <w:noProof/>
        </w:rPr>
        <w:drawing>
          <wp:inline distT="0" distB="0" distL="0" distR="0">
            <wp:extent cx="946607" cy="1937657"/>
            <wp:effectExtent l="0" t="0" r="6350"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54678" cy="1954178"/>
                    </a:xfrm>
                    <a:prstGeom prst="rect">
                      <a:avLst/>
                    </a:prstGeom>
                    <a:noFill/>
                    <a:ln>
                      <a:noFill/>
                    </a:ln>
                  </pic:spPr>
                </pic:pic>
              </a:graphicData>
            </a:graphic>
          </wp:inline>
        </w:drawing>
      </w:r>
      <w:r>
        <w:rPr>
          <w:noProof/>
        </w:rPr>
        <w:drawing>
          <wp:inline distT="0" distB="0" distL="0" distR="0">
            <wp:extent cx="895377" cy="14859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8430" cy="1490967"/>
                    </a:xfrm>
                    <a:prstGeom prst="rect">
                      <a:avLst/>
                    </a:prstGeom>
                    <a:noFill/>
                    <a:ln>
                      <a:noFill/>
                    </a:ln>
                  </pic:spPr>
                </pic:pic>
              </a:graphicData>
            </a:graphic>
          </wp:inline>
        </w:drawing>
      </w:r>
    </w:p>
    <w:p>
      <w:r>
        <w:t>L’arginine : un des azotes en bout de chaîne est en double liaison avec le carbone</w:t>
      </w:r>
    </w:p>
    <w:p>
      <w:pPr>
        <w:pStyle w:val="Titre2"/>
      </w:pPr>
      <w:r>
        <w:t>Acides aminés polaire non chargé à pH physiologique (7)</w:t>
      </w:r>
    </w:p>
    <w:p>
      <w:pPr>
        <w:pStyle w:val="Titre3"/>
      </w:pPr>
      <w:r>
        <w:t xml:space="preserve">Alcool </w:t>
      </w:r>
    </w:p>
    <w:p>
      <w:r>
        <w:rPr>
          <w:noProof/>
        </w:rPr>
        <w:drawing>
          <wp:inline distT="0" distB="0" distL="0" distR="0">
            <wp:extent cx="2638425" cy="1273351"/>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50905" cy="1279374"/>
                    </a:xfrm>
                    <a:prstGeom prst="rect">
                      <a:avLst/>
                    </a:prstGeom>
                    <a:noFill/>
                    <a:ln>
                      <a:noFill/>
                    </a:ln>
                  </pic:spPr>
                </pic:pic>
              </a:graphicData>
            </a:graphic>
          </wp:inline>
        </w:drawing>
      </w:r>
      <w:r>
        <w:rPr>
          <w:noProof/>
        </w:rPr>
        <w:drawing>
          <wp:inline distT="0" distB="0" distL="0" distR="0">
            <wp:extent cx="1652741" cy="1152525"/>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6536" cy="1169118"/>
                    </a:xfrm>
                    <a:prstGeom prst="rect">
                      <a:avLst/>
                    </a:prstGeom>
                    <a:noFill/>
                    <a:ln>
                      <a:noFill/>
                    </a:ln>
                  </pic:spPr>
                </pic:pic>
              </a:graphicData>
            </a:graphic>
          </wp:inline>
        </w:drawing>
      </w:r>
    </w:p>
    <w:p>
      <w:pPr>
        <w:pStyle w:val="Titre3"/>
      </w:pPr>
      <w:r>
        <w:t>Autre (3)</w:t>
      </w:r>
    </w:p>
    <w:p>
      <w:r>
        <w:rPr>
          <w:noProof/>
        </w:rPr>
        <w:drawing>
          <wp:anchor distT="0" distB="0" distL="114300" distR="114300" simplePos="0" relativeHeight="251670528" behindDoc="1" locked="0" layoutInCell="1" allowOverlap="1">
            <wp:simplePos x="0" y="0"/>
            <wp:positionH relativeFrom="column">
              <wp:posOffset>0</wp:posOffset>
            </wp:positionH>
            <wp:positionV relativeFrom="paragraph">
              <wp:posOffset>0</wp:posOffset>
            </wp:positionV>
            <wp:extent cx="2606767" cy="1171074"/>
            <wp:effectExtent l="0" t="0" r="3175" b="0"/>
            <wp:wrapTight wrapText="bothSides">
              <wp:wrapPolygon edited="0">
                <wp:start x="0" y="0"/>
                <wp:lineTo x="0" y="21085"/>
                <wp:lineTo x="21468" y="21085"/>
                <wp:lineTo x="21468"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06767" cy="1171074"/>
                    </a:xfrm>
                    <a:prstGeom prst="rect">
                      <a:avLst/>
                    </a:prstGeom>
                    <a:noFill/>
                    <a:ln>
                      <a:noFill/>
                    </a:ln>
                  </pic:spPr>
                </pic:pic>
              </a:graphicData>
            </a:graphic>
          </wp:anchor>
        </w:drawing>
      </w:r>
    </w:p>
    <w:p>
      <w:r>
        <w:t>Important notamment dans l’association de deux protéines.</w:t>
      </w:r>
    </w:p>
    <w:p/>
    <w:p>
      <w:r>
        <w:rPr>
          <w:noProof/>
        </w:rPr>
        <w:lastRenderedPageBreak/>
        <w:drawing>
          <wp:inline distT="0" distB="0" distL="0" distR="0">
            <wp:extent cx="1074821" cy="1431874"/>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19410" cy="1491275"/>
                    </a:xfrm>
                    <a:prstGeom prst="rect">
                      <a:avLst/>
                    </a:prstGeom>
                    <a:noFill/>
                    <a:ln>
                      <a:noFill/>
                    </a:ln>
                  </pic:spPr>
                </pic:pic>
              </a:graphicData>
            </a:graphic>
          </wp:inline>
        </w:drawing>
      </w:r>
      <w:r>
        <w:rPr>
          <w:noProof/>
        </w:rPr>
        <w:drawing>
          <wp:inline distT="0" distB="0" distL="0" distR="0">
            <wp:extent cx="910378" cy="1427747"/>
            <wp:effectExtent l="0" t="0" r="4445"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34440" cy="1465484"/>
                    </a:xfrm>
                    <a:prstGeom prst="rect">
                      <a:avLst/>
                    </a:prstGeom>
                    <a:noFill/>
                    <a:ln>
                      <a:noFill/>
                    </a:ln>
                  </pic:spPr>
                </pic:pic>
              </a:graphicData>
            </a:graphic>
          </wp:inline>
        </w:drawing>
      </w:r>
    </w:p>
    <w:p>
      <w:pPr>
        <w:pStyle w:val="Titre2"/>
      </w:pPr>
      <w:r>
        <w:t>Structure 3D et fonction des protéines</w:t>
      </w:r>
    </w:p>
    <w:p>
      <w:r>
        <w:t>C’est la structure 3D qui confère la fonction de la protéine.</w:t>
      </w:r>
    </w:p>
    <w:p>
      <w:r>
        <w:rPr>
          <w:rStyle w:val="Accentuation"/>
        </w:rPr>
        <w:t>Polypeptide</w:t>
      </w:r>
      <w:r>
        <w:t xml:space="preserve"> nom donné à chaine d’acide aminé.</w:t>
      </w:r>
    </w:p>
    <w:p>
      <w:r>
        <w:t>La séquence d’AA est nécessaire et suffisante pour donner la forme de la protéine.</w:t>
      </w:r>
    </w:p>
    <w:p>
      <w:r>
        <w:t>Le repliement des protéines se fait en plusieurs étapes.</w:t>
      </w:r>
    </w:p>
    <w:p>
      <w:pPr>
        <w:pStyle w:val="Titre3"/>
      </w:pPr>
      <w:r>
        <w:t>Structure secondaire</w:t>
      </w:r>
    </w:p>
    <w:p>
      <w:r>
        <w:t>Hélice alpha</w:t>
      </w:r>
    </w:p>
    <w:p>
      <w:r>
        <w:rPr>
          <w:noProof/>
        </w:rPr>
        <w:drawing>
          <wp:inline distT="0" distB="0" distL="0" distR="0">
            <wp:extent cx="1562100" cy="1518637"/>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74268" cy="1530467"/>
                    </a:xfrm>
                    <a:prstGeom prst="rect">
                      <a:avLst/>
                    </a:prstGeom>
                    <a:noFill/>
                    <a:ln>
                      <a:noFill/>
                    </a:ln>
                  </pic:spPr>
                </pic:pic>
              </a:graphicData>
            </a:graphic>
          </wp:inline>
        </w:drawing>
      </w:r>
    </w:p>
    <w:p>
      <w:r>
        <w:t xml:space="preserve"> Feuillet Beta</w:t>
      </w:r>
    </w:p>
    <w:p>
      <w:r>
        <w:t>La structure antiparallèle est stabilisée par des liaison H.</w:t>
      </w:r>
    </w:p>
    <w:p>
      <w:r>
        <w:rPr>
          <w:noProof/>
        </w:rPr>
        <w:drawing>
          <wp:inline distT="0" distB="0" distL="0" distR="0">
            <wp:extent cx="4561205" cy="208407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1205" cy="2084070"/>
                    </a:xfrm>
                    <a:prstGeom prst="rect">
                      <a:avLst/>
                    </a:prstGeom>
                    <a:noFill/>
                    <a:ln>
                      <a:noFill/>
                    </a:ln>
                  </pic:spPr>
                </pic:pic>
              </a:graphicData>
            </a:graphic>
          </wp:inline>
        </w:drawing>
      </w:r>
    </w:p>
    <w:p>
      <w:r>
        <w:t>L’agencement parallèle génère des torsions au niveau des liaisons d’hydrogènes ce qui la rend moins stable que l’organisation antiparallèle.</w:t>
      </w:r>
    </w:p>
    <w:p>
      <w:r>
        <w:rPr>
          <w:noProof/>
        </w:rPr>
        <w:drawing>
          <wp:inline distT="0" distB="0" distL="0" distR="0">
            <wp:extent cx="4635500" cy="19672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5500" cy="1967230"/>
                    </a:xfrm>
                    <a:prstGeom prst="rect">
                      <a:avLst/>
                    </a:prstGeom>
                    <a:noFill/>
                    <a:ln>
                      <a:noFill/>
                    </a:ln>
                  </pic:spPr>
                </pic:pic>
              </a:graphicData>
            </a:graphic>
          </wp:inline>
        </w:drawing>
      </w:r>
    </w:p>
    <w:p>
      <w:pPr>
        <w:pStyle w:val="Titre3"/>
      </w:pPr>
      <w:r>
        <w:t>Structures tertiaires et quaternaires</w:t>
      </w:r>
    </w:p>
    <w:p>
      <w:r>
        <w:t>Comme la protéine est une succession de chaine AA apolaires et polaires, le milieu modifie la conformation de la protéine. Les régions apolaires qui sont hydrophobes vont se regrouper et se concentrer à l’intérieur de la protéine tandis que les acides aminées polaires qui ont une affinité avec l’eau seront exposés vers l’extérieur.</w:t>
      </w:r>
    </w:p>
    <w:p>
      <w:r>
        <w:t>La protéine aura un cœur hydrophobe et des boucles polaires ou chargées</w:t>
      </w:r>
    </w:p>
    <w:p>
      <w:pPr>
        <w:pStyle w:val="Titre2"/>
      </w:pPr>
      <w:r>
        <w:lastRenderedPageBreak/>
        <w:t>L’études des protéines</w:t>
      </w:r>
    </w:p>
    <w:p>
      <w:r>
        <w:t>Trois grandes catégories de méthodes pour sélectionner les protéines à étudier :</w:t>
      </w:r>
    </w:p>
    <w:tbl>
      <w:tblPr>
        <w:tblStyle w:val="Grilledetableauclaire"/>
        <w:tblW w:w="5000" w:type="pct"/>
        <w:tblLook w:val="0400" w:firstRow="0" w:lastRow="0" w:firstColumn="0" w:lastColumn="0" w:noHBand="0" w:noVBand="1"/>
      </w:tblPr>
      <w:tblGrid>
        <w:gridCol w:w="2589"/>
        <w:gridCol w:w="2337"/>
        <w:gridCol w:w="2409"/>
      </w:tblGrid>
      <w:tr>
        <w:tc>
          <w:tcPr>
            <w:tcW w:w="1961" w:type="dxa"/>
          </w:tcPr>
          <w:p>
            <w:r>
              <w:t>Chromatographie</w:t>
            </w:r>
          </w:p>
        </w:tc>
        <w:tc>
          <w:tcPr>
            <w:tcW w:w="1770" w:type="dxa"/>
          </w:tcPr>
          <w:p>
            <w:r>
              <w:t>Gel-filtration</w:t>
            </w:r>
          </w:p>
        </w:tc>
        <w:tc>
          <w:tcPr>
            <w:tcW w:w="1825" w:type="dxa"/>
          </w:tcPr>
          <w:p>
            <w:r>
              <w:t>Électrophorèse</w:t>
            </w:r>
          </w:p>
        </w:tc>
      </w:tr>
    </w:tbl>
    <w:p>
      <w:pPr>
        <w:pStyle w:val="Titre3"/>
      </w:pPr>
      <w:r>
        <w:t>Dénaturation des protéines</w:t>
      </w:r>
    </w:p>
    <w:p>
      <w:pPr>
        <w:rPr>
          <w:rStyle w:val="Accentuation"/>
        </w:rPr>
      </w:pPr>
      <w:bookmarkStart w:id="0" w:name="_Hlk57973089"/>
      <w:r>
        <w:rPr>
          <w:rStyle w:val="Accentuation"/>
        </w:rPr>
        <w:t>Dénaturation</w:t>
      </w:r>
      <w:r>
        <w:t xml:space="preserve"> c’est lorsqu’une molécule biologique perd sa conformation initiale. </w:t>
      </w:r>
      <w:bookmarkEnd w:id="0"/>
      <w:r>
        <w:t>Les protéines dénaturées perdent souvent leur fonction.</w:t>
      </w:r>
    </w:p>
    <w:p>
      <w:r>
        <w:rPr>
          <w:rStyle w:val="Accentuation"/>
        </w:rPr>
        <w:t>Dialyse</w:t>
      </w:r>
      <w:r>
        <w:t xml:space="preserve"> processus de renaturation d’une protéine.</w:t>
      </w:r>
    </w:p>
    <w:p>
      <w:r>
        <w:t>La dénaturation pour les protéines consiste notamment à briser les liaisons disulfures (cystéine).</w:t>
      </w:r>
    </w:p>
    <w:p>
      <w:r>
        <w:t>La dénaturation peut être effectuée en :</w:t>
      </w:r>
    </w:p>
    <w:tbl>
      <w:tblPr>
        <w:tblStyle w:val="Grilledetableauclaire"/>
        <w:tblW w:w="0" w:type="auto"/>
        <w:tblLook w:val="0400" w:firstRow="0" w:lastRow="0" w:firstColumn="0" w:lastColumn="0" w:noHBand="0" w:noVBand="1"/>
      </w:tblPr>
      <w:tblGrid>
        <w:gridCol w:w="3667"/>
        <w:gridCol w:w="3668"/>
      </w:tblGrid>
      <w:tr>
        <w:tc>
          <w:tcPr>
            <w:tcW w:w="3667" w:type="dxa"/>
          </w:tcPr>
          <w:p>
            <w:r>
              <w:t>Modifiant le pH</w:t>
            </w:r>
          </w:p>
        </w:tc>
        <w:tc>
          <w:tcPr>
            <w:tcW w:w="3668" w:type="dxa"/>
          </w:tcPr>
          <w:p>
            <w:r>
              <w:t>Augmentant la température</w:t>
            </w:r>
          </w:p>
        </w:tc>
      </w:tr>
    </w:tbl>
    <w:p>
      <w:r>
        <w:t>La modification du pH aura pour conséquence de modifier les charges des AA chargés mais pas celles du cœur apolaire de l’enzyme.</w:t>
      </w:r>
    </w:p>
    <w:p>
      <w:pPr>
        <w:pStyle w:val="Titre3"/>
      </w:pPr>
      <w:r>
        <w:t>Chromatographie</w:t>
      </w:r>
    </w:p>
    <w:p>
      <w:r>
        <w:t>Trois types de chromatographies :</w:t>
      </w:r>
    </w:p>
    <w:tbl>
      <w:tblPr>
        <w:tblStyle w:val="Grilledetableauclaire"/>
        <w:tblW w:w="0" w:type="auto"/>
        <w:tblLook w:val="0420" w:firstRow="1" w:lastRow="0" w:firstColumn="0"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2445" w:type="dxa"/>
          </w:tcPr>
          <w:p>
            <w:r>
              <w:t>Sur gel</w:t>
            </w:r>
          </w:p>
        </w:tc>
        <w:tc>
          <w:tcPr>
            <w:tcW w:w="2445" w:type="dxa"/>
          </w:tcPr>
          <w:p>
            <w:r>
              <w:t>D’échange d’ions</w:t>
            </w:r>
          </w:p>
        </w:tc>
        <w:tc>
          <w:tcPr>
            <w:tcW w:w="2445" w:type="dxa"/>
          </w:tcPr>
          <w:p>
            <w:r>
              <w:t>D’affinité</w:t>
            </w:r>
          </w:p>
        </w:tc>
      </w:tr>
      <w:tr>
        <w:tc>
          <w:tcPr>
            <w:tcW w:w="2445" w:type="dxa"/>
          </w:tcPr>
          <w:p>
            <w:r>
              <w:t>Filtrer la taille</w:t>
            </w:r>
          </w:p>
        </w:tc>
        <w:tc>
          <w:tcPr>
            <w:tcW w:w="2445" w:type="dxa"/>
          </w:tcPr>
          <w:p>
            <w:r>
              <w:t>Filtrer par la charge</w:t>
            </w:r>
          </w:p>
        </w:tc>
        <w:tc>
          <w:tcPr>
            <w:tcW w:w="2445" w:type="dxa"/>
          </w:tcPr>
          <w:p>
            <w:r>
              <w:t>Filtrer par le substrat</w:t>
            </w:r>
          </w:p>
        </w:tc>
      </w:tr>
    </w:tbl>
    <w:p>
      <w:r>
        <w:t xml:space="preserve">La chromatographie sur gel (ou d’exclusion sur gel) </w:t>
      </w:r>
    </w:p>
    <w:p>
      <w:r>
        <w:t>On fait circuler la solution dans une colonne échangeuse contenant des billes poreuses. Les grosses molécules sortiront rapidement tandis que les plus petites mettront beaucoup plus de temps.</w:t>
      </w:r>
    </w:p>
    <w:p>
      <w:r>
        <w:t>La chromatographie d’échange d’ions</w:t>
      </w:r>
    </w:p>
    <w:p>
      <w:r>
        <w:t>L’idée est de faire adhérer les protéines chargées aux billes puis de les détacher en modifiant le pH jusqu’à atteindre le point isoélectrique de la protéine étudiée.</w:t>
      </w:r>
    </w:p>
    <w:p>
      <w:r>
        <w:t>Les billes sont fabriquées en résine avec un groupement</w:t>
      </w:r>
    </w:p>
    <w:tbl>
      <w:tblPr>
        <w:tblStyle w:val="Grilledetableauclaire"/>
        <w:tblpPr w:leftFromText="141" w:rightFromText="141" w:vertAnchor="text" w:horzAnchor="margin" w:tblpXSpec="right" w:tblpY="21"/>
        <w:tblW w:w="0" w:type="auto"/>
        <w:tblLook w:val="04A0" w:firstRow="1" w:lastRow="0" w:firstColumn="1" w:lastColumn="0" w:noHBand="0" w:noVBand="1"/>
      </w:tblPr>
      <w:tblGrid>
        <w:gridCol w:w="2972"/>
        <w:gridCol w:w="2268"/>
        <w:gridCol w:w="209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
              <w:t>Charge des billes</w:t>
            </w:r>
          </w:p>
        </w:tc>
        <w:tc>
          <w:tcPr>
            <w:tcW w:w="2268" w:type="dxa"/>
          </w:tcPr>
          <w:p>
            <w:pPr>
              <w:cnfStyle w:val="100000000000" w:firstRow="1" w:lastRow="0" w:firstColumn="0" w:lastColumn="0" w:oddVBand="0" w:evenVBand="0" w:oddHBand="0" w:evenHBand="0" w:firstRowFirstColumn="0" w:firstRowLastColumn="0" w:lastRowFirstColumn="0" w:lastRowLastColumn="0"/>
            </w:pPr>
            <w:r>
              <w:t>-</w:t>
            </w:r>
          </w:p>
        </w:tc>
        <w:tc>
          <w:tcPr>
            <w:tcW w:w="2095" w:type="dxa"/>
          </w:tcPr>
          <w:p>
            <w:pPr>
              <w:cnfStyle w:val="100000000000" w:firstRow="1" w:lastRow="0" w:firstColumn="0" w:lastColumn="0" w:oddVBand="0" w:evenVBand="0" w:oddHBand="0" w:evenHBand="0" w:firstRowFirstColumn="0" w:firstRowLastColumn="0" w:lastRowFirstColumn="0" w:lastRowLastColumn="0"/>
            </w:pPr>
            <w:r>
              <w:t>+</w:t>
            </w:r>
          </w:p>
        </w:tc>
      </w:tr>
      <w:tr>
        <w:tc>
          <w:tcPr>
            <w:cnfStyle w:val="001000000000" w:firstRow="0" w:lastRow="0" w:firstColumn="1" w:lastColumn="0" w:oddVBand="0" w:evenVBand="0" w:oddHBand="0" w:evenHBand="0" w:firstRowFirstColumn="0" w:firstRowLastColumn="0" w:lastRowFirstColumn="0" w:lastRowLastColumn="0"/>
            <w:tcW w:w="2972" w:type="dxa"/>
          </w:tcPr>
          <w:p>
            <w:r>
              <w:t>Exemple de groupement</w:t>
            </w:r>
          </w:p>
        </w:tc>
        <w:tc>
          <w:tcPr>
            <w:tcW w:w="2268" w:type="dxa"/>
          </w:tcPr>
          <w:p>
            <w:pPr>
              <w:cnfStyle w:val="000000000000" w:firstRow="0" w:lastRow="0" w:firstColumn="0" w:lastColumn="0" w:oddVBand="0" w:evenVBand="0" w:oddHBand="0" w:evenHBand="0" w:firstRowFirstColumn="0" w:firstRowLastColumn="0" w:lastRowFirstColumn="0" w:lastRowLastColumn="0"/>
            </w:pPr>
            <w:r>
              <w:t>Carboxymethyl</w:t>
            </w:r>
          </w:p>
        </w:tc>
        <w:tc>
          <w:tcPr>
            <w:tcW w:w="2095" w:type="dxa"/>
          </w:tcPr>
          <w:p>
            <w:pPr>
              <w:cnfStyle w:val="000000000000" w:firstRow="0" w:lastRow="0" w:firstColumn="0" w:lastColumn="0" w:oddVBand="0" w:evenVBand="0" w:oddHBand="0" w:evenHBand="0" w:firstRowFirstColumn="0" w:firstRowLastColumn="0" w:lastRowFirstColumn="0" w:lastRowLastColumn="0"/>
            </w:pPr>
            <w:r>
              <w:t>diethylaminoethyl</w:t>
            </w:r>
          </w:p>
        </w:tc>
      </w:tr>
    </w:tbl>
    <w:p>
      <w:r>
        <w:t>Chromatographie par affinité</w:t>
      </w:r>
    </w:p>
    <w:p>
      <w:pPr>
        <w:pStyle w:val="Titre3"/>
      </w:pPr>
      <w:r>
        <w:t>Électrophorèse</w:t>
      </w:r>
    </w:p>
    <w:p>
      <w:r>
        <w:t>Séparer les protéines</w:t>
      </w:r>
      <w:r>
        <w:tab/>
        <w:t xml:space="preserve"> en fonction de la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Taille (dénaturée)</w:t>
            </w:r>
          </w:p>
        </w:tc>
        <w:tc>
          <w:tcPr>
            <w:tcW w:w="3668" w:type="dxa"/>
          </w:tcPr>
          <w:p>
            <w:r>
              <w:t>Charge (non dénaturée)</w:t>
            </w:r>
          </w:p>
        </w:tc>
      </w:tr>
      <w:tr>
        <w:tc>
          <w:tcPr>
            <w:tcW w:w="3667" w:type="dxa"/>
          </w:tcPr>
          <w:p>
            <w:r>
              <w:t>Gel</w:t>
            </w:r>
          </w:p>
        </w:tc>
        <w:tc>
          <w:tcPr>
            <w:tcW w:w="3668" w:type="dxa"/>
          </w:tcPr>
          <w:p>
            <w:r>
              <w:t>Papier</w:t>
            </w:r>
          </w:p>
        </w:tc>
      </w:tr>
    </w:tbl>
    <w:p>
      <w:r>
        <w:t>Chargé</w:t>
      </w:r>
    </w:p>
    <w:p>
      <w:r>
        <w:t>On dépose les protéines en ligne au milieu d’une feuille de papier et on applique un courant électrique sur les deux extrémités de la feuille. Les protéines se trouveront plus ou moins proche des bornes en fonction de leur charge.</w:t>
      </w:r>
    </w:p>
    <w:tbl>
      <w:tblPr>
        <w:tblStyle w:val="Grilledetableauclaire"/>
        <w:tblW w:w="0" w:type="auto"/>
        <w:tblLook w:val="04A0" w:firstRow="1" w:lastRow="0" w:firstColumn="1"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
              <w:t>Borne chargée</w:t>
            </w:r>
          </w:p>
        </w:tc>
        <w:tc>
          <w:tcPr>
            <w:tcW w:w="2445" w:type="dxa"/>
          </w:tcPr>
          <w:p>
            <w:pPr>
              <w:cnfStyle w:val="100000000000" w:firstRow="1" w:lastRow="0" w:firstColumn="0" w:lastColumn="0" w:oddVBand="0" w:evenVBand="0" w:oddHBand="0" w:evenHBand="0" w:firstRowFirstColumn="0" w:firstRowLastColumn="0" w:lastRowFirstColumn="0" w:lastRowLastColumn="0"/>
            </w:pPr>
            <w:r>
              <w:t>Anode +</w:t>
            </w:r>
          </w:p>
        </w:tc>
        <w:tc>
          <w:tcPr>
            <w:tcW w:w="2445" w:type="dxa"/>
          </w:tcPr>
          <w:p>
            <w:pPr>
              <w:cnfStyle w:val="100000000000" w:firstRow="1" w:lastRow="0" w:firstColumn="0" w:lastColumn="0" w:oddVBand="0" w:evenVBand="0" w:oddHBand="0" w:evenHBand="0" w:firstRowFirstColumn="0" w:firstRowLastColumn="0" w:lastRowFirstColumn="0" w:lastRowLastColumn="0"/>
            </w:pPr>
            <w:r>
              <w:t>Cathode -</w:t>
            </w:r>
          </w:p>
        </w:tc>
      </w:tr>
      <w:tr>
        <w:tc>
          <w:tcPr>
            <w:cnfStyle w:val="001000000000" w:firstRow="0" w:lastRow="0" w:firstColumn="1" w:lastColumn="0" w:oddVBand="0" w:evenVBand="0" w:oddHBand="0" w:evenHBand="0" w:firstRowFirstColumn="0" w:firstRowLastColumn="0" w:lastRowFirstColumn="0" w:lastRowLastColumn="0"/>
            <w:tcW w:w="2445" w:type="dxa"/>
          </w:tcPr>
          <w:p>
            <w:r>
              <w:t>Attire les protéines chargées</w:t>
            </w:r>
          </w:p>
        </w:tc>
        <w:tc>
          <w:tcPr>
            <w:tcW w:w="2445" w:type="dxa"/>
          </w:tcPr>
          <w:p>
            <w:pPr>
              <w:cnfStyle w:val="000000000000" w:firstRow="0" w:lastRow="0" w:firstColumn="0" w:lastColumn="0" w:oddVBand="0" w:evenVBand="0" w:oddHBand="0" w:evenHBand="0" w:firstRowFirstColumn="0" w:firstRowLastColumn="0" w:lastRowFirstColumn="0" w:lastRowLastColumn="0"/>
            </w:pPr>
            <w:r>
              <w:t>Anion (chargé -)</w:t>
            </w:r>
          </w:p>
        </w:tc>
        <w:tc>
          <w:tcPr>
            <w:tcW w:w="2445" w:type="dxa"/>
          </w:tcPr>
          <w:p>
            <w:pPr>
              <w:cnfStyle w:val="000000000000" w:firstRow="0" w:lastRow="0" w:firstColumn="0" w:lastColumn="0" w:oddVBand="0" w:evenVBand="0" w:oddHBand="0" w:evenHBand="0" w:firstRowFirstColumn="0" w:firstRowLastColumn="0" w:lastRowFirstColumn="0" w:lastRowLastColumn="0"/>
            </w:pPr>
            <w:r>
              <w:t>Cation (chargé +)</w:t>
            </w:r>
          </w:p>
        </w:tc>
      </w:tr>
    </w:tbl>
    <w:p>
      <w:bookmarkStart w:id="1" w:name="_Hlk55230254"/>
      <w:r>
        <w:t>Taille</w:t>
      </w:r>
    </w:p>
    <w:p>
      <w:r>
        <w:t>Pour comparer la taille des protéines, on doit d’abord les dénaturer.</w:t>
      </w:r>
    </w:p>
    <w:p>
      <w:r>
        <w:t>On applique un courant électrique qui va provoquer la migration des protéines. Plus elles seront proches du ? sont petites.</w:t>
      </w:r>
    </w:p>
    <w:p>
      <w:r>
        <w:t>La taille des protéines est déterminée par une gamme étalon.</w:t>
      </w:r>
    </w:p>
    <w:p>
      <w:pPr>
        <w:pStyle w:val="Titre3"/>
        <w:rPr>
          <w:lang w:val="en-GB"/>
        </w:rPr>
      </w:pPr>
      <w:r>
        <w:rPr>
          <w:lang w:val="en-GB"/>
        </w:rPr>
        <w:t>Western Blot ou buvard de western</w:t>
      </w:r>
    </w:p>
    <w:p>
      <w:r>
        <w:t>Il permet de détecter et d’identifier les protéines et leur concentration. Il faut préalablement dénaturer les protéines.</w:t>
      </w:r>
    </w:p>
    <w:p>
      <w:pPr>
        <w:pStyle w:val="Paragraphedeliste"/>
        <w:numPr>
          <w:ilvl w:val="0"/>
          <w:numId w:val="20"/>
        </w:numPr>
      </w:pPr>
      <w:r>
        <w:t>Séparation : Les protéines sont séparées par taille par électrophorèse.</w:t>
      </w:r>
    </w:p>
    <w:p>
      <w:pPr>
        <w:pStyle w:val="Paragraphedeliste"/>
        <w:numPr>
          <w:ilvl w:val="0"/>
          <w:numId w:val="20"/>
        </w:numPr>
      </w:pPr>
      <w:r>
        <w:lastRenderedPageBreak/>
        <w:t>Transfert : Elles sont ensuite transférées sur un gel en appliquant un courant électrique.</w:t>
      </w:r>
    </w:p>
    <w:p>
      <w:pPr>
        <w:pStyle w:val="Paragraphedeliste"/>
        <w:numPr>
          <w:ilvl w:val="0"/>
          <w:numId w:val="20"/>
        </w:numPr>
      </w:pPr>
      <w:r>
        <w:t>Révélation : On ajoute un anticorps spécifique à la protéine étudiée puis d’un anticorps secondaire capable d’émettre de la lumière en présence d’un substrat.</w:t>
      </w:r>
    </w:p>
    <w:p>
      <w:r>
        <w:t>L’intensité lumineuse permet de connaitre la concentration.</w:t>
      </w:r>
    </w:p>
    <w:p>
      <w:pPr>
        <w:pStyle w:val="Titre3"/>
      </w:pPr>
      <w:r>
        <w:t>Hydrolyse acide</w:t>
      </w:r>
    </w:p>
    <w:p>
      <w:r>
        <w:t xml:space="preserve">Méthode pour séparer les acides aminés de la protéine. </w:t>
      </w:r>
    </w:p>
    <w:p>
      <w:r>
        <w:t>On utilise notamment de l’acide chlorhydrique.</w:t>
      </w:r>
    </w:p>
    <w:p>
      <w:pPr>
        <w:pStyle w:val="Titre1"/>
      </w:pPr>
      <w:r>
        <w:t>Les glucides</w:t>
      </w:r>
    </w:p>
    <w:p>
      <w:r>
        <w:t>Les termes sucre, glucide et carbohydrate sont équivalents.</w:t>
      </w:r>
    </w:p>
    <w:p>
      <w:r>
        <w:t>Les sucres sont classés par complexité. On distingue 2 types de sucres :</w:t>
      </w:r>
    </w:p>
    <w:tbl>
      <w:tblPr>
        <w:tblStyle w:val="Grilledetableauclaire"/>
        <w:tblW w:w="0" w:type="auto"/>
        <w:tblLook w:val="0400" w:firstRow="0" w:lastRow="0" w:firstColumn="0" w:lastColumn="0" w:noHBand="0" w:noVBand="1"/>
      </w:tblPr>
      <w:tblGrid>
        <w:gridCol w:w="3667"/>
        <w:gridCol w:w="3668"/>
      </w:tblGrid>
      <w:tr>
        <w:tc>
          <w:tcPr>
            <w:tcW w:w="3667" w:type="dxa"/>
          </w:tcPr>
          <w:p>
            <w:r>
              <w:t>Ose (simple)</w:t>
            </w:r>
          </w:p>
        </w:tc>
        <w:tc>
          <w:tcPr>
            <w:tcW w:w="3668" w:type="dxa"/>
          </w:tcPr>
          <w:p>
            <w:r>
              <w:t>Oside (complexe)</w:t>
            </w:r>
          </w:p>
        </w:tc>
      </w:tr>
    </w:tbl>
    <w:p>
      <w:r>
        <w:t>Les chaines composées de sucre :</w:t>
      </w:r>
    </w:p>
    <w:p>
      <w:pPr>
        <w:pStyle w:val="Paragraphedeliste"/>
        <w:numPr>
          <w:ilvl w:val="0"/>
          <w:numId w:val="9"/>
        </w:numPr>
      </w:pPr>
      <w:r>
        <w:rPr>
          <w:rStyle w:val="Accentuation"/>
        </w:rPr>
        <w:t>Holoside</w:t>
      </w:r>
      <w:r>
        <w:t xml:space="preserve"> polymère uniquement de sucres.</w:t>
      </w:r>
    </w:p>
    <w:p>
      <w:pPr>
        <w:pStyle w:val="Paragraphedeliste"/>
        <w:numPr>
          <w:ilvl w:val="0"/>
          <w:numId w:val="9"/>
        </w:numPr>
      </w:pPr>
      <w:r>
        <w:rPr>
          <w:rStyle w:val="Accentuation"/>
        </w:rPr>
        <w:t>Hétéroside</w:t>
      </w:r>
      <w:r>
        <w:t xml:space="preserve"> sucre associé avec d’autres composés.</w:t>
      </w:r>
    </w:p>
    <w:p>
      <w:r>
        <w:t>Parmi les holosides :</w:t>
      </w:r>
    </w:p>
    <w:tbl>
      <w:tblPr>
        <w:tblStyle w:val="Grilledetableauclaire"/>
        <w:tblW w:w="0" w:type="auto"/>
        <w:tblLook w:val="0400" w:firstRow="0" w:lastRow="0" w:firstColumn="0" w:lastColumn="0" w:noHBand="0" w:noVBand="1"/>
      </w:tblPr>
      <w:tblGrid>
        <w:gridCol w:w="3667"/>
        <w:gridCol w:w="3668"/>
      </w:tblGrid>
      <w:tr>
        <w:tc>
          <w:tcPr>
            <w:tcW w:w="3667" w:type="dxa"/>
          </w:tcPr>
          <w:p>
            <w:r>
              <w:t>Oligoside 2-20oses</w:t>
            </w:r>
          </w:p>
        </w:tc>
        <w:tc>
          <w:tcPr>
            <w:tcW w:w="3668" w:type="dxa"/>
          </w:tcPr>
          <w:p>
            <w:r>
              <w:t>Polyoside &gt; 20 oses</w:t>
            </w:r>
          </w:p>
        </w:tc>
      </w:tr>
    </w:tbl>
    <w:p>
      <w:pPr>
        <w:pStyle w:val="Titre2"/>
      </w:pPr>
      <w:r>
        <w:t>Nomenclature des oses</w:t>
      </w:r>
    </w:p>
    <w:p>
      <w:r>
        <w:t xml:space="preserve">Les sucres sont caractérisés par la présence : </w:t>
      </w:r>
    </w:p>
    <w:tbl>
      <w:tblPr>
        <w:tblStyle w:val="Grilledetableauclaire"/>
        <w:tblW w:w="0" w:type="auto"/>
        <w:tblLook w:val="0400" w:firstRow="0" w:lastRow="0" w:firstColumn="0" w:lastColumn="0" w:noHBand="0" w:noVBand="1"/>
      </w:tblPr>
      <w:tblGrid>
        <w:gridCol w:w="3667"/>
        <w:gridCol w:w="3668"/>
      </w:tblGrid>
      <w:tr>
        <w:tc>
          <w:tcPr>
            <w:tcW w:w="3667" w:type="dxa"/>
          </w:tcPr>
          <w:p>
            <w:r>
              <w:t>1 groupement carboxyle</w:t>
            </w:r>
          </w:p>
        </w:tc>
        <w:tc>
          <w:tcPr>
            <w:tcW w:w="3668" w:type="dxa"/>
          </w:tcPr>
          <w:p>
            <w:r>
              <w:t>Enchainement de groupement alcool avec l’ajout de carbones.</w:t>
            </w:r>
          </w:p>
        </w:tc>
      </w:tr>
    </w:tbl>
    <w:p>
      <w:r>
        <w:rPr>
          <w:u w:val="single"/>
        </w:rPr>
        <w:t>NB :</w:t>
      </w:r>
      <w:r>
        <w:t xml:space="preserve"> Les plus petites molécules de sucres comptent trois atomes de carbones. Il en existe 2 (un aldose et un cétone).</w:t>
      </w:r>
    </w:p>
    <w:p>
      <w:r>
        <w:t xml:space="preserve">On détermine deux grandes familles de sucre en fonction de la position du groupe carbonyle (c=o) : </w:t>
      </w:r>
    </w:p>
    <w:tbl>
      <w:tblPr>
        <w:tblStyle w:val="Grilledetableauclaire"/>
        <w:tblW w:w="0" w:type="auto"/>
        <w:tblLook w:val="0420" w:firstRow="1" w:lastRow="0" w:firstColumn="0" w:lastColumn="0" w:noHBand="0" w:noVBand="1"/>
      </w:tblPr>
      <w:tblGrid>
        <w:gridCol w:w="3754"/>
        <w:gridCol w:w="3581"/>
      </w:tblGrid>
      <w:tr>
        <w:trPr>
          <w:cnfStyle w:val="100000000000" w:firstRow="1" w:lastRow="0" w:firstColumn="0" w:lastColumn="0" w:oddVBand="0" w:evenVBand="0" w:oddHBand="0" w:evenHBand="0" w:firstRowFirstColumn="0" w:firstRowLastColumn="0" w:lastRowFirstColumn="0" w:lastRowLastColumn="0"/>
          <w:trHeight w:val="146"/>
        </w:trPr>
        <w:tc>
          <w:tcPr>
            <w:tcW w:w="3754" w:type="dxa"/>
          </w:tcPr>
          <w:p>
            <w:pPr>
              <w:rPr>
                <w:b w:val="0"/>
              </w:rPr>
            </w:pPr>
            <w:r>
              <w:t>Sur le carbone 1 est un aldéhyde</w:t>
            </w:r>
          </w:p>
          <w:p>
            <w:r>
              <w:t>(CH=O)</w:t>
            </w:r>
          </w:p>
        </w:tc>
        <w:tc>
          <w:tcPr>
            <w:tcW w:w="3581" w:type="dxa"/>
          </w:tcPr>
          <w:p>
            <w:r>
              <w:t>Sur le carbone 2 est une cétone</w:t>
            </w:r>
          </w:p>
        </w:tc>
      </w:tr>
      <w:tr>
        <w:trPr>
          <w:trHeight w:val="146"/>
        </w:trPr>
        <w:tc>
          <w:tcPr>
            <w:tcW w:w="3754" w:type="dxa"/>
          </w:tcPr>
          <w:p>
            <w:r>
              <w:t>Famille aldose</w:t>
            </w:r>
          </w:p>
        </w:tc>
        <w:tc>
          <w:tcPr>
            <w:tcW w:w="3581" w:type="dxa"/>
          </w:tcPr>
          <w:p>
            <w:r>
              <w:t xml:space="preserve">Famille cétose </w:t>
            </w:r>
          </w:p>
        </w:tc>
      </w:tr>
      <w:tr>
        <w:trPr>
          <w:trHeight w:val="1568"/>
        </w:trPr>
        <w:tc>
          <w:tcPr>
            <w:tcW w:w="3754" w:type="dxa"/>
          </w:tcPr>
          <w:p>
            <w:r>
              <w:rPr>
                <w:noProof/>
              </w:rPr>
              <w:drawing>
                <wp:inline distT="0" distB="0" distL="0" distR="0">
                  <wp:extent cx="694355" cy="83997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15060" cy="865019"/>
                          </a:xfrm>
                          <a:prstGeom prst="rect">
                            <a:avLst/>
                          </a:prstGeom>
                          <a:noFill/>
                          <a:ln>
                            <a:noFill/>
                          </a:ln>
                        </pic:spPr>
                      </pic:pic>
                    </a:graphicData>
                  </a:graphic>
                </wp:inline>
              </w:drawing>
            </w:r>
          </w:p>
        </w:tc>
        <w:tc>
          <w:tcPr>
            <w:tcW w:w="3581" w:type="dxa"/>
          </w:tcPr>
          <w:p>
            <w:r>
              <w:rPr>
                <w:noProof/>
              </w:rPr>
              <w:drawing>
                <wp:inline distT="0" distB="0" distL="0" distR="0">
                  <wp:extent cx="2137145" cy="88324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62004" cy="893515"/>
                          </a:xfrm>
                          <a:prstGeom prst="rect">
                            <a:avLst/>
                          </a:prstGeom>
                          <a:noFill/>
                          <a:ln>
                            <a:noFill/>
                          </a:ln>
                        </pic:spPr>
                      </pic:pic>
                    </a:graphicData>
                  </a:graphic>
                </wp:inline>
              </w:drawing>
            </w:r>
          </w:p>
        </w:tc>
      </w:tr>
    </w:tbl>
    <w:p>
      <w:pPr>
        <w:pStyle w:val="Titre2"/>
      </w:pPr>
      <w:r>
        <w:t>Les carbones asymétriques</w:t>
      </w:r>
    </w:p>
    <w:p>
      <w:r>
        <w:rPr>
          <w:rStyle w:val="Accentuation"/>
        </w:rPr>
        <w:t>Carbone asymétrique</w:t>
      </w:r>
      <w:r>
        <w:t xml:space="preserve"> carbone associé à quatre groupements différents. On les signale par C*.</w:t>
      </w:r>
    </w:p>
    <w:p>
      <w:r>
        <w:t>Tous les carbones du milieu sont asymétriques.</w:t>
      </w:r>
    </w:p>
    <w:p>
      <w:r>
        <w:rPr>
          <w:rStyle w:val="Accentuation"/>
        </w:rPr>
        <w:t>Stéréoisomère</w:t>
      </w:r>
      <w:r>
        <w:t xml:space="preserve"> même formule brut mais une représentation différente dans l’espace.</w:t>
      </w:r>
    </w:p>
    <w:p>
      <w:r>
        <w:t xml:space="preserve">Les stéréoisomères D et L : le groupe rouge permet de déterminer le type d’isomère. Lorsque le groupement est du côté opposé du o= le sucre est de type D. </w:t>
      </w:r>
    </w:p>
    <w:p>
      <w:r>
        <w:t>Le nombre de stéréoisomères est égale à</w:t>
      </w:r>
      <w:r>
        <w:rPr>
          <w:rFonts w:eastAsiaTheme="minorEastAsia"/>
        </w:rPr>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eastAsiaTheme="minorEastAsia"/>
        </w:rPr>
        <w:t xml:space="preserve"> (où n est le n</w:t>
      </w:r>
      <w:r>
        <w:t>ombre de C*) chez les sucres.</w:t>
      </w:r>
    </w:p>
    <w:p>
      <w:pPr>
        <w:pStyle w:val="Titre3"/>
      </w:pPr>
      <w:r>
        <w:t>Quelques sucres incontournables</w:t>
      </w:r>
    </w:p>
    <w:tbl>
      <w:tblPr>
        <w:tblStyle w:val="Grilledetableauclaire"/>
        <w:tblW w:w="0" w:type="auto"/>
        <w:tblLook w:val="04A0" w:firstRow="1" w:lastRow="0" w:firstColumn="1" w:lastColumn="0" w:noHBand="0" w:noVBand="1"/>
      </w:tblPr>
      <w:tblGrid>
        <w:gridCol w:w="4948"/>
        <w:gridCol w:w="2387"/>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
              <w:t xml:space="preserve">Hexose aldose </w:t>
            </w:r>
          </w:p>
        </w:tc>
        <w:tc>
          <w:tcPr>
            <w:tcW w:w="1670" w:type="dxa"/>
          </w:tcPr>
          <w:p>
            <w:pPr>
              <w:cnfStyle w:val="100000000000" w:firstRow="1" w:lastRow="0" w:firstColumn="0" w:lastColumn="0" w:oddVBand="0" w:evenVBand="0" w:oddHBand="0" w:evenHBand="0" w:firstRowFirstColumn="0" w:firstRowLastColumn="0" w:lastRowFirstColumn="0" w:lastRowLastColumn="0"/>
            </w:pPr>
            <w:r>
              <w:t>Hexose cétone</w:t>
            </w:r>
          </w:p>
        </w:tc>
      </w:tr>
      <w:tr>
        <w:trPr>
          <w:trHeight w:val="2684"/>
        </w:trPr>
        <w:tc>
          <w:tcPr>
            <w:cnfStyle w:val="001000000000" w:firstRow="0" w:lastRow="0" w:firstColumn="1" w:lastColumn="0" w:oddVBand="0" w:evenVBand="0" w:oddHBand="0" w:evenHBand="0" w:firstRowFirstColumn="0" w:firstRowLastColumn="0" w:lastRowFirstColumn="0" w:lastRowLastColumn="0"/>
            <w:tcW w:w="5665" w:type="dxa"/>
          </w:tcPr>
          <w:p>
            <w:r>
              <w:rPr>
                <w:noProof/>
              </w:rPr>
              <w:lastRenderedPageBreak/>
              <w:drawing>
                <wp:inline distT="0" distB="0" distL="0" distR="0">
                  <wp:extent cx="1076325" cy="1508822"/>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92023" cy="1530828"/>
                          </a:xfrm>
                          <a:prstGeom prst="rect">
                            <a:avLst/>
                          </a:prstGeom>
                          <a:noFill/>
                          <a:ln>
                            <a:noFill/>
                          </a:ln>
                        </pic:spPr>
                      </pic:pic>
                    </a:graphicData>
                  </a:graphic>
                </wp:inline>
              </w:drawing>
            </w:r>
            <w:r>
              <w:rPr>
                <w:noProof/>
              </w:rPr>
              <w:drawing>
                <wp:inline distT="0" distB="0" distL="0" distR="0">
                  <wp:extent cx="1104900" cy="1576600"/>
                  <wp:effectExtent l="0" t="0" r="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42396" cy="1630103"/>
                          </a:xfrm>
                          <a:prstGeom prst="rect">
                            <a:avLst/>
                          </a:prstGeom>
                          <a:noFill/>
                          <a:ln>
                            <a:noFill/>
                          </a:ln>
                        </pic:spPr>
                      </pic:pic>
                    </a:graphicData>
                  </a:graphic>
                </wp:inline>
              </w:drawing>
            </w:r>
            <w:r>
              <w:rPr>
                <w:noProof/>
              </w:rPr>
              <w:drawing>
                <wp:inline distT="0" distB="0" distL="0" distR="0">
                  <wp:extent cx="771525" cy="1504257"/>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90903" cy="1542038"/>
                          </a:xfrm>
                          <a:prstGeom prst="rect">
                            <a:avLst/>
                          </a:prstGeom>
                          <a:noFill/>
                          <a:ln>
                            <a:noFill/>
                          </a:ln>
                        </pic:spPr>
                      </pic:pic>
                    </a:graphicData>
                  </a:graphic>
                </wp:inline>
              </w:drawing>
            </w:r>
          </w:p>
        </w:tc>
        <w:tc>
          <w:tcPr>
            <w:tcW w:w="1670"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378882" cy="1520456"/>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84849" cy="1527036"/>
                          </a:xfrm>
                          <a:prstGeom prst="rect">
                            <a:avLst/>
                          </a:prstGeom>
                          <a:noFill/>
                          <a:ln>
                            <a:noFill/>
                          </a:ln>
                        </pic:spPr>
                      </pic:pic>
                    </a:graphicData>
                  </a:graphic>
                </wp:inline>
              </w:drawing>
            </w:r>
          </w:p>
        </w:tc>
      </w:tr>
    </w:tbl>
    <w:p>
      <w:r>
        <w:rPr>
          <w:u w:val="single"/>
        </w:rPr>
        <w:t>NB :</w:t>
      </w:r>
      <w:r>
        <w:t xml:space="preserve"> le D glucose et d-galactose sont des épimères.</w:t>
      </w:r>
    </w:p>
    <w:p>
      <w:r>
        <w:rPr>
          <w:rStyle w:val="Accentuation"/>
        </w:rPr>
        <w:t>Épimère</w:t>
      </w:r>
      <w:r>
        <w:t xml:space="preserve"> deux molécules isomères avec une seule différence dans la configuration d’un seul centre chiral.</w:t>
      </w:r>
    </w:p>
    <w:p>
      <w:r>
        <w:rPr>
          <w:rStyle w:val="Accentuation"/>
        </w:rPr>
        <w:t>Isomère</w:t>
      </w:r>
      <w:r>
        <w:t xml:space="preserve"> même formule brute mais de formule développée différente.</w:t>
      </w:r>
    </w:p>
    <w:p>
      <w:r>
        <w:rPr>
          <w:rStyle w:val="Accentuation"/>
        </w:rPr>
        <w:t>Énantiomère</w:t>
      </w:r>
      <w:r>
        <w:t xml:space="preserve"> deux molécules isomères optiques (miroir)</w:t>
      </w:r>
    </w:p>
    <w:p>
      <w:pPr>
        <w:pStyle w:val="Titre3"/>
      </w:pPr>
      <w:r>
        <w:t>Propriété physique des carbones symétriques</w:t>
      </w:r>
    </w:p>
    <w:p>
      <w:r>
        <w:t>Propriété physique pouvoir rotatoire (physique)</w:t>
      </w:r>
    </w:p>
    <w:p>
      <w:r>
        <w:t>Déviation du plan de la lumière d’un angle alpha en fonction de la variation de l’angle (par convention dans le sens des aiguilles d’une montre) :</w:t>
      </w:r>
    </w:p>
    <w:tbl>
      <w:tblPr>
        <w:tblStyle w:val="Grilledetableauclaire"/>
        <w:tblW w:w="0" w:type="auto"/>
        <w:tblLook w:val="0400" w:firstRow="0" w:lastRow="0" w:firstColumn="0" w:lastColumn="0" w:noHBand="0" w:noVBand="1"/>
      </w:tblPr>
      <w:tblGrid>
        <w:gridCol w:w="3667"/>
        <w:gridCol w:w="3668"/>
      </w:tblGrid>
      <w:tr>
        <w:tc>
          <w:tcPr>
            <w:tcW w:w="3667" w:type="dxa"/>
          </w:tcPr>
          <w:p>
            <w:r>
              <w:t>Dextrogyre (+)</w:t>
            </w:r>
          </w:p>
        </w:tc>
        <w:tc>
          <w:tcPr>
            <w:tcW w:w="3668" w:type="dxa"/>
          </w:tcPr>
          <w:p>
            <w:r>
              <w:t>Lévogyre (-)</w:t>
            </w:r>
          </w:p>
        </w:tc>
      </w:tr>
    </w:tbl>
    <w:p>
      <w:pPr>
        <w:pStyle w:val="Titre3"/>
      </w:pPr>
      <w:r>
        <w:t xml:space="preserve">Propriétés chimiques </w:t>
      </w:r>
    </w:p>
    <w:p>
      <w:r>
        <w:t xml:space="preserve">Aldose a des propriétés réductrices. Le groupement aldéhyde est capable de capter un oxygène (c’est-à-dire de s’oxyder) d’une autre molécule qui sera réduite. Le groupement aldéhyde (CH0) devient un groupement acide carboxylique (COOH). </w:t>
      </w:r>
    </w:p>
    <w:p>
      <w:r>
        <w:t>On peut mettre en évidence cette propriété en utilisant la liqueur de Fehling qui passera du bleue à une couleur rouge</w:t>
      </w:r>
    </w:p>
    <w:p>
      <w:pPr>
        <w:rPr>
          <w:shd w:val="clear" w:color="auto" w:fill="FFFFFF"/>
          <w:lang w:val="en-GB"/>
        </w:rPr>
      </w:pPr>
      <w:r>
        <w:rPr>
          <w:shd w:val="clear" w:color="auto" w:fill="FFFFFF"/>
          <w:lang w:val="en-GB"/>
        </w:rPr>
        <w:t>R-CHO + 2Cu</w:t>
      </w:r>
      <w:r>
        <w:rPr>
          <w:shd w:val="clear" w:color="auto" w:fill="FFFFFF"/>
          <w:vertAlign w:val="superscript"/>
          <w:lang w:val="en-GB"/>
        </w:rPr>
        <w:t>2+</w:t>
      </w:r>
      <w:r>
        <w:rPr>
          <w:shd w:val="clear" w:color="auto" w:fill="FFFFFF"/>
          <w:vertAlign w:val="subscript"/>
          <w:lang w:val="en-GB"/>
        </w:rPr>
        <w:t>(aq)</w:t>
      </w:r>
      <w:r>
        <w:rPr>
          <w:shd w:val="clear" w:color="auto" w:fill="FFFFFF"/>
          <w:lang w:val="en-GB"/>
        </w:rPr>
        <w:t> + 5HO</w:t>
      </w:r>
      <w:r>
        <w:rPr>
          <w:shd w:val="clear" w:color="auto" w:fill="FFFFFF"/>
          <w:vertAlign w:val="superscript"/>
          <w:lang w:val="en-GB"/>
        </w:rPr>
        <w:t>−</w:t>
      </w:r>
      <w:r>
        <w:rPr>
          <w:shd w:val="clear" w:color="auto" w:fill="FFFFFF"/>
          <w:vertAlign w:val="subscript"/>
          <w:lang w:val="en-GB"/>
        </w:rPr>
        <w:t>(aq)</w:t>
      </w:r>
      <w:r>
        <w:rPr>
          <w:shd w:val="clear" w:color="auto" w:fill="FFFFFF"/>
          <w:lang w:val="en-GB"/>
        </w:rPr>
        <w:t> </w:t>
      </w:r>
      <w:r>
        <w:rPr>
          <w:rFonts w:ascii="Arial" w:hAnsi="Arial" w:cs="Arial"/>
          <w:shd w:val="clear" w:color="auto" w:fill="FFFFFF"/>
          <w:lang w:val="en-GB"/>
        </w:rPr>
        <w:t>→</w:t>
      </w:r>
      <w:r>
        <w:rPr>
          <w:shd w:val="clear" w:color="auto" w:fill="FFFFFF"/>
          <w:lang w:val="en-GB"/>
        </w:rPr>
        <w:t xml:space="preserve"> RCOO</w:t>
      </w:r>
      <w:r>
        <w:rPr>
          <w:shd w:val="clear" w:color="auto" w:fill="FFFFFF"/>
          <w:vertAlign w:val="superscript"/>
          <w:lang w:val="en-GB"/>
        </w:rPr>
        <w:t>−</w:t>
      </w:r>
      <w:r>
        <w:rPr>
          <w:shd w:val="clear" w:color="auto" w:fill="FFFFFF"/>
          <w:lang w:val="en-GB"/>
        </w:rPr>
        <w:t> + Cu</w:t>
      </w:r>
      <w:r>
        <w:rPr>
          <w:shd w:val="clear" w:color="auto" w:fill="FFFFFF"/>
          <w:vertAlign w:val="subscript"/>
          <w:lang w:val="en-GB"/>
        </w:rPr>
        <w:t>2</w:t>
      </w:r>
      <w:r>
        <w:rPr>
          <w:shd w:val="clear" w:color="auto" w:fill="FFFFFF"/>
          <w:lang w:val="en-GB"/>
        </w:rPr>
        <w:t>O</w:t>
      </w:r>
      <w:r>
        <w:rPr>
          <w:shd w:val="clear" w:color="auto" w:fill="FFFFFF"/>
          <w:vertAlign w:val="subscript"/>
          <w:lang w:val="en-GB"/>
        </w:rPr>
        <w:t>(s)</w:t>
      </w:r>
      <w:r>
        <w:rPr>
          <w:shd w:val="clear" w:color="auto" w:fill="FFFFFF"/>
          <w:lang w:val="en-GB"/>
        </w:rPr>
        <w:t> + 3H</w:t>
      </w:r>
      <w:r>
        <w:rPr>
          <w:shd w:val="clear" w:color="auto" w:fill="FFFFFF"/>
          <w:vertAlign w:val="subscript"/>
          <w:lang w:val="en-GB"/>
        </w:rPr>
        <w:t>2</w:t>
      </w:r>
      <w:r>
        <w:rPr>
          <w:shd w:val="clear" w:color="auto" w:fill="FFFFFF"/>
          <w:lang w:val="en-GB"/>
        </w:rPr>
        <w:t>O</w:t>
      </w:r>
    </w:p>
    <w:p>
      <w:pPr>
        <w:pStyle w:val="Titre2"/>
      </w:pPr>
      <w:r>
        <w:t>Structure cyclique des oses ou mutarotation</w:t>
      </w:r>
    </w:p>
    <w:p>
      <w:pPr>
        <w:pStyle w:val="Titre3"/>
      </w:pPr>
      <w:r>
        <w:t>Réaction du glucose dans l’eau</w:t>
      </w:r>
    </w:p>
    <w:p>
      <w:r>
        <w:t>La structure de glucose se transforme au contact d’un solvant polaire comme l’eau. Elle adopte la conformation d’un cycle fermé.</w:t>
      </w:r>
    </w:p>
    <w:p>
      <w:r>
        <w:t>Par exemple chez les hexoses (6 carbones), la conformation adoptée par le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Glucoses (pyrane)</w:t>
            </w:r>
          </w:p>
        </w:tc>
        <w:tc>
          <w:tcPr>
            <w:tcW w:w="3668" w:type="dxa"/>
          </w:tcPr>
          <w:p>
            <w:r>
              <w:t xml:space="preserve">Fructose (furane) </w:t>
            </w:r>
          </w:p>
        </w:tc>
      </w:tr>
      <w:tr>
        <w:tc>
          <w:tcPr>
            <w:tcW w:w="3667" w:type="dxa"/>
          </w:tcPr>
          <w:p>
            <w:r>
              <w:t>Alpha-D-Glucopyranose</w:t>
            </w:r>
          </w:p>
        </w:tc>
        <w:tc>
          <w:tcPr>
            <w:tcW w:w="3668" w:type="dxa"/>
          </w:tcPr>
          <w:p>
            <w:r>
              <w:t>Beta-D-Fructofuranose</w:t>
            </w:r>
          </w:p>
        </w:tc>
      </w:tr>
    </w:tbl>
    <w:p>
      <w:pPr>
        <w:pStyle w:val="Titre3"/>
      </w:pPr>
      <w:r>
        <w:t>Formation d’un cycle dans l’eau</w:t>
      </w:r>
    </w:p>
    <w:p>
      <w:r>
        <w:rPr>
          <w:rStyle w:val="Accentuation"/>
        </w:rPr>
        <w:t xml:space="preserve">Carbone anomérique </w:t>
      </w:r>
      <w:r>
        <w:rPr>
          <w:noProof/>
        </w:rPr>
        <w:t>carbone qui porte le groupement =O.</w:t>
      </w:r>
    </w:p>
    <w:p>
      <w:r>
        <w:t xml:space="preserve">La cyclisation des sucres se fait par l’ajout puis l’expulsion d’une molécule de </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sur l’oxygène du carbone anomérique. </w:t>
      </w:r>
    </w:p>
    <w:p>
      <w:r>
        <w:rPr>
          <w:noProof/>
        </w:rPr>
        <w:drawing>
          <wp:inline distT="0" distB="0" distL="0" distR="0">
            <wp:extent cx="2400869" cy="1123721"/>
            <wp:effectExtent l="0" t="0" r="0"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26051" cy="1135507"/>
                    </a:xfrm>
                    <a:prstGeom prst="rect">
                      <a:avLst/>
                    </a:prstGeom>
                    <a:noFill/>
                    <a:ln>
                      <a:noFill/>
                    </a:ln>
                  </pic:spPr>
                </pic:pic>
              </a:graphicData>
            </a:graphic>
          </wp:inline>
        </w:drawing>
      </w:r>
      <w:r>
        <w:rPr>
          <w:noProof/>
        </w:rPr>
        <w:drawing>
          <wp:inline distT="0" distB="0" distL="0" distR="0">
            <wp:extent cx="2247441" cy="1139838"/>
            <wp:effectExtent l="0" t="0" r="635"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71695" cy="1152139"/>
                    </a:xfrm>
                    <a:prstGeom prst="rect">
                      <a:avLst/>
                    </a:prstGeom>
                    <a:noFill/>
                    <a:ln>
                      <a:noFill/>
                    </a:ln>
                  </pic:spPr>
                </pic:pic>
              </a:graphicData>
            </a:graphic>
          </wp:inline>
        </w:drawing>
      </w:r>
    </w:p>
    <w:p>
      <w:pPr>
        <w:rPr>
          <w:u w:val="single"/>
        </w:rPr>
      </w:pPr>
      <w:r>
        <w:rPr>
          <w:u w:val="single"/>
        </w:rPr>
        <w:t>Rmq :</w:t>
      </w:r>
    </w:p>
    <w:p>
      <w:pPr>
        <w:pStyle w:val="Paragraphedeliste"/>
        <w:numPr>
          <w:ilvl w:val="0"/>
          <w:numId w:val="18"/>
        </w:numPr>
      </w:pPr>
      <w:r>
        <w:t>β le groupement alcool est en haut sinon</w:t>
      </w:r>
      <w:r>
        <w:rPr>
          <w:rFonts w:cs="Open Sans Light"/>
        </w:rPr>
        <w:t xml:space="preserve"> α.</w:t>
      </w:r>
    </w:p>
    <w:p>
      <w:pPr>
        <w:pStyle w:val="Paragraphedeliste"/>
        <w:numPr>
          <w:ilvl w:val="0"/>
          <w:numId w:val="18"/>
        </w:numPr>
      </w:pPr>
      <w:r>
        <w:t>Par convention, les groupements à gauche sont dessinés en haut.</w:t>
      </w:r>
    </w:p>
    <w:p>
      <w:r>
        <w:rPr>
          <w:rStyle w:val="Accentuation"/>
        </w:rPr>
        <w:t>Mutarotation</w:t>
      </w:r>
      <w:r>
        <w:t xml:space="preserve"> apparition du carbone asymétrique </w:t>
      </w:r>
      <w:r>
        <w:rPr>
          <w:rFonts w:cs="Open Sans Light"/>
        </w:rPr>
        <w:t>α</w:t>
      </w:r>
      <w:r>
        <w:t xml:space="preserve"> ou β. </w:t>
      </w:r>
    </w:p>
    <w:p>
      <w:pPr>
        <w:pStyle w:val="Titre3"/>
      </w:pPr>
      <w:r>
        <w:t>Oses modifiés</w:t>
      </w:r>
    </w:p>
    <w:p>
      <w:pPr>
        <w:pStyle w:val="Paragraphedeliste"/>
        <w:numPr>
          <w:ilvl w:val="0"/>
          <w:numId w:val="17"/>
        </w:numPr>
      </w:pPr>
      <w:r>
        <w:t>Par substitution d’un groupement OH :</w:t>
      </w:r>
    </w:p>
    <w:tbl>
      <w:tblPr>
        <w:tblStyle w:val="Grilledetableauclaire"/>
        <w:tblW w:w="5000" w:type="pct"/>
        <w:tblLook w:val="0400" w:firstRow="0" w:lastRow="0" w:firstColumn="0" w:lastColumn="0" w:noHBand="0" w:noVBand="1"/>
      </w:tblPr>
      <w:tblGrid>
        <w:gridCol w:w="3667"/>
        <w:gridCol w:w="3668"/>
      </w:tblGrid>
      <w:tr>
        <w:tc>
          <w:tcPr>
            <w:tcW w:w="3667" w:type="dxa"/>
          </w:tcPr>
          <w:p>
            <w:r>
              <w:t>Amine (</w:t>
            </w:r>
            <m:oMath>
              <m:sSubSup>
                <m:sSubSupPr>
                  <m:ctrlPr>
                    <w:rPr>
                      <w:rFonts w:ascii="Cambria Math" w:hAnsi="Cambria Math"/>
                      <w:i/>
                    </w:rPr>
                  </m:ctrlPr>
                </m:sSubSupPr>
                <m:e>
                  <m:r>
                    <w:rPr>
                      <w:rFonts w:ascii="Cambria Math" w:hAnsi="Cambria Math"/>
                    </w:rPr>
                    <m:t>NH</m:t>
                  </m:r>
                </m:e>
                <m:sub>
                  <m:r>
                    <w:rPr>
                      <w:rFonts w:ascii="Cambria Math" w:hAnsi="Cambria Math"/>
                    </w:rPr>
                    <m:t>2</m:t>
                  </m:r>
                </m:sub>
                <m:sup/>
              </m:sSubSup>
            </m:oMath>
            <w:r>
              <w:rPr>
                <w:rFonts w:eastAsiaTheme="minorEastAsia"/>
              </w:rPr>
              <w:t>)</w:t>
            </w:r>
          </w:p>
        </w:tc>
        <w:tc>
          <w:tcPr>
            <w:tcW w:w="3668" w:type="dxa"/>
          </w:tcPr>
          <w:p>
            <w:r>
              <w:t>Phosphorylation (</w:t>
            </w:r>
            <m:oMath>
              <m:sSubSup>
                <m:sSubSupPr>
                  <m:ctrlPr>
                    <w:rPr>
                      <w:rFonts w:ascii="Cambria Math" w:hAnsi="Cambria Math"/>
                      <w:i/>
                    </w:rPr>
                  </m:ctrlPr>
                </m:sSubSupPr>
                <m:e>
                  <m:r>
                    <w:rPr>
                      <w:rFonts w:ascii="Cambria Math" w:hAnsi="Cambria Math"/>
                    </w:rPr>
                    <m:t>PO</m:t>
                  </m:r>
                </m:e>
                <m:sub>
                  <m:r>
                    <w:rPr>
                      <w:rFonts w:ascii="Cambria Math" w:hAnsi="Cambria Math"/>
                    </w:rPr>
                    <m:t>3</m:t>
                  </m:r>
                </m:sub>
                <m:sup>
                  <m:r>
                    <w:rPr>
                      <w:rFonts w:ascii="Cambria Math" w:hAnsi="Cambria Math"/>
                    </w:rPr>
                    <m:t>-2</m:t>
                  </m:r>
                </m:sup>
              </m:sSubSup>
            </m:oMath>
            <w:r>
              <w:rPr>
                <w:rFonts w:eastAsiaTheme="minorEastAsia"/>
              </w:rPr>
              <w:t>)</w:t>
            </w:r>
          </w:p>
        </w:tc>
      </w:tr>
    </w:tbl>
    <w:p>
      <w:pPr>
        <w:pStyle w:val="Paragraphedeliste"/>
        <w:numPr>
          <w:ilvl w:val="0"/>
          <w:numId w:val="17"/>
        </w:numPr>
      </w:pPr>
      <w:r>
        <w:t xml:space="preserve">Oxydation des groupements </w:t>
      </w:r>
      <m:oMath>
        <m:r>
          <m:rPr>
            <m:sty m:val="p"/>
          </m:rPr>
          <w:rPr>
            <w:rFonts w:ascii="Cambria Math" w:hAnsi="Cambria Math"/>
          </w:rPr>
          <w:br/>
        </m:r>
      </m:oMath>
      <m:oMathPara>
        <m:oMath>
          <m:sSubSup>
            <m:sSubSupPr>
              <m:ctrlPr>
                <w:rPr>
                  <w:rFonts w:ascii="Cambria Math" w:hAnsi="Cambria Math"/>
                  <w:i/>
                </w:rPr>
              </m:ctrlPr>
            </m:sSubSupPr>
            <m:e>
              <m:r>
                <w:rPr>
                  <w:rFonts w:ascii="Cambria Math" w:hAnsi="Cambria Math"/>
                </w:rPr>
                <m:t>CH</m:t>
              </m:r>
            </m:e>
            <m:sub>
              <m:r>
                <w:rPr>
                  <w:rFonts w:ascii="Cambria Math" w:hAnsi="Cambria Math"/>
                </w:rPr>
                <m:t>2</m:t>
              </m:r>
            </m:sub>
            <m:sup/>
          </m:sSubSup>
          <m:r>
            <w:rPr>
              <w:rFonts w:ascii="Cambria Math" w:hAnsi="Cambria Math"/>
            </w:rPr>
            <m:t>OH→COOH</m:t>
          </m:r>
        </m:oMath>
      </m:oMathPara>
      <w:bookmarkEnd w:id="1"/>
    </w:p>
    <w:p>
      <w:pPr>
        <w:pStyle w:val="Titre2"/>
      </w:pPr>
      <w:r>
        <w:lastRenderedPageBreak/>
        <w:t>Les osides (fabrication de polyosides)</w:t>
      </w:r>
    </w:p>
    <w:p>
      <w:pPr>
        <w:pStyle w:val="Titre3"/>
      </w:pPr>
      <w:r>
        <w:t>La liaison osidique</w:t>
      </w:r>
    </w:p>
    <w:p>
      <w:r>
        <w:t>La liaison entre deux oses est de type acétal (ou éther oxyde) : C-O-C au niveau du carbone anomérique.</w:t>
      </w:r>
    </w:p>
    <w:p>
      <w:pPr>
        <w:pStyle w:val="Titre3"/>
      </w:pPr>
      <w:r>
        <w:t>Les diholosides</w:t>
      </w:r>
    </w:p>
    <w:p>
      <w:r>
        <w:t>Trois oses à connaitre :</w:t>
      </w:r>
    </w:p>
    <w:p>
      <w:pPr>
        <w:pStyle w:val="Paragraphedeliste"/>
        <w:numPr>
          <w:ilvl w:val="0"/>
          <w:numId w:val="17"/>
        </w:numPr>
      </w:pPr>
      <w:r>
        <w:t>Lactose : β-D-galactopyranosyl (1</w:t>
      </w:r>
      <w:r>
        <w:rPr>
          <w:rFonts w:ascii="Arial" w:hAnsi="Arial" w:cs="Arial"/>
        </w:rPr>
        <w:t>→</w:t>
      </w:r>
      <w:r>
        <w:t>4) β-D-glucopyranoside</w:t>
      </w:r>
    </w:p>
    <w:p>
      <w:pPr>
        <w:pStyle w:val="Paragraphedeliste"/>
        <w:numPr>
          <w:ilvl w:val="0"/>
          <w:numId w:val="17"/>
        </w:numPr>
      </w:pPr>
      <w:r>
        <w:t xml:space="preserve">Saccharose: </w:t>
      </w:r>
      <w:r>
        <w:rPr>
          <w:rFonts w:cs="Open Sans Light"/>
        </w:rPr>
        <w:t>α</w:t>
      </w:r>
      <w:r>
        <w:t>-D-glucopyranosyl (1</w:t>
      </w:r>
      <w:r>
        <w:rPr>
          <w:rFonts w:ascii="Arial" w:hAnsi="Arial" w:cs="Arial"/>
        </w:rPr>
        <w:t>→</w:t>
      </w:r>
      <w:r>
        <w:t>4) β-D-fructofuranoside</w:t>
      </w:r>
    </w:p>
    <w:p>
      <w:pPr>
        <w:pStyle w:val="Paragraphedeliste"/>
        <w:numPr>
          <w:ilvl w:val="0"/>
          <w:numId w:val="17"/>
        </w:numPr>
      </w:pPr>
      <w:r>
        <w:t xml:space="preserve">Maltose: </w:t>
      </w:r>
      <w:r>
        <w:rPr>
          <w:rFonts w:cs="Open Sans Light"/>
        </w:rPr>
        <w:t>α</w:t>
      </w:r>
      <w:r>
        <w:t>-D-glucopyranosyl (1</w:t>
      </w:r>
      <w:r>
        <w:rPr>
          <w:rFonts w:ascii="Arial" w:hAnsi="Arial" w:cs="Arial"/>
        </w:rPr>
        <w:t>→</w:t>
      </w:r>
      <w:r>
        <w:t xml:space="preserve">4) </w:t>
      </w:r>
      <w:r>
        <w:rPr>
          <w:rFonts w:cs="Open Sans Light"/>
        </w:rPr>
        <w:t>α</w:t>
      </w:r>
      <w:r>
        <w:t>-D-glucopyranoside.</w:t>
      </w:r>
    </w:p>
    <w:p>
      <w:r>
        <w:t>On ajoute le suffixe -syl pour les molécules en début et milieu de chaine et -side pour celle en bout de chaine.</w:t>
      </w:r>
    </w:p>
    <w:p>
      <w:pPr>
        <w:pStyle w:val="Titre3"/>
      </w:pPr>
      <w:r>
        <w:t>Dissociation des sucres associés en polyoside</w:t>
      </w:r>
    </w:p>
    <w:p>
      <w:r>
        <w:t>Deux possibilités </w:t>
      </w:r>
    </w:p>
    <w:tbl>
      <w:tblPr>
        <w:tblStyle w:val="Grilledetableauclaire"/>
        <w:tblW w:w="0" w:type="auto"/>
        <w:tblLook w:val="0400" w:firstRow="0" w:lastRow="0" w:firstColumn="0" w:lastColumn="0" w:noHBand="0" w:noVBand="1"/>
      </w:tblPr>
      <w:tblGrid>
        <w:gridCol w:w="3667"/>
        <w:gridCol w:w="3668"/>
      </w:tblGrid>
      <w:tr>
        <w:tc>
          <w:tcPr>
            <w:tcW w:w="3667" w:type="dxa"/>
          </w:tcPr>
          <w:p>
            <w:r>
              <w:t>Mettre dans une solution acide (hydrolyse acide)</w:t>
            </w:r>
          </w:p>
        </w:tc>
        <w:tc>
          <w:tcPr>
            <w:tcW w:w="3668" w:type="dxa"/>
          </w:tcPr>
          <w:p>
            <w:r>
              <w:t>Utiliser des enzymes</w:t>
            </w:r>
          </w:p>
        </w:tc>
      </w:tr>
    </w:tbl>
    <w:p>
      <w:r>
        <w:t>Pour nommer une enzyme, substrat (la molécule) + ase (exemple : Alpha glucosidase)</w:t>
      </w:r>
    </w:p>
    <w:p>
      <w:r>
        <w:t xml:space="preserve">Pouvoir sucrant (gout sucré) : </w:t>
      </w:r>
    </w:p>
    <w:p>
      <w:pPr>
        <w:pStyle w:val="Paragraphedeliste"/>
        <w:numPr>
          <w:ilvl w:val="0"/>
          <w:numId w:val="21"/>
        </w:numPr>
      </w:pPr>
      <w:r>
        <w:t>100% saccharose (molécule de référence),  114% fructose</w:t>
      </w:r>
    </w:p>
    <w:p>
      <w:pPr>
        <w:pStyle w:val="Paragraphedeliste"/>
        <w:numPr>
          <w:ilvl w:val="0"/>
          <w:numId w:val="21"/>
        </w:numPr>
      </w:pPr>
      <w:r>
        <w:t>Édulcorant : Aspartame 200% acesulfame 200%</w:t>
      </w:r>
    </w:p>
    <w:p>
      <w:pPr>
        <w:pStyle w:val="Titre2"/>
      </w:pPr>
      <w:r>
        <w:t>Les polyosides du vivant</w:t>
      </w:r>
    </w:p>
    <w:p>
      <w:pPr>
        <w:pStyle w:val="Titre3"/>
      </w:pPr>
      <w:r>
        <w:t>Stockage du glucose ou stockage de l’énergie</w:t>
      </w:r>
    </w:p>
    <w:p>
      <w:r>
        <w:t xml:space="preserve">Le stockage du glucose s’effectue essentiellement avec des monomères de </w:t>
      </w:r>
      <w:r>
        <w:rPr>
          <w:rFonts w:cs="Open Sans Light"/>
        </w:rPr>
        <w:t>α</w:t>
      </w:r>
      <w:r>
        <w:t>-glucose.</w:t>
      </w:r>
    </w:p>
    <w:p>
      <w:r>
        <w:t>Pour l’amylopectine, les glucoses sont reliés 1</w:t>
      </w:r>
      <w:r>
        <w:rPr>
          <w:rFonts w:ascii="Arial" w:hAnsi="Arial" w:cs="Arial"/>
        </w:rPr>
        <w:t>→</w:t>
      </w:r>
      <w:r>
        <w:t>4 ou en 1</w:t>
      </w:r>
      <w:r>
        <w:rPr>
          <w:rFonts w:ascii="Arial" w:hAnsi="Arial" w:cs="Arial"/>
        </w:rPr>
        <w:t>→</w:t>
      </w:r>
      <w:r>
        <w:t>5.</w:t>
      </w:r>
    </w:p>
    <w:tbl>
      <w:tblPr>
        <w:tblStyle w:val="Grilledetableauclaire"/>
        <w:tblW w:w="0" w:type="auto"/>
        <w:tblLook w:val="0420" w:firstRow="1" w:lastRow="0" w:firstColumn="0"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4890" w:type="dxa"/>
            <w:gridSpan w:val="2"/>
          </w:tcPr>
          <w:p>
            <w:pPr>
              <w:jc w:val="center"/>
            </w:pPr>
            <w:r>
              <w:t>Plante</w:t>
            </w:r>
          </w:p>
        </w:tc>
        <w:tc>
          <w:tcPr>
            <w:tcW w:w="2445" w:type="dxa"/>
          </w:tcPr>
          <w:p>
            <w:pPr>
              <w:jc w:val="center"/>
            </w:pPr>
            <w:r>
              <w:t>Animaux</w:t>
            </w:r>
          </w:p>
        </w:tc>
      </w:tr>
      <w:tr>
        <w:tc>
          <w:tcPr>
            <w:tcW w:w="2445" w:type="dxa"/>
          </w:tcPr>
          <w:p>
            <w:pPr>
              <w:rPr>
                <w:b/>
                <w:bCs/>
              </w:rPr>
            </w:pPr>
            <w:r>
              <w:rPr>
                <w:b/>
                <w:bCs/>
              </w:rPr>
              <w:t>Chaine</w:t>
            </w:r>
          </w:p>
        </w:tc>
        <w:tc>
          <w:tcPr>
            <w:tcW w:w="2445" w:type="dxa"/>
          </w:tcPr>
          <w:p>
            <w:pPr>
              <w:rPr>
                <w:b/>
                <w:bCs/>
              </w:rPr>
            </w:pPr>
            <w:r>
              <w:rPr>
                <w:b/>
                <w:bCs/>
              </w:rPr>
              <w:t>Réseau de chaîne</w:t>
            </w:r>
          </w:p>
        </w:tc>
        <w:tc>
          <w:tcPr>
            <w:tcW w:w="2445" w:type="dxa"/>
          </w:tcPr>
          <w:p>
            <w:pPr>
              <w:rPr>
                <w:b/>
                <w:bCs/>
              </w:rPr>
            </w:pPr>
            <w:r>
              <w:rPr>
                <w:b/>
                <w:bCs/>
              </w:rPr>
              <w:t>Réseau de chaîne</w:t>
            </w:r>
          </w:p>
        </w:tc>
      </w:tr>
      <w:tr>
        <w:tc>
          <w:tcPr>
            <w:tcW w:w="2445" w:type="dxa"/>
          </w:tcPr>
          <w:p>
            <w:r>
              <w:t>Amidon</w:t>
            </w:r>
          </w:p>
        </w:tc>
        <w:tc>
          <w:tcPr>
            <w:tcW w:w="2445" w:type="dxa"/>
          </w:tcPr>
          <w:p>
            <w:r>
              <w:t>Amylopectine</w:t>
            </w:r>
          </w:p>
        </w:tc>
        <w:tc>
          <w:tcPr>
            <w:tcW w:w="2445" w:type="dxa"/>
          </w:tcPr>
          <w:p>
            <w:r>
              <w:t>Glycogènes</w:t>
            </w:r>
          </w:p>
        </w:tc>
      </w:tr>
    </w:tbl>
    <w:p>
      <w:r>
        <w:t>La seule différence entre l’amylopectine et le glycogène est que le second est plus dense c’est-à-dire qu’il possède plus de ramification.</w:t>
      </w:r>
    </w:p>
    <w:p>
      <w:pPr>
        <w:pStyle w:val="Titre1"/>
      </w:pPr>
      <w:r>
        <w:t>Les lipides</w:t>
      </w:r>
    </w:p>
    <w:p>
      <w:r>
        <w:t>Étymologie de « Lipos » qui signifie graisse.</w:t>
      </w:r>
    </w:p>
    <w:p>
      <w:r>
        <w:rPr>
          <w:u w:val="single"/>
        </w:rPr>
        <w:t>NB :</w:t>
      </w:r>
      <w:r>
        <w:t xml:space="preserve"> La vitamine D est un lipide.</w:t>
      </w:r>
    </w:p>
    <w:p>
      <w:r>
        <w:t xml:space="preserve">La caractéristique commune des lipides est qu’ils ne se mélangent pas avec l’eau. Ils sont constitués en majeure partie d’hydrocarbures. </w:t>
      </w:r>
    </w:p>
    <w:p>
      <w:r>
        <w:t>Les rôles des lipides :</w:t>
      </w:r>
    </w:p>
    <w:p>
      <w:pPr>
        <w:pStyle w:val="Paragraphedeliste"/>
        <w:numPr>
          <w:ilvl w:val="0"/>
          <w:numId w:val="15"/>
        </w:numPr>
      </w:pPr>
      <w:r>
        <w:t>Réserves intracellulaires d’énergie (adipocyte).</w:t>
      </w:r>
    </w:p>
    <w:p>
      <w:pPr>
        <w:pStyle w:val="Paragraphedeliste"/>
        <w:numPr>
          <w:ilvl w:val="0"/>
          <w:numId w:val="15"/>
        </w:numPr>
      </w:pPr>
      <w:r>
        <w:t xml:space="preserve">Les matériaux principaux des membranes cellulaires. </w:t>
      </w:r>
    </w:p>
    <w:p>
      <w:pPr>
        <w:pStyle w:val="Paragraphedeliste"/>
        <w:numPr>
          <w:ilvl w:val="0"/>
          <w:numId w:val="15"/>
        </w:numPr>
      </w:pPr>
      <w:r>
        <w:t>Imperméabilise la peau (sébum, cérumen).</w:t>
      </w:r>
    </w:p>
    <w:p>
      <w:pPr>
        <w:pStyle w:val="Paragraphedeliste"/>
        <w:numPr>
          <w:ilvl w:val="0"/>
          <w:numId w:val="15"/>
        </w:numPr>
      </w:pPr>
      <w:r>
        <w:t>Molécule de signalisation</w:t>
      </w:r>
    </w:p>
    <w:p>
      <w:pPr>
        <w:pStyle w:val="Paragraphedeliste"/>
        <w:numPr>
          <w:ilvl w:val="1"/>
          <w:numId w:val="15"/>
        </w:numPr>
      </w:pPr>
      <w:r>
        <w:t>Inflammation</w:t>
      </w:r>
    </w:p>
    <w:p>
      <w:r>
        <w:t>Trois types de lipides majeurs :</w:t>
      </w:r>
    </w:p>
    <w:tbl>
      <w:tblPr>
        <w:tblStyle w:val="Grilledetableauclaire"/>
        <w:tblW w:w="0" w:type="auto"/>
        <w:tblLook w:val="0400" w:firstRow="0" w:lastRow="0" w:firstColumn="0" w:lastColumn="0" w:noHBand="0" w:noVBand="1"/>
      </w:tblPr>
      <w:tblGrid>
        <w:gridCol w:w="2346"/>
        <w:gridCol w:w="2770"/>
        <w:gridCol w:w="2219"/>
      </w:tblGrid>
      <w:tr>
        <w:tc>
          <w:tcPr>
            <w:tcW w:w="3020" w:type="dxa"/>
          </w:tcPr>
          <w:p>
            <w:r>
              <w:t xml:space="preserve">Triglycérides </w:t>
            </w:r>
          </w:p>
        </w:tc>
        <w:tc>
          <w:tcPr>
            <w:tcW w:w="3021" w:type="dxa"/>
          </w:tcPr>
          <w:p>
            <w:r>
              <w:t>Phosphoglycérolipides</w:t>
            </w:r>
          </w:p>
        </w:tc>
        <w:tc>
          <w:tcPr>
            <w:tcW w:w="3021" w:type="dxa"/>
          </w:tcPr>
          <w:p>
            <w:r>
              <w:t>Stéroïdes</w:t>
            </w:r>
          </w:p>
        </w:tc>
      </w:tr>
    </w:tbl>
    <w:p>
      <w:r>
        <w:t>Aussi :</w:t>
      </w:r>
    </w:p>
    <w:p>
      <w:pPr>
        <w:pStyle w:val="Paragraphedeliste"/>
        <w:numPr>
          <w:ilvl w:val="0"/>
          <w:numId w:val="14"/>
        </w:numPr>
      </w:pPr>
      <w:r>
        <w:t>Les cires végétales qui imperméabilisent les feuilles des plantes.</w:t>
      </w:r>
    </w:p>
    <w:p>
      <w:pPr>
        <w:pStyle w:val="Paragraphedeliste"/>
        <w:numPr>
          <w:ilvl w:val="0"/>
          <w:numId w:val="14"/>
        </w:numPr>
      </w:pPr>
      <w:r>
        <w:t>Les pigments.</w:t>
      </w:r>
    </w:p>
    <w:p>
      <w:pPr>
        <w:pStyle w:val="Titre2"/>
      </w:pPr>
      <w:r>
        <w:t>Lipide apolaire</w:t>
      </w:r>
    </w:p>
    <w:p>
      <w:r>
        <w:t>Trois grandes catégories :</w:t>
      </w:r>
    </w:p>
    <w:tbl>
      <w:tblPr>
        <w:tblStyle w:val="Grilledetableauclaire"/>
        <w:tblW w:w="0" w:type="auto"/>
        <w:tblLook w:val="0420" w:firstRow="1" w:lastRow="0" w:firstColumn="0" w:lastColumn="0" w:noHBand="0" w:noVBand="1"/>
      </w:tblPr>
      <w:tblGrid>
        <w:gridCol w:w="2496"/>
        <w:gridCol w:w="2886"/>
        <w:gridCol w:w="1953"/>
      </w:tblGrid>
      <w:tr>
        <w:trPr>
          <w:cnfStyle w:val="100000000000" w:firstRow="1" w:lastRow="0" w:firstColumn="0" w:lastColumn="0" w:oddVBand="0" w:evenVBand="0" w:oddHBand="0" w:evenHBand="0" w:firstRowFirstColumn="0" w:firstRowLastColumn="0" w:lastRowFirstColumn="0" w:lastRowLastColumn="0"/>
        </w:trPr>
        <w:tc>
          <w:tcPr>
            <w:tcW w:w="2496" w:type="dxa"/>
          </w:tcPr>
          <w:p>
            <w:r>
              <w:t>Simple (homolipides)</w:t>
            </w:r>
          </w:p>
        </w:tc>
        <w:tc>
          <w:tcPr>
            <w:tcW w:w="2886" w:type="dxa"/>
          </w:tcPr>
          <w:p>
            <w:r>
              <w:t>Complexes (hétérolipides)</w:t>
            </w:r>
          </w:p>
        </w:tc>
        <w:tc>
          <w:tcPr>
            <w:tcW w:w="1953" w:type="dxa"/>
          </w:tcPr>
          <w:p>
            <w:r>
              <w:t>Lipoïdes</w:t>
            </w:r>
          </w:p>
        </w:tc>
      </w:tr>
      <w:tr>
        <w:tc>
          <w:tcPr>
            <w:tcW w:w="2496" w:type="dxa"/>
          </w:tcPr>
          <w:p>
            <w:r>
              <w:t>Acides gras + alcools simples</w:t>
            </w:r>
          </w:p>
        </w:tc>
        <w:tc>
          <w:tcPr>
            <w:tcW w:w="2886" w:type="dxa"/>
          </w:tcPr>
          <w:p>
            <w:r>
              <w:t>Acides gras + alcools, P N, sucres</w:t>
            </w:r>
          </w:p>
        </w:tc>
        <w:tc>
          <w:tcPr>
            <w:tcW w:w="1953" w:type="dxa"/>
          </w:tcPr>
          <w:p>
            <w:r>
              <w:t>Pas d’acides gras</w:t>
            </w:r>
          </w:p>
        </w:tc>
      </w:tr>
    </w:tbl>
    <w:p>
      <w:pPr>
        <w:pStyle w:val="Titre3"/>
      </w:pPr>
      <w:r>
        <w:lastRenderedPageBreak/>
        <w:t>Acide gras</w:t>
      </w:r>
    </w:p>
    <w:p>
      <w:r>
        <w:t>Un acide gras est constitué d’une chaine carbonée avec un groupement acide carboxylique.</w:t>
      </w:r>
    </w:p>
    <w:p>
      <w:r>
        <w:rPr>
          <w:u w:val="single"/>
        </w:rPr>
        <w:t>Rmq :</w:t>
      </w:r>
      <w:r>
        <w:t xml:space="preserve"> Les chaines carbonées sont souvent </w:t>
      </w:r>
    </w:p>
    <w:tbl>
      <w:tblPr>
        <w:tblStyle w:val="Grilledetableauclaire"/>
        <w:tblW w:w="0" w:type="auto"/>
        <w:tblLook w:val="0400" w:firstRow="0" w:lastRow="0" w:firstColumn="0" w:lastColumn="0" w:noHBand="0" w:noVBand="1"/>
      </w:tblPr>
      <w:tblGrid>
        <w:gridCol w:w="2547"/>
        <w:gridCol w:w="4788"/>
      </w:tblGrid>
      <w:tr>
        <w:tc>
          <w:tcPr>
            <w:tcW w:w="2547" w:type="dxa"/>
          </w:tcPr>
          <w:p>
            <w:r>
              <w:t>Linéaires</w:t>
            </w:r>
          </w:p>
        </w:tc>
        <w:tc>
          <w:tcPr>
            <w:tcW w:w="4788" w:type="dxa"/>
          </w:tcPr>
          <w:p>
            <w:r>
              <w:t>Composées d’un nombre paire de carbones</w:t>
            </w:r>
          </w:p>
        </w:tc>
      </w:tr>
    </w:tbl>
    <w:p>
      <w:r>
        <w:t>La chaine carbonée peut porter des insaturations, c’est-à-dire des liaisons doubles. Elles sont toujours de type cis dans la nature ce qui introduit une courbure de 30° par rapport à l’axe principal.</w:t>
      </w:r>
    </w:p>
    <w:p>
      <w:r>
        <w:t>Les acides gras sont classés en deux catégories :</w:t>
      </w:r>
    </w:p>
    <w:tbl>
      <w:tblPr>
        <w:tblStyle w:val="Grilledetableauclaire"/>
        <w:tblW w:w="0" w:type="auto"/>
        <w:tblLook w:val="0400" w:firstRow="0" w:lastRow="0" w:firstColumn="0" w:lastColumn="0" w:noHBand="0" w:noVBand="1"/>
      </w:tblPr>
      <w:tblGrid>
        <w:gridCol w:w="3640"/>
        <w:gridCol w:w="3695"/>
      </w:tblGrid>
      <w:tr>
        <w:tc>
          <w:tcPr>
            <w:tcW w:w="3640" w:type="dxa"/>
          </w:tcPr>
          <w:p>
            <w:r>
              <w:t>Saturé</w:t>
            </w:r>
          </w:p>
        </w:tc>
        <w:tc>
          <w:tcPr>
            <w:tcW w:w="3695" w:type="dxa"/>
          </w:tcPr>
          <w:p>
            <w:r>
              <w:t>Insaturé (contient au moins une liaison double)</w:t>
            </w:r>
          </w:p>
        </w:tc>
      </w:tr>
    </w:tbl>
    <w:p>
      <w:r>
        <w:rPr>
          <w:rStyle w:val="Accentuation"/>
        </w:rPr>
        <w:t>Monoinsaturé</w:t>
      </w:r>
      <w:r>
        <w:t xml:space="preserve"> correspond à une seule liaison double. </w:t>
      </w:r>
      <w:r>
        <w:rPr>
          <w:rStyle w:val="Accentuation"/>
        </w:rPr>
        <w:t>Polyinsaturé</w:t>
      </w:r>
      <w:r>
        <w:t xml:space="preserve"> à 2 ou plus.</w:t>
      </w:r>
    </w:p>
    <w:p>
      <w:r>
        <w:t>Le corps humain est incapable de produire des lipides avec des chaines insaturées. On a donc besoin d’en ingérer dans notre alimentation.</w:t>
      </w:r>
    </w:p>
    <w:p>
      <w:r>
        <w:t>Trois acides gras à connaitre :</w:t>
      </w:r>
    </w:p>
    <w:tbl>
      <w:tblPr>
        <w:tblStyle w:val="Grilledetableauclaire"/>
        <w:tblW w:w="0" w:type="auto"/>
        <w:tblLook w:val="0420" w:firstRow="1" w:lastRow="0" w:firstColumn="0" w:lastColumn="0" w:noHBand="0" w:noVBand="1"/>
      </w:tblPr>
      <w:tblGrid>
        <w:gridCol w:w="1980"/>
        <w:gridCol w:w="1559"/>
        <w:gridCol w:w="3796"/>
      </w:tblGrid>
      <w:tr>
        <w:trPr>
          <w:cnfStyle w:val="100000000000" w:firstRow="1" w:lastRow="0" w:firstColumn="0" w:lastColumn="0" w:oddVBand="0" w:evenVBand="0" w:oddHBand="0" w:evenHBand="0" w:firstRowFirstColumn="0" w:firstRowLastColumn="0" w:lastRowFirstColumn="0" w:lastRowLastColumn="0"/>
        </w:trPr>
        <w:tc>
          <w:tcPr>
            <w:tcW w:w="1980" w:type="dxa"/>
          </w:tcPr>
          <w:p>
            <w:r>
              <w:t>Lipides</w:t>
            </w:r>
          </w:p>
        </w:tc>
        <w:tc>
          <w:tcPr>
            <w:tcW w:w="1559" w:type="dxa"/>
          </w:tcPr>
          <w:p>
            <w:r>
              <w:t>Nom court</w:t>
            </w:r>
          </w:p>
        </w:tc>
        <w:tc>
          <w:tcPr>
            <w:tcW w:w="3796" w:type="dxa"/>
          </w:tcPr>
          <w:p>
            <w:r>
              <w:t>Nom UICPA</w:t>
            </w:r>
          </w:p>
        </w:tc>
      </w:tr>
      <w:tr>
        <w:tc>
          <w:tcPr>
            <w:tcW w:w="1980" w:type="dxa"/>
          </w:tcPr>
          <w:p>
            <w:r>
              <w:t>Acide palmitique</w:t>
            </w:r>
          </w:p>
        </w:tc>
        <w:tc>
          <w:tcPr>
            <w:tcW w:w="1559" w:type="dxa"/>
          </w:tcPr>
          <w:p>
            <w:r>
              <w:t>C16:0</w:t>
            </w:r>
          </w:p>
        </w:tc>
        <w:tc>
          <w:tcPr>
            <w:tcW w:w="3796" w:type="dxa"/>
          </w:tcPr>
          <w:p>
            <w:r>
              <w:t>Acide hexadécanoïque</w:t>
            </w:r>
          </w:p>
        </w:tc>
      </w:tr>
      <w:tr>
        <w:tc>
          <w:tcPr>
            <w:tcW w:w="1980" w:type="dxa"/>
          </w:tcPr>
          <w:p>
            <w:r>
              <w:t>Acide stéarique</w:t>
            </w:r>
          </w:p>
        </w:tc>
        <w:tc>
          <w:tcPr>
            <w:tcW w:w="1559" w:type="dxa"/>
          </w:tcPr>
          <w:p>
            <w:r>
              <w:t>C18:0</w:t>
            </w:r>
          </w:p>
        </w:tc>
        <w:tc>
          <w:tcPr>
            <w:tcW w:w="3796" w:type="dxa"/>
          </w:tcPr>
          <w:p>
            <w:r>
              <w:t>Acide octadécanoïque</w:t>
            </w:r>
          </w:p>
        </w:tc>
      </w:tr>
      <w:tr>
        <w:tc>
          <w:tcPr>
            <w:tcW w:w="1980" w:type="dxa"/>
          </w:tcPr>
          <w:p>
            <w:r>
              <w:t>Acide oléique</w:t>
            </w:r>
          </w:p>
        </w:tc>
        <w:tc>
          <w:tcPr>
            <w:tcW w:w="1559" w:type="dxa"/>
          </w:tcPr>
          <w:p>
            <w:r>
              <w:t>C18:1 cis-9</w:t>
            </w:r>
          </w:p>
        </w:tc>
        <w:tc>
          <w:tcPr>
            <w:tcW w:w="3796" w:type="dxa"/>
          </w:tcPr>
          <w:p>
            <w:r>
              <w:t>Acide cis-octadéc-9-énoïque</w:t>
            </w:r>
          </w:p>
        </w:tc>
      </w:tr>
    </w:tbl>
    <w:p>
      <w:r>
        <w:t>Nomenclature chimique</w:t>
      </w:r>
    </w:p>
    <w:tbl>
      <w:tblPr>
        <w:tblStyle w:val="Grilledetableauclaire"/>
        <w:tblW w:w="5000" w:type="pct"/>
        <w:tblLook w:val="04A0" w:firstRow="1" w:lastRow="0" w:firstColumn="1" w:lastColumn="0" w:noHBand="0" w:noVBand="1"/>
      </w:tblPr>
      <w:tblGrid>
        <w:gridCol w:w="1114"/>
        <w:gridCol w:w="1716"/>
        <w:gridCol w:w="2694"/>
        <w:gridCol w:w="1811"/>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r>
              <w:t>Écriture</w:t>
            </w:r>
          </w:p>
        </w:tc>
        <w:tc>
          <w:tcPr>
            <w:tcW w:w="1716" w:type="dxa"/>
          </w:tcPr>
          <w:p>
            <w:pPr>
              <w:cnfStyle w:val="100000000000" w:firstRow="1" w:lastRow="0" w:firstColumn="0" w:lastColumn="0" w:oddVBand="0" w:evenVBand="0" w:oddHBand="0" w:evenHBand="0" w:firstRowFirstColumn="0" w:firstRowLastColumn="0" w:lastRowFirstColumn="0" w:lastRowLastColumn="0"/>
            </w:pPr>
            <w:r>
              <w:t>Symbole</w:t>
            </w:r>
          </w:p>
        </w:tc>
        <w:tc>
          <w:tcPr>
            <w:tcW w:w="2694" w:type="dxa"/>
          </w:tcPr>
          <w:p>
            <w:pPr>
              <w:cnfStyle w:val="100000000000" w:firstRow="1" w:lastRow="0" w:firstColumn="0" w:lastColumn="0" w:oddVBand="0" w:evenVBand="0" w:oddHBand="0" w:evenHBand="0" w:firstRowFirstColumn="0" w:firstRowLastColumn="0" w:lastRowFirstColumn="0" w:lastRowLastColumn="0"/>
            </w:pPr>
          </w:p>
        </w:tc>
        <w:tc>
          <w:tcPr>
            <w:tcW w:w="1811" w:type="dxa"/>
          </w:tcPr>
          <w:p>
            <w:pPr>
              <w:cnfStyle w:val="100000000000" w:firstRow="1" w:lastRow="0" w:firstColumn="0" w:lastColumn="0" w:oddVBand="0" w:evenVBand="0" w:oddHBand="0" w:evenHBand="0" w:firstRowFirstColumn="0" w:firstRowLastColumn="0" w:lastRowFirstColumn="0" w:lastRowLastColumn="0"/>
            </w:pPr>
            <w:r>
              <w:t xml:space="preserve">Acide </w:t>
            </w:r>
          </w:p>
        </w:tc>
      </w:tr>
      <w:tr>
        <w:tc>
          <w:tcPr>
            <w:cnfStyle w:val="001000000000" w:firstRow="0" w:lastRow="0" w:firstColumn="1" w:lastColumn="0" w:oddVBand="0" w:evenVBand="0" w:oddHBand="0" w:evenHBand="0" w:firstRowFirstColumn="0" w:firstRowLastColumn="0" w:lastRowFirstColumn="0" w:lastRowLastColumn="0"/>
            <w:tcW w:w="1114" w:type="dxa"/>
            <w:vMerge w:val="restart"/>
          </w:tcPr>
          <w:p>
            <w:r>
              <w:t>Chimie</w:t>
            </w:r>
          </w:p>
        </w:tc>
        <w:tc>
          <w:tcPr>
            <w:tcW w:w="1716" w:type="dxa"/>
          </w:tcPr>
          <w:p>
            <w:pPr>
              <w:cnfStyle w:val="000000000000" w:firstRow="0" w:lastRow="0" w:firstColumn="0" w:lastColumn="0" w:oddVBand="0" w:evenVBand="0" w:oddHBand="0" w:evenHBand="0" w:firstRowFirstColumn="0" w:firstRowLastColumn="0" w:lastRowFirstColumn="0" w:lastRowLastColumn="0"/>
            </w:pPr>
            <w:r>
              <w:t xml:space="preserve">Cn :n </w:t>
            </w:r>
            <w:r>
              <w:rPr>
                <w:rFonts w:cstheme="minorHAnsi"/>
              </w:rPr>
              <w:t>Δtype pos.</w:t>
            </w:r>
          </w:p>
        </w:tc>
        <w:tc>
          <w:tcPr>
            <w:tcW w:w="2694" w:type="dxa"/>
            <w:vMerge w:val="restart"/>
          </w:tcPr>
          <w:p>
            <w:pPr>
              <w:cnfStyle w:val="000000000000" w:firstRow="0" w:lastRow="0" w:firstColumn="0" w:lastColumn="0" w:oddVBand="0" w:evenVBand="0" w:oddHBand="0" w:evenHBand="0" w:firstRowFirstColumn="0" w:firstRowLastColumn="0" w:lastRowFirstColumn="0" w:lastRowLastColumn="0"/>
            </w:pPr>
            <w:r>
              <w:t>Nbre de carbones</w:t>
            </w:r>
          </w:p>
          <w:p>
            <w:pPr>
              <w:cnfStyle w:val="000000000000" w:firstRow="0" w:lastRow="0" w:firstColumn="0" w:lastColumn="0" w:oddVBand="0" w:evenVBand="0" w:oddHBand="0" w:evenHBand="0" w:firstRowFirstColumn="0" w:firstRowLastColumn="0" w:lastRowFirstColumn="0" w:lastRowLastColumn="0"/>
            </w:pPr>
            <w:r>
              <w:t>Nbre d’insaturation</w:t>
            </w:r>
          </w:p>
          <w:p>
            <w:pPr>
              <w:cnfStyle w:val="000000000000" w:firstRow="0" w:lastRow="0" w:firstColumn="0" w:lastColumn="0" w:oddVBand="0" w:evenVBand="0" w:oddHBand="0" w:evenHBand="0" w:firstRowFirstColumn="0" w:firstRowLastColumn="0" w:lastRowFirstColumn="0" w:lastRowLastColumn="0"/>
            </w:pPr>
            <w:r>
              <w:t>Type de double liaisons</w:t>
            </w:r>
          </w:p>
        </w:tc>
        <w:tc>
          <w:tcPr>
            <w:tcW w:w="1811" w:type="dxa"/>
          </w:tcPr>
          <w:p>
            <w:pPr>
              <w:cnfStyle w:val="000000000000" w:firstRow="0" w:lastRow="0" w:firstColumn="0" w:lastColumn="0" w:oddVBand="0" w:evenVBand="0" w:oddHBand="0" w:evenHBand="0" w:firstRowFirstColumn="0" w:firstRowLastColumn="0" w:lastRowFirstColumn="0" w:lastRowLastColumn="0"/>
            </w:pPr>
            <w:r>
              <w:t>C18 :2Δ cis 9,12</w:t>
            </w:r>
          </w:p>
        </w:tc>
      </w:tr>
      <w:tr>
        <w:tc>
          <w:tcPr>
            <w:cnfStyle w:val="001000000000" w:firstRow="0" w:lastRow="0" w:firstColumn="1" w:lastColumn="0" w:oddVBand="0" w:evenVBand="0" w:oddHBand="0" w:evenHBand="0" w:firstRowFirstColumn="0" w:firstRowLastColumn="0" w:lastRowFirstColumn="0" w:lastRowLastColumn="0"/>
            <w:tcW w:w="1114" w:type="dxa"/>
            <w:vMerge/>
          </w:tcPr>
          <w:p/>
        </w:tc>
        <w:tc>
          <w:tcPr>
            <w:tcW w:w="1716" w:type="dxa"/>
          </w:tcPr>
          <w:p>
            <w:pPr>
              <w:cnfStyle w:val="000000000000" w:firstRow="0" w:lastRow="0" w:firstColumn="0" w:lastColumn="0" w:oddVBand="0" w:evenVBand="0" w:oddHBand="0" w:evenHBand="0" w:firstRowFirstColumn="0" w:firstRowLastColumn="0" w:lastRowFirstColumn="0" w:lastRowLastColumn="0"/>
            </w:pPr>
            <w:r>
              <w:t>Cn</w:t>
            </w:r>
            <w:r>
              <w:rPr>
                <w:rFonts w:cstheme="minorHAnsi"/>
              </w:rPr>
              <w:t>Δtype pos.</w:t>
            </w:r>
          </w:p>
        </w:tc>
        <w:tc>
          <w:tcPr>
            <w:tcW w:w="2694" w:type="dxa"/>
            <w:vMerge/>
          </w:tcPr>
          <w:p>
            <w:pPr>
              <w:cnfStyle w:val="000000000000" w:firstRow="0" w:lastRow="0" w:firstColumn="0" w:lastColumn="0" w:oddVBand="0" w:evenVBand="0" w:oddHBand="0" w:evenHBand="0" w:firstRowFirstColumn="0" w:firstRowLastColumn="0" w:lastRowFirstColumn="0" w:lastRowLastColumn="0"/>
            </w:pPr>
          </w:p>
        </w:tc>
        <w:tc>
          <w:tcPr>
            <w:tcW w:w="1811" w:type="dxa"/>
          </w:tcPr>
          <w:p>
            <w:pPr>
              <w:cnfStyle w:val="000000000000" w:firstRow="0" w:lastRow="0" w:firstColumn="0" w:lastColumn="0" w:oddVBand="0" w:evenVBand="0" w:oddHBand="0" w:evenHBand="0" w:firstRowFirstColumn="0" w:firstRowLastColumn="0" w:lastRowFirstColumn="0" w:lastRowLastColumn="0"/>
            </w:pPr>
            <w:r>
              <w:t>C18 Δ cis 9,12</w:t>
            </w:r>
          </w:p>
        </w:tc>
      </w:tr>
      <w:tr>
        <w:tc>
          <w:tcPr>
            <w:cnfStyle w:val="001000000000" w:firstRow="0" w:lastRow="0" w:firstColumn="1" w:lastColumn="0" w:oddVBand="0" w:evenVBand="0" w:oddHBand="0" w:evenHBand="0" w:firstRowFirstColumn="0" w:firstRowLastColumn="0" w:lastRowFirstColumn="0" w:lastRowLastColumn="0"/>
            <w:tcW w:w="1114" w:type="dxa"/>
          </w:tcPr>
          <w:p>
            <w:r>
              <w:t>Nutri</w:t>
            </w:r>
          </w:p>
        </w:tc>
        <w:tc>
          <w:tcPr>
            <w:tcW w:w="1716" w:type="dxa"/>
          </w:tcPr>
          <w:p>
            <w:pPr>
              <w:cnfStyle w:val="000000000000" w:firstRow="0" w:lastRow="0" w:firstColumn="0" w:lastColumn="0" w:oddVBand="0" w:evenVBand="0" w:oddHBand="0" w:evenHBand="0" w:firstRowFirstColumn="0" w:firstRowLastColumn="0" w:lastRowFirstColumn="0" w:lastRowLastColumn="0"/>
            </w:pPr>
            <w:r>
              <w:t>Cn:n ω pos.</w:t>
            </w:r>
          </w:p>
        </w:tc>
        <w:tc>
          <w:tcPr>
            <w:tcW w:w="2694" w:type="dxa"/>
            <w:vMerge/>
          </w:tcPr>
          <w:p>
            <w:pPr>
              <w:cnfStyle w:val="000000000000" w:firstRow="0" w:lastRow="0" w:firstColumn="0" w:lastColumn="0" w:oddVBand="0" w:evenVBand="0" w:oddHBand="0" w:evenHBand="0" w:firstRowFirstColumn="0" w:firstRowLastColumn="0" w:lastRowFirstColumn="0" w:lastRowLastColumn="0"/>
            </w:pPr>
          </w:p>
        </w:tc>
        <w:tc>
          <w:tcPr>
            <w:tcW w:w="1811" w:type="dxa"/>
          </w:tcPr>
          <w:p>
            <w:pPr>
              <w:cnfStyle w:val="000000000000" w:firstRow="0" w:lastRow="0" w:firstColumn="0" w:lastColumn="0" w:oddVBand="0" w:evenVBand="0" w:oddHBand="0" w:evenHBand="0" w:firstRowFirstColumn="0" w:firstRowLastColumn="0" w:lastRowFirstColumn="0" w:lastRowLastColumn="0"/>
            </w:pPr>
            <w:r>
              <w:t>C18:2 ω 6</w:t>
            </w:r>
          </w:p>
        </w:tc>
      </w:tr>
    </w:tbl>
    <w:p>
      <w:r>
        <w:t>La numérotation débute du groupement fonctionnel pour les chimistes et inversement pour les nutritionnistes. Les doubles liaisons s’enchainent tous les 3 carbones.</w:t>
      </w:r>
    </w:p>
    <w:p>
      <w:pPr>
        <w:pStyle w:val="Titre3"/>
      </w:pPr>
      <w:r>
        <w:t>Température de fusion</w:t>
      </w:r>
    </w:p>
    <w:p>
      <w:r>
        <w:rPr>
          <w:rStyle w:val="Accentuation"/>
        </w:rPr>
        <w:t>Température de fusion</w:t>
      </w:r>
      <w:r>
        <w:t xml:space="preserve"> température de passage de l’état solide à celui de liquide.</w:t>
      </w:r>
    </w:p>
    <w:p>
      <w:r>
        <w:t>La température de fusion est corrélée</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Positivement</w:t>
            </w:r>
          </w:p>
        </w:tc>
        <w:tc>
          <w:tcPr>
            <w:tcW w:w="3668" w:type="dxa"/>
          </w:tcPr>
          <w:p>
            <w:r>
              <w:t>Négativement</w:t>
            </w:r>
          </w:p>
        </w:tc>
      </w:tr>
      <w:tr>
        <w:tc>
          <w:tcPr>
            <w:tcW w:w="3667" w:type="dxa"/>
          </w:tcPr>
          <w:p>
            <w:r>
              <w:t>La longueur de la chaine carbonée</w:t>
            </w:r>
          </w:p>
        </w:tc>
        <w:tc>
          <w:tcPr>
            <w:tcW w:w="3668" w:type="dxa"/>
          </w:tcPr>
          <w:p>
            <w:r>
              <w:t>Nbre de doubles liaisons</w:t>
            </w:r>
          </w:p>
        </w:tc>
      </w:tr>
    </w:tbl>
    <w:p>
      <w:pPr>
        <w:pStyle w:val="Titre3"/>
      </w:pPr>
      <w:r>
        <w:t>Réaction à l’eau</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Des lipides dans l’eau</w:t>
            </w:r>
          </w:p>
        </w:tc>
        <w:tc>
          <w:tcPr>
            <w:tcW w:w="3668" w:type="dxa"/>
          </w:tcPr>
          <w:p>
            <w:r>
              <w:t>De l’eau dans des lipides</w:t>
            </w:r>
          </w:p>
        </w:tc>
      </w:tr>
      <w:tr>
        <w:tc>
          <w:tcPr>
            <w:tcW w:w="3667" w:type="dxa"/>
          </w:tcPr>
          <w:p>
            <w:r>
              <w:t>Micelle</w:t>
            </w:r>
          </w:p>
        </w:tc>
        <w:tc>
          <w:tcPr>
            <w:tcW w:w="3668" w:type="dxa"/>
          </w:tcPr>
          <w:p>
            <w:r>
              <w:t>Micelle inversée</w:t>
            </w:r>
          </w:p>
        </w:tc>
      </w:tr>
    </w:tbl>
    <w:p>
      <w:r>
        <w:t xml:space="preserve">Condensation entre acides </w:t>
      </w:r>
    </w:p>
    <w:p>
      <w:r>
        <w:t>En faible concentration, les acides gras forment une plaque avec les parties hydrophobes en l’air et les têtes polaires accolées à la surface de l’eau.</w:t>
      </w:r>
    </w:p>
    <w:p>
      <w:pPr>
        <w:pStyle w:val="Titre2"/>
      </w:pPr>
      <w:r>
        <w:t>Lipides vrais</w:t>
      </w:r>
    </w:p>
    <w:p>
      <w:r>
        <w:t>Estérification</w:t>
      </w:r>
    </w:p>
    <w:p>
      <w:pPr>
        <w:rPr>
          <w:rFonts w:eastAsiaTheme="minorEastAsia"/>
        </w:rPr>
      </w:pPr>
      <m:oMathPara>
        <m:oMath>
          <m:r>
            <w:rPr>
              <w:rFonts w:ascii="Cambria Math" w:hAnsi="Cambria Math"/>
            </w:rPr>
            <m:t>Acide gras+alcool →Ester+</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m:oMathPara>
    </w:p>
    <w:p>
      <w:pPr>
        <w:rPr>
          <w:rFonts w:eastAsiaTheme="minorEastAsia"/>
        </w:rPr>
      </w:pPr>
      <w:r>
        <w:rPr>
          <w:rFonts w:eastAsiaTheme="minorEastAsia"/>
        </w:rPr>
        <w:t xml:space="preserve">On appelle « vrai lipide » une molécule de glycérol avec des acides gras. La liaison est fabriquée par une réaction d’estérification du groupement </w:t>
      </w:r>
    </w:p>
    <w:tbl>
      <w:tblPr>
        <w:tblStyle w:val="Grilledetableauclaire"/>
        <w:tblpPr w:leftFromText="141" w:rightFromText="141" w:vertAnchor="text" w:horzAnchor="margin" w:tblpXSpec="right" w:tblpY="5"/>
        <w:tblW w:w="0" w:type="auto"/>
        <w:tblLook w:val="0400" w:firstRow="0" w:lastRow="0" w:firstColumn="0" w:lastColumn="0" w:noHBand="0" w:noVBand="1"/>
      </w:tblPr>
      <w:tblGrid>
        <w:gridCol w:w="3667"/>
        <w:gridCol w:w="3668"/>
      </w:tblGrid>
      <w:tr>
        <w:tc>
          <w:tcPr>
            <w:tcW w:w="3667" w:type="dxa"/>
          </w:tcPr>
          <w:p>
            <w:r>
              <w:t>CnbreC :nbreI</w:t>
            </w:r>
          </w:p>
        </w:tc>
        <w:tc>
          <w:tcPr>
            <w:tcW w:w="3668" w:type="dxa"/>
          </w:tcPr>
          <w:p>
            <w:pPr>
              <w:rPr>
                <w:b/>
              </w:rPr>
            </w:pPr>
            <w:r>
              <w:t>nbreC nombre de carbones.</w:t>
            </w:r>
          </w:p>
          <w:p>
            <w:r>
              <w:t>NbreI nombre d’insaturations.</w:t>
            </w:r>
          </w:p>
        </w:tc>
      </w:tr>
    </w:tbl>
    <w:p>
      <w:pPr>
        <w:rPr>
          <w:rFonts w:eastAsiaTheme="minorEastAsia"/>
          <w:noProof/>
        </w:rPr>
      </w:pPr>
      <w:r>
        <w:rPr>
          <w:rFonts w:eastAsiaTheme="minorEastAsia"/>
        </w:rPr>
        <w:t>Acide carboxylique avec un groupement alcool du glycérol.</w:t>
      </w:r>
      <w:r>
        <w:rPr>
          <w:rFonts w:eastAsiaTheme="minorEastAsia"/>
          <w:noProof/>
        </w:rPr>
        <w:t xml:space="preserve"> </w:t>
      </w:r>
    </w:p>
    <w:p>
      <w:r>
        <w:rPr>
          <w:rFonts w:eastAsiaTheme="minorEastAsia"/>
          <w:noProof/>
        </w:rPr>
        <w:lastRenderedPageBreak/>
        <w:drawing>
          <wp:inline distT="0" distB="0" distL="0" distR="0">
            <wp:extent cx="2038350" cy="1026415"/>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52263" cy="1033421"/>
                    </a:xfrm>
                    <a:prstGeom prst="rect">
                      <a:avLst/>
                    </a:prstGeom>
                    <a:noFill/>
                    <a:ln>
                      <a:noFill/>
                    </a:ln>
                  </pic:spPr>
                </pic:pic>
              </a:graphicData>
            </a:graphic>
          </wp:inline>
        </w:drawing>
      </w:r>
    </w:p>
    <w:tbl>
      <w:tblPr>
        <w:tblStyle w:val="Grilledetableauclaire"/>
        <w:tblW w:w="0" w:type="auto"/>
        <w:tblLook w:val="0420" w:firstRow="1" w:lastRow="0" w:firstColumn="0"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2445" w:type="dxa"/>
          </w:tcPr>
          <w:p>
            <w:r>
              <w:t xml:space="preserve">Monoglycéride </w:t>
            </w:r>
          </w:p>
        </w:tc>
        <w:tc>
          <w:tcPr>
            <w:tcW w:w="2445" w:type="dxa"/>
          </w:tcPr>
          <w:p>
            <w:r>
              <w:t>Diglycéride</w:t>
            </w:r>
          </w:p>
        </w:tc>
        <w:tc>
          <w:tcPr>
            <w:tcW w:w="2445" w:type="dxa"/>
          </w:tcPr>
          <w:p>
            <w:r>
              <w:t>Triglycéride</w:t>
            </w:r>
          </w:p>
        </w:tc>
      </w:tr>
      <w:tr>
        <w:tc>
          <w:tcPr>
            <w:tcW w:w="2445" w:type="dxa"/>
          </w:tcPr>
          <w:p>
            <w:r>
              <w:t>1 acide gras</w:t>
            </w:r>
          </w:p>
        </w:tc>
        <w:tc>
          <w:tcPr>
            <w:tcW w:w="2445" w:type="dxa"/>
          </w:tcPr>
          <w:p>
            <w:r>
              <w:t>2 acides gras</w:t>
            </w:r>
          </w:p>
        </w:tc>
        <w:tc>
          <w:tcPr>
            <w:tcW w:w="2445" w:type="dxa"/>
          </w:tcPr>
          <w:p>
            <w:r>
              <w:t>3 acides gras</w:t>
            </w:r>
          </w:p>
        </w:tc>
      </w:tr>
    </w:tbl>
    <w:p>
      <w:r>
        <w:t>Les lipides vrais constituent environ 10% de la masse du corps</w:t>
      </w:r>
    </w:p>
    <w:p>
      <w:pPr>
        <w:pStyle w:val="Titre3"/>
      </w:pPr>
      <w:r>
        <w:t>Les triglycérides</w:t>
      </w:r>
    </w:p>
    <w:p>
      <w:r>
        <w:t>Les triglycérides comportent souvent des acides gras comptant entre 16 à 18 carbones.</w:t>
      </w:r>
    </w:p>
    <w:p>
      <w:r>
        <w:t>Les triglycérides sont présents chez tous les êtres vivants avec des acides gras :</w:t>
      </w:r>
    </w:p>
    <w:tbl>
      <w:tblPr>
        <w:tblStyle w:val="Grilledetableauclaire"/>
        <w:tblW w:w="0" w:type="auto"/>
        <w:tblLook w:val="0420" w:firstRow="1" w:lastRow="0" w:firstColumn="0" w:lastColumn="0" w:noHBand="0" w:noVBand="1"/>
      </w:tblPr>
      <w:tblGrid>
        <w:gridCol w:w="3397"/>
        <w:gridCol w:w="3938"/>
      </w:tblGrid>
      <w:tr>
        <w:trPr>
          <w:cnfStyle w:val="100000000000" w:firstRow="1" w:lastRow="0" w:firstColumn="0" w:lastColumn="0" w:oddVBand="0" w:evenVBand="0" w:oddHBand="0" w:evenHBand="0" w:firstRowFirstColumn="0" w:firstRowLastColumn="0" w:lastRowFirstColumn="0" w:lastRowLastColumn="0"/>
        </w:trPr>
        <w:tc>
          <w:tcPr>
            <w:tcW w:w="3397" w:type="dxa"/>
          </w:tcPr>
          <w:p>
            <w:r>
              <w:t>Animaux = saturé</w:t>
            </w:r>
          </w:p>
        </w:tc>
        <w:tc>
          <w:tcPr>
            <w:tcW w:w="3938" w:type="dxa"/>
          </w:tcPr>
          <w:p>
            <w:r>
              <w:t>Poissons et plantes = insaturé</w:t>
            </w:r>
          </w:p>
        </w:tc>
      </w:tr>
      <w:tr>
        <w:tc>
          <w:tcPr>
            <w:tcW w:w="3397" w:type="dxa"/>
          </w:tcPr>
          <w:p>
            <w:r>
              <w:t>Graisse, beurre</w:t>
            </w:r>
          </w:p>
        </w:tc>
        <w:tc>
          <w:tcPr>
            <w:tcW w:w="3938" w:type="dxa"/>
          </w:tcPr>
          <w:p>
            <w:r>
              <w:t>Huile de foie de morue, huile d’olive</w:t>
            </w:r>
          </w:p>
        </w:tc>
      </w:tr>
      <w:tr>
        <w:tc>
          <w:tcPr>
            <w:tcW w:w="3397" w:type="dxa"/>
          </w:tcPr>
          <w:p>
            <w:r>
              <w:t>Solide à température ambiante = graisse</w:t>
            </w:r>
          </w:p>
        </w:tc>
        <w:tc>
          <w:tcPr>
            <w:tcW w:w="3938" w:type="dxa"/>
          </w:tcPr>
          <w:p>
            <w:r>
              <w:t>Liquide à température ambiante = huile</w:t>
            </w:r>
          </w:p>
        </w:tc>
      </w:tr>
    </w:tbl>
    <w:p>
      <w:r>
        <w:t xml:space="preserve">Les doubles liaisons de type cis empêchent les molécules de s’agglomérer. </w:t>
      </w:r>
    </w:p>
    <w:p>
      <w:r>
        <w:t>Les rôles majeurs assurés par le triglycéride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Contenir de l’énergie</w:t>
            </w:r>
          </w:p>
        </w:tc>
        <w:tc>
          <w:tcPr>
            <w:tcW w:w="2445" w:type="dxa"/>
          </w:tcPr>
          <w:p>
            <w:r>
              <w:t xml:space="preserve">Isolant thermique </w:t>
            </w:r>
          </w:p>
        </w:tc>
        <w:tc>
          <w:tcPr>
            <w:tcW w:w="2445" w:type="dxa"/>
          </w:tcPr>
          <w:p>
            <w:r>
              <w:t xml:space="preserve">Protection </w:t>
            </w:r>
          </w:p>
        </w:tc>
      </w:tr>
    </w:tbl>
    <w:p>
      <w:pPr>
        <w:pStyle w:val="Titre3"/>
      </w:pPr>
      <w:r>
        <w:t>Céride</w:t>
      </w:r>
    </w:p>
    <w:p>
      <w:r>
        <w:t>C’est le composant des cires. Il est constitué de deux acides gras non saturées.</w:t>
      </w:r>
    </w:p>
    <w:p>
      <w:pPr>
        <w:pStyle w:val="Titre2"/>
      </w:pPr>
      <w:r>
        <w:t>Hétérolipides</w:t>
      </w:r>
    </w:p>
    <w:p>
      <w:r>
        <w:t xml:space="preserve">Il existe deux familles majeures de liquides complexes (ou hétérolipides) :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pPr>
              <w:rPr>
                <w:b w:val="0"/>
              </w:rPr>
            </w:pPr>
            <w:r>
              <w:t>Glycérophospholipide ou phosphoglycérolipides</w:t>
            </w:r>
          </w:p>
        </w:tc>
        <w:tc>
          <w:tcPr>
            <w:tcW w:w="3668" w:type="dxa"/>
          </w:tcPr>
          <w:p>
            <w:r>
              <w:t>Sphingolipides</w:t>
            </w:r>
          </w:p>
        </w:tc>
      </w:tr>
      <w:tr>
        <w:tc>
          <w:tcPr>
            <w:tcW w:w="3667" w:type="dxa"/>
          </w:tcPr>
          <w:p>
            <w:r>
              <w:t>Glycérol</w:t>
            </w:r>
          </w:p>
        </w:tc>
        <w:tc>
          <w:tcPr>
            <w:tcW w:w="3668" w:type="dxa"/>
          </w:tcPr>
          <w:p>
            <w:r>
              <w:t>Sphingosine + alcool gras</w:t>
            </w:r>
          </w:p>
        </w:tc>
      </w:tr>
    </w:tbl>
    <w:p>
      <w:r>
        <w:rPr>
          <w:u w:val="single"/>
        </w:rPr>
        <w:t xml:space="preserve">Rmq : </w:t>
      </w:r>
      <w:r>
        <w:t>Un alcool gras est comme un acide gras mais avec à la place du groupement acide carboxylique un groupement alcool.</w:t>
      </w:r>
    </w:p>
    <w:p>
      <w:pPr>
        <w:pStyle w:val="Titre3"/>
      </w:pPr>
      <w:r>
        <w:t>Glycérophospholipide</w:t>
      </w:r>
    </w:p>
    <w:p>
      <w:r>
        <w:t>Acide phosphatidique</w:t>
      </w:r>
    </w:p>
    <w:p>
      <w:r>
        <w:rPr>
          <w:noProof/>
        </w:rPr>
        <w:drawing>
          <wp:inline distT="0" distB="0" distL="0" distR="0">
            <wp:extent cx="4658995" cy="1784985"/>
            <wp:effectExtent l="0" t="0" r="8255" b="571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58995" cy="1784985"/>
                    </a:xfrm>
                    <a:prstGeom prst="rect">
                      <a:avLst/>
                    </a:prstGeom>
                    <a:noFill/>
                    <a:ln>
                      <a:noFill/>
                    </a:ln>
                  </pic:spPr>
                </pic:pic>
              </a:graphicData>
            </a:graphic>
          </wp:inline>
        </w:drawing>
      </w:r>
    </w:p>
    <w:p>
      <w:r>
        <w:t>Le nom de lipide devient « phosphatidyl » + groupement :</w:t>
      </w:r>
    </w:p>
    <w:tbl>
      <w:tblPr>
        <w:tblStyle w:val="Grilledetableauclaire"/>
        <w:tblW w:w="0" w:type="auto"/>
        <w:tblLook w:val="04A0" w:firstRow="1" w:lastRow="0" w:firstColumn="1"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7" w:type="dxa"/>
          </w:tcPr>
          <w:p>
            <w:r>
              <w:rPr>
                <w:noProof/>
              </w:rPr>
              <w:drawing>
                <wp:inline distT="0" distB="0" distL="0" distR="0">
                  <wp:extent cx="1171433" cy="9810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81173" cy="989232"/>
                          </a:xfrm>
                          <a:prstGeom prst="rect">
                            <a:avLst/>
                          </a:prstGeom>
                          <a:noFill/>
                          <a:ln>
                            <a:noFill/>
                          </a:ln>
                        </pic:spPr>
                      </pic:pic>
                    </a:graphicData>
                  </a:graphic>
                </wp:inline>
              </w:drawing>
            </w:r>
          </w:p>
        </w:tc>
        <w:tc>
          <w:tcPr>
            <w:tcW w:w="3668" w:type="dxa"/>
          </w:tcPr>
          <w:p>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extent cx="1326155" cy="942975"/>
                  <wp:effectExtent l="0" t="0" r="762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44666" cy="956137"/>
                          </a:xfrm>
                          <a:prstGeom prst="rect">
                            <a:avLst/>
                          </a:prstGeom>
                          <a:noFill/>
                          <a:ln>
                            <a:noFill/>
                          </a:ln>
                        </pic:spPr>
                      </pic:pic>
                    </a:graphicData>
                  </a:graphic>
                </wp:inline>
              </w:drawing>
            </w:r>
          </w:p>
        </w:tc>
      </w:tr>
      <w:tr>
        <w:tc>
          <w:tcPr>
            <w:cnfStyle w:val="001000000000" w:firstRow="0" w:lastRow="0" w:firstColumn="1" w:lastColumn="0" w:oddVBand="0" w:evenVBand="0" w:oddHBand="0" w:evenHBand="0" w:firstRowFirstColumn="0" w:firstRowLastColumn="0" w:lastRowFirstColumn="0" w:lastRowLastColumn="0"/>
            <w:tcW w:w="3667" w:type="dxa"/>
          </w:tcPr>
          <w:p>
            <w:r>
              <w:rPr>
                <w:noProof/>
              </w:rPr>
              <w:drawing>
                <wp:inline distT="0" distB="0" distL="0" distR="0">
                  <wp:extent cx="1095375" cy="1228917"/>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22096" cy="1258896"/>
                          </a:xfrm>
                          <a:prstGeom prst="rect">
                            <a:avLst/>
                          </a:prstGeom>
                          <a:noFill/>
                          <a:ln>
                            <a:noFill/>
                          </a:ln>
                        </pic:spPr>
                      </pic:pic>
                    </a:graphicData>
                  </a:graphic>
                </wp:inline>
              </w:drawing>
            </w:r>
          </w:p>
        </w:tc>
        <w:tc>
          <w:tcPr>
            <w:tcW w:w="3668"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47750" cy="90155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57921" cy="910305"/>
                          </a:xfrm>
                          <a:prstGeom prst="rect">
                            <a:avLst/>
                          </a:prstGeom>
                          <a:noFill/>
                          <a:ln>
                            <a:noFill/>
                          </a:ln>
                        </pic:spPr>
                      </pic:pic>
                    </a:graphicData>
                  </a:graphic>
                </wp:inline>
              </w:drawing>
            </w:r>
          </w:p>
        </w:tc>
      </w:tr>
    </w:tbl>
    <w:p>
      <w:r>
        <w:rPr>
          <w:u w:val="single"/>
        </w:rPr>
        <w:t>NB :</w:t>
      </w:r>
      <w:r>
        <w:t xml:space="preserve"> ces groupements sont polaires ou chargés.</w:t>
      </w:r>
    </w:p>
    <w:p>
      <w:r>
        <w:lastRenderedPageBreak/>
        <w:t>En solution aqueuse, les lipides forment une bicouche qui se replient en pour former un liposome à cause de l’encombrement spatial des deux chaines carbonées.</w:t>
      </w:r>
    </w:p>
    <w:p>
      <w:r>
        <w:rPr>
          <w:rStyle w:val="Accentuation"/>
        </w:rPr>
        <w:t>Liposome</w:t>
      </w:r>
      <w:r>
        <w:t xml:space="preserve"> bicouche lipidique fabriquée artificiellement (par opposition à la vésicule). </w:t>
      </w:r>
    </w:p>
    <w:p>
      <w:r>
        <w:t>Les glycérophospholipides sont les composants majoritaires des membranes biologiques.</w:t>
      </w:r>
    </w:p>
    <w:p>
      <w:r>
        <w:t xml:space="preserve">La fluidité membranaire augmente avec le nombre de chaines insaturés. </w:t>
      </w:r>
    </w:p>
    <w:p>
      <w:pPr>
        <w:pStyle w:val="Titre3"/>
      </w:pPr>
      <w:r>
        <w:t>Sphingolipides</w:t>
      </w:r>
    </w:p>
    <w:p>
      <w:r>
        <w:rPr>
          <w:noProof/>
        </w:rPr>
        <w:drawing>
          <wp:inline distT="0" distB="0" distL="0" distR="0">
            <wp:extent cx="2024743" cy="1173120"/>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44624" cy="1184639"/>
                    </a:xfrm>
                    <a:prstGeom prst="rect">
                      <a:avLst/>
                    </a:prstGeom>
                    <a:noFill/>
                    <a:ln>
                      <a:noFill/>
                    </a:ln>
                  </pic:spPr>
                </pic:pic>
              </a:graphicData>
            </a:graphic>
          </wp:inline>
        </w:drawing>
      </w:r>
    </w:p>
    <w:p>
      <w:r>
        <w:t>Céramide</w:t>
      </w:r>
    </w:p>
    <w:p>
      <w:r>
        <w:t>Céramide lorsqu’un acide gras se greffe sur l’azote de la sphingosine.</w:t>
      </w:r>
    </w:p>
    <w:p>
      <w:r>
        <w:t>Acide gras + sphingosine = céramide précurseur</w:t>
      </w:r>
    </w:p>
    <w:p>
      <w:r>
        <w:t>Sur le groupement OH peut venir se fixer</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Glucose</w:t>
            </w:r>
          </w:p>
        </w:tc>
        <w:tc>
          <w:tcPr>
            <w:tcW w:w="3668" w:type="dxa"/>
          </w:tcPr>
          <w:p>
            <w:r>
              <w:t>Acide phosphatique</w:t>
            </w:r>
          </w:p>
        </w:tc>
      </w:tr>
      <w:tr>
        <w:tc>
          <w:tcPr>
            <w:tcW w:w="3667" w:type="dxa"/>
          </w:tcPr>
          <w:p>
            <w:r>
              <w:t>Glycosphingolipides</w:t>
            </w:r>
          </w:p>
        </w:tc>
        <w:tc>
          <w:tcPr>
            <w:tcW w:w="3668" w:type="dxa"/>
          </w:tcPr>
          <w:p>
            <w:r>
              <w:t>Phosphosphingolipides</w:t>
            </w:r>
          </w:p>
        </w:tc>
      </w:tr>
    </w:tbl>
    <w:p>
      <w:r>
        <w:t>La céramide est un précurseur des glycosphingolipides et des phosphosphingolipides.</w:t>
      </w:r>
    </w:p>
    <w:p>
      <w:r>
        <w:t>On les trouve uniquement sur le feuillet externe des membranes (exemple gaine de myéline).</w:t>
      </w:r>
    </w:p>
    <w:p>
      <w:pPr>
        <w:pStyle w:val="Titre2"/>
      </w:pPr>
      <w:r>
        <w:t>Lipoïde qui associe avec le gras</w:t>
      </w:r>
    </w:p>
    <w:p>
      <w:r>
        <w:rPr>
          <w:rStyle w:val="Accentuation"/>
        </w:rPr>
        <w:t>Stérol</w:t>
      </w:r>
      <w:r>
        <w:t xml:space="preserve"> groupe de molécules composés d’un noyau stérane, un quatre cycles carbonés accolés.</w:t>
      </w:r>
    </w:p>
    <w:p>
      <w:r>
        <w:t>Les stéroïdes sont composés d’un noyau stérol accolé à un groupement fonctionnel. Ils appartiennent à la famille des lipides à cause de leur faible affinité avec l’eau.</w:t>
      </w:r>
    </w:p>
    <w:p>
      <w:pPr>
        <w:pStyle w:val="Titre3"/>
      </w:pPr>
      <w:r>
        <w:rPr>
          <w:noProof/>
        </w:rPr>
        <w:t>Cholestérol</w:t>
      </w:r>
    </w:p>
    <w:p>
      <w:r>
        <w:rPr>
          <w:noProof/>
        </w:rPr>
        <w:drawing>
          <wp:inline distT="0" distB="0" distL="0" distR="0">
            <wp:extent cx="3048000" cy="1538332"/>
            <wp:effectExtent l="0" t="0" r="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56223" cy="1542482"/>
                    </a:xfrm>
                    <a:prstGeom prst="rect">
                      <a:avLst/>
                    </a:prstGeom>
                    <a:noFill/>
                    <a:ln>
                      <a:noFill/>
                    </a:ln>
                  </pic:spPr>
                </pic:pic>
              </a:graphicData>
            </a:graphic>
          </wp:inline>
        </w:drawing>
      </w:r>
    </w:p>
    <w:p>
      <w:r>
        <w:t>Le cholestérol est présent dans les membranes. Il joue un rôle dans la fluidité membranaire à :</w:t>
      </w:r>
    </w:p>
    <w:tbl>
      <w:tblPr>
        <w:tblStyle w:val="Grilledetableauclaire"/>
        <w:tblW w:w="0" w:type="auto"/>
        <w:tblLook w:val="0400" w:firstRow="0" w:lastRow="0" w:firstColumn="0" w:lastColumn="0" w:noHBand="0" w:noVBand="1"/>
      </w:tblPr>
      <w:tblGrid>
        <w:gridCol w:w="3667"/>
        <w:gridCol w:w="3668"/>
      </w:tblGrid>
      <w:tr>
        <w:tc>
          <w:tcPr>
            <w:tcW w:w="3667" w:type="dxa"/>
          </w:tcPr>
          <w:p>
            <w:r>
              <w:t>Basse température : augmente la fluidité</w:t>
            </w:r>
          </w:p>
        </w:tc>
        <w:tc>
          <w:tcPr>
            <w:tcW w:w="3668" w:type="dxa"/>
          </w:tcPr>
          <w:p>
            <w:r>
              <w:t>Haute température : diminue la fluidité</w:t>
            </w:r>
          </w:p>
        </w:tc>
      </w:tr>
    </w:tbl>
    <w:p>
      <w:r>
        <w:t xml:space="preserve"> Le cholestérol est un précurseur des stéroïdes dont font partie les hormones tels que :</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t>Cortisone</w:t>
            </w:r>
          </w:p>
        </w:tc>
        <w:tc>
          <w:tcPr>
            <w:tcW w:w="1834" w:type="dxa"/>
          </w:tcPr>
          <w:p>
            <w:r>
              <w:t>Progestérone</w:t>
            </w:r>
          </w:p>
        </w:tc>
        <w:tc>
          <w:tcPr>
            <w:tcW w:w="1834" w:type="dxa"/>
          </w:tcPr>
          <w:p>
            <w:r>
              <w:t>Testostérone</w:t>
            </w:r>
          </w:p>
        </w:tc>
        <w:tc>
          <w:tcPr>
            <w:tcW w:w="1834" w:type="dxa"/>
          </w:tcPr>
          <w:p>
            <w:r>
              <w:t>Œstrogène</w:t>
            </w:r>
          </w:p>
        </w:tc>
      </w:tr>
    </w:tbl>
    <w:p>
      <w:r>
        <w:t>C’est une molécule essentielle aux animaux.</w:t>
      </w:r>
    </w:p>
    <w:p>
      <w:r>
        <w:t>Le transport du cholestérol se fait grâce à des lipoprotéines. Il en existe 4 types dont les deux plus important voyage dans le corps par le système sanguin :</w:t>
      </w:r>
    </w:p>
    <w:tbl>
      <w:tblPr>
        <w:tblStyle w:val="Grilledetableauclaire"/>
        <w:tblW w:w="0" w:type="auto"/>
        <w:tblLook w:val="0400" w:firstRow="0" w:lastRow="0" w:firstColumn="0" w:lastColumn="0" w:noHBand="0" w:noVBand="1"/>
      </w:tblPr>
      <w:tblGrid>
        <w:gridCol w:w="3539"/>
        <w:gridCol w:w="3796"/>
      </w:tblGrid>
      <w:tr>
        <w:tc>
          <w:tcPr>
            <w:tcW w:w="3539" w:type="dxa"/>
          </w:tcPr>
          <w:p>
            <w:r>
              <w:t>LDL (du foie vers l’organisme)</w:t>
            </w:r>
          </w:p>
        </w:tc>
        <w:tc>
          <w:tcPr>
            <w:tcW w:w="3796" w:type="dxa"/>
          </w:tcPr>
          <w:p>
            <w:r>
              <w:t>HDL (vers le foie pour être dégradé)</w:t>
            </w:r>
          </w:p>
        </w:tc>
      </w:tr>
    </w:tbl>
    <w:p>
      <w:r>
        <w:t>Qui se distinguer par le type de protéines contenues</w:t>
      </w:r>
    </w:p>
    <w:p>
      <w:r>
        <w:lastRenderedPageBreak/>
        <w:t>Les cholestérols présents dans le corps proviennent du :</w:t>
      </w:r>
    </w:p>
    <w:tbl>
      <w:tblPr>
        <w:tblStyle w:val="Grilledetableauclaire"/>
        <w:tblW w:w="0" w:type="auto"/>
        <w:tblLook w:val="0400" w:firstRow="0" w:lastRow="0" w:firstColumn="0" w:lastColumn="0" w:noHBand="0" w:noVBand="1"/>
      </w:tblPr>
      <w:tblGrid>
        <w:gridCol w:w="3667"/>
        <w:gridCol w:w="3668"/>
      </w:tblGrid>
      <w:tr>
        <w:tc>
          <w:tcPr>
            <w:tcW w:w="3667" w:type="dxa"/>
          </w:tcPr>
          <w:p>
            <w:r>
              <w:t>Foie (synthétiser)</w:t>
            </w:r>
          </w:p>
        </w:tc>
        <w:tc>
          <w:tcPr>
            <w:tcW w:w="3668" w:type="dxa"/>
          </w:tcPr>
          <w:p>
            <w:r>
              <w:t>Régime alimentaire</w:t>
            </w:r>
          </w:p>
        </w:tc>
      </w:tr>
    </w:tbl>
    <w:p>
      <w:pPr>
        <w:pStyle w:val="Titre1"/>
      </w:pPr>
      <w:r>
        <w:t>Informations à connaitre par cœur</w:t>
      </w:r>
    </w:p>
    <w:p>
      <w:r>
        <w:t>À connaitre la masse molaire (g.mol</w:t>
      </w:r>
      <w:r>
        <w:rPr>
          <w:vertAlign w:val="superscript"/>
        </w:rPr>
        <w:t>-1</w:t>
      </w:r>
      <w:r>
        <w:t>)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Carbone (12)</w:t>
            </w:r>
          </w:p>
        </w:tc>
        <w:tc>
          <w:tcPr>
            <w:tcW w:w="2445" w:type="dxa"/>
          </w:tcPr>
          <w:p>
            <w:r>
              <w:t>Oxygène (16)</w:t>
            </w:r>
          </w:p>
        </w:tc>
        <w:tc>
          <w:tcPr>
            <w:tcW w:w="2445" w:type="dxa"/>
          </w:tcPr>
          <w:p>
            <w:r>
              <w:t>Hydrogène (1)</w:t>
            </w:r>
          </w:p>
        </w:tc>
      </w:tr>
    </w:tbl>
    <w:p/>
    <w:p/>
    <w:p/>
    <w:sectPr>
      <w:footerReference w:type="default" r:id="rId56"/>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CB</w:t>
    </w:r>
    <w:r>
      <w:ptab w:relativeTo="margin" w:alignment="center" w:leader="none"/>
    </w:r>
    <w:r>
      <w:t>Mécanismes moléculaires en biologie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F5054"/>
    <w:multiLevelType w:val="hybridMultilevel"/>
    <w:tmpl w:val="FACE7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05C4D"/>
    <w:multiLevelType w:val="hybridMultilevel"/>
    <w:tmpl w:val="F4F887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E62615"/>
    <w:multiLevelType w:val="hybridMultilevel"/>
    <w:tmpl w:val="D9949C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EB1F6D"/>
    <w:multiLevelType w:val="hybridMultilevel"/>
    <w:tmpl w:val="8E4EC64C"/>
    <w:lvl w:ilvl="0" w:tplc="DD50EAF0">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5D36B81"/>
    <w:multiLevelType w:val="hybridMultilevel"/>
    <w:tmpl w:val="22547D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183300B3"/>
    <w:multiLevelType w:val="hybridMultilevel"/>
    <w:tmpl w:val="8FF051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EE6306"/>
    <w:multiLevelType w:val="hybridMultilevel"/>
    <w:tmpl w:val="E182FB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ED762C"/>
    <w:multiLevelType w:val="hybridMultilevel"/>
    <w:tmpl w:val="79B22DC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2ACC0EBB"/>
    <w:multiLevelType w:val="hybridMultilevel"/>
    <w:tmpl w:val="7D4A17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775469A"/>
    <w:multiLevelType w:val="hybridMultilevel"/>
    <w:tmpl w:val="AA9493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855DAF"/>
    <w:multiLevelType w:val="hybridMultilevel"/>
    <w:tmpl w:val="E1B0C1CE"/>
    <w:lvl w:ilvl="0" w:tplc="040C0001">
      <w:start w:val="1"/>
      <w:numFmt w:val="bullet"/>
      <w:lvlText w:val=""/>
      <w:lvlJc w:val="left"/>
      <w:pPr>
        <w:ind w:left="72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9D4DE3"/>
    <w:multiLevelType w:val="hybridMultilevel"/>
    <w:tmpl w:val="958A3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60F6F5C"/>
    <w:multiLevelType w:val="hybridMultilevel"/>
    <w:tmpl w:val="E7BEE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E0855C6"/>
    <w:multiLevelType w:val="hybridMultilevel"/>
    <w:tmpl w:val="C6F08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2C771BF"/>
    <w:multiLevelType w:val="hybridMultilevel"/>
    <w:tmpl w:val="DFEE5B1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535B12F2"/>
    <w:multiLevelType w:val="hybridMultilevel"/>
    <w:tmpl w:val="29F622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3E4860"/>
    <w:multiLevelType w:val="hybridMultilevel"/>
    <w:tmpl w:val="F9167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9625960"/>
    <w:multiLevelType w:val="hybridMultilevel"/>
    <w:tmpl w:val="240426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5BFE698E"/>
    <w:multiLevelType w:val="hybridMultilevel"/>
    <w:tmpl w:val="FAF2E0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15:restartNumberingAfterBreak="0">
    <w:nsid w:val="65BA6F94"/>
    <w:multiLevelType w:val="hybridMultilevel"/>
    <w:tmpl w:val="9B1886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6D51A59"/>
    <w:multiLevelType w:val="hybridMultilevel"/>
    <w:tmpl w:val="CAC0AB20"/>
    <w:lvl w:ilvl="0" w:tplc="040C0001">
      <w:start w:val="1"/>
      <w:numFmt w:val="bullet"/>
      <w:lvlText w:val=""/>
      <w:lvlJc w:val="left"/>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7"/>
  </w:num>
  <w:num w:numId="4">
    <w:abstractNumId w:val="0"/>
  </w:num>
  <w:num w:numId="5">
    <w:abstractNumId w:val="4"/>
  </w:num>
  <w:num w:numId="6">
    <w:abstractNumId w:val="1"/>
  </w:num>
  <w:num w:numId="7">
    <w:abstractNumId w:val="3"/>
  </w:num>
  <w:num w:numId="8">
    <w:abstractNumId w:val="20"/>
  </w:num>
  <w:num w:numId="9">
    <w:abstractNumId w:val="5"/>
  </w:num>
  <w:num w:numId="10">
    <w:abstractNumId w:val="15"/>
  </w:num>
  <w:num w:numId="11">
    <w:abstractNumId w:val="8"/>
  </w:num>
  <w:num w:numId="12">
    <w:abstractNumId w:val="13"/>
  </w:num>
  <w:num w:numId="13">
    <w:abstractNumId w:val="14"/>
  </w:num>
  <w:num w:numId="14">
    <w:abstractNumId w:val="6"/>
  </w:num>
  <w:num w:numId="15">
    <w:abstractNumId w:val="9"/>
  </w:num>
  <w:num w:numId="16">
    <w:abstractNumId w:val="12"/>
  </w:num>
  <w:num w:numId="17">
    <w:abstractNumId w:val="16"/>
  </w:num>
  <w:num w:numId="18">
    <w:abstractNumId w:val="19"/>
  </w:num>
  <w:num w:numId="19">
    <w:abstractNumId w:val="11"/>
  </w:num>
  <w:num w:numId="20">
    <w:abstractNumId w:val="2"/>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revisionView w:inkAnnotations="0"/>
  <w:defaultTabStop w:val="708"/>
  <w:hyphenationZone w:val="425"/>
  <w:defaultTableStyle w:val="Grilledetableauclaire"/>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character" w:styleId="Accentuationintense">
    <w:name w:val="Intense Emphasis"/>
    <w:basedOn w:val="Policepardfaut"/>
    <w:uiPriority w:val="21"/>
    <w:qFormat/>
    <w:rPr>
      <w:i/>
      <w:iCs/>
      <w:color w:val="4472C4" w:themeColor="accent1"/>
    </w:rPr>
  </w:style>
  <w:style w:type="character" w:styleId="Accentuation">
    <w:name w:val="Emphasis"/>
    <w:basedOn w:val="Policepardfaut"/>
    <w:uiPriority w:val="20"/>
    <w:qFormat/>
    <w:rPr>
      <w:i w:val="0"/>
      <w:iCs/>
      <w:color w:val="FF0000"/>
    </w:rPr>
  </w:style>
  <w:style w:type="table" w:styleId="TableauListe6Couleur-Accentuation4">
    <w:name w:val="List Table 6 Colorful Accent 4"/>
    <w:basedOn w:val="TableauNormal"/>
    <w:uiPriority w:val="51"/>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lledetableauclaire">
    <w:name w:val="Grid Table Light"/>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customStyle="1" w:styleId="TableauH">
    <w:name w:val="Tableau H"/>
    <w:basedOn w:val="TableauNormal"/>
    <w:uiPriority w:val="99"/>
    <w:pPr>
      <w:spacing w:after="0" w:line="240" w:lineRule="auto"/>
    </w:pPr>
    <w:tblP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
    <w:tblStylePr w:type="firstRow">
      <w:rPr>
        <w:b/>
      </w:rPr>
    </w:tblStylePr>
  </w:style>
  <w:style w:type="table" w:styleId="TableauListe7Couleur-Accentuation2">
    <w:name w:val="List Table 7 Colorful Accent 2"/>
    <w:basedOn w:val="TableauNormal"/>
    <w:uiPriority w:val="52"/>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pPr>
      <w:spacing w:after="0" w:line="240" w:lineRule="auto"/>
    </w:pPr>
    <w:tblPr>
      <w:tblStyleRowBandSize w:val="1"/>
      <w:tblStyleColBandSize w:val="1"/>
    </w:tblPr>
    <w:tcPr>
      <w:shd w:val="clear" w:color="auto" w:fill="auto"/>
    </w:tcPr>
    <w:tblStylePr w:type="firstRow">
      <w:rPr>
        <w:b/>
        <w:bCs/>
      </w:rPr>
    </w:tblStylePr>
    <w:tblStylePr w:type="lastRow">
      <w:rPr>
        <w:b w:val="0"/>
        <w:bCs/>
      </w:rPr>
    </w:tblStylePr>
    <w:tblStylePr w:type="firstCol">
      <w:rPr>
        <w:b w:val="0"/>
        <w:bCs/>
      </w:rPr>
    </w:tblStylePr>
    <w:tblStylePr w:type="lastCol">
      <w:rPr>
        <w:b w:val="0"/>
        <w:bCs/>
      </w:rPr>
    </w:tblStylePr>
  </w:style>
  <w:style w:type="table" w:styleId="Tableausimple3">
    <w:name w:val="Plain Table 3"/>
    <w:basedOn w:val="Tableau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rPr>
      <w:rFonts w:ascii="Open Sans Light" w:hAnsi="Open Sans Light"/>
    </w:rPr>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rPr>
      <w:rFonts w:ascii="Open Sans Light" w:hAnsi="Open Sans Light"/>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character" w:customStyle="1" w:styleId="Titre4Car">
    <w:name w:val="Titre 4 Car"/>
    <w:basedOn w:val="Policepardfaut"/>
    <w:link w:val="Titre4"/>
    <w:uiPriority w:val="9"/>
    <w:semiHidden/>
    <w:rPr>
      <w:rFonts w:asciiTheme="majorHAnsi" w:eastAsiaTheme="majorEastAsia" w:hAnsiTheme="majorHAnsi" w:cstheme="majorBidi"/>
      <w:i/>
      <w:iCs/>
      <w:color w:val="2F5496" w:themeColor="accent1" w:themeShade="BF"/>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234049305">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A14FE-5363-4403-B77A-BE7A77548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5263</TotalTime>
  <Pages>12</Pages>
  <Words>2841</Words>
  <Characters>15629</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106</cp:revision>
  <cp:lastPrinted>2020-12-12T10:46:00Z</cp:lastPrinted>
  <dcterms:created xsi:type="dcterms:W3CDTF">2020-09-08T20:41:00Z</dcterms:created>
  <dcterms:modified xsi:type="dcterms:W3CDTF">2022-01-23T18:28:00Z</dcterms:modified>
</cp:coreProperties>
</file>