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0" w:type="auto"/>
        <w:tblLook w:val="04A0" w:firstRow="1" w:lastRow="0" w:firstColumn="1" w:lastColumn="0" w:noHBand="0" w:noVBand="1"/>
      </w:tblPr>
      <w:tblGrid>
        <w:gridCol w:w="1833"/>
        <w:gridCol w:w="1423"/>
        <w:gridCol w:w="2245"/>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423" w:type="dxa"/>
          </w:tcPr>
          <w:p>
            <w:pPr>
              <w:cnfStyle w:val="100000000000" w:firstRow="1" w:lastRow="0" w:firstColumn="0" w:lastColumn="0" w:oddVBand="0" w:evenVBand="0" w:oddHBand="0" w:evenHBand="0" w:firstRowFirstColumn="0" w:firstRowLastColumn="0" w:lastRowFirstColumn="0" w:lastRowLastColumn="0"/>
            </w:pPr>
          </w:p>
        </w:tc>
        <w:tc>
          <w:tcPr>
            <w:tcW w:w="2245" w:type="dxa"/>
          </w:tcPr>
          <w:p>
            <w:pPr>
              <w:cnfStyle w:val="100000000000" w:firstRow="1" w:lastRow="0" w:firstColumn="0" w:lastColumn="0" w:oddVBand="0" w:evenVBand="0" w:oddHBand="0" w:evenHBand="0" w:firstRowFirstColumn="0" w:firstRowLastColumn="0" w:lastRowFirstColumn="0" w:lastRowLastColumn="0"/>
            </w:pPr>
            <w:r>
              <w:t>Charge</w:t>
            </w:r>
          </w:p>
        </w:tc>
        <w:tc>
          <w:tcPr>
            <w:tcW w:w="1834" w:type="dxa"/>
          </w:tcPr>
          <w:p>
            <w:pPr>
              <w:cnfStyle w:val="100000000000" w:firstRow="1" w:lastRow="0" w:firstColumn="0" w:lastColumn="0" w:oddVBand="0" w:evenVBand="0" w:oddHBand="0" w:evenHBand="0" w:firstRowFirstColumn="0" w:firstRowLastColumn="0" w:lastRowFirstColumn="0" w:lastRowLastColumn="0"/>
            </w:pPr>
            <w:r>
              <w:t>Masse</w:t>
            </w:r>
          </w:p>
        </w:tc>
      </w:tr>
      <w:tr>
        <w:tc>
          <w:tcPr>
            <w:cnfStyle w:val="001000000000" w:firstRow="0" w:lastRow="0" w:firstColumn="1" w:lastColumn="0" w:oddVBand="0" w:evenVBand="0" w:oddHBand="0" w:evenHBand="0" w:firstRowFirstColumn="0" w:firstRowLastColumn="0" w:lastRowFirstColumn="0" w:lastRowLastColumn="0"/>
            <w:tcW w:w="1833" w:type="dxa"/>
            <w:vMerge w:val="restart"/>
          </w:tcPr>
          <w:p>
            <w:r>
              <w:t>Noyau</w:t>
            </w:r>
          </w:p>
        </w:tc>
        <w:tc>
          <w:tcPr>
            <w:tcW w:w="1423" w:type="dxa"/>
          </w:tcPr>
          <w:p>
            <w:pPr>
              <w:cnfStyle w:val="000000000000" w:firstRow="0" w:lastRow="0" w:firstColumn="0" w:lastColumn="0" w:oddVBand="0" w:evenVBand="0" w:oddHBand="0" w:evenHBand="0" w:firstRowFirstColumn="0" w:firstRowLastColumn="0" w:lastRowFirstColumn="0" w:lastRowLastColumn="0"/>
            </w:pPr>
            <w:r>
              <w:t>Proton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r>
              <w:t xml:space="preserve"> = 1.60 × 10−19</w:t>
            </w:r>
            <w:r>
              <w:rPr>
                <w:rFonts w:ascii="Cambria Math" w:hAnsi="Cambria Math" w:cs="Cambria Math"/>
              </w:rPr>
              <w:t>𝐶</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vMerge/>
          </w:tcPr>
          <w:p/>
        </w:tc>
        <w:tc>
          <w:tcPr>
            <w:tcW w:w="1423" w:type="dxa"/>
          </w:tcPr>
          <w:p>
            <w:pPr>
              <w:cnfStyle w:val="000000000000" w:firstRow="0" w:lastRow="0" w:firstColumn="0" w:lastColumn="0" w:oddVBand="0" w:evenVBand="0" w:oddHBand="0" w:evenHBand="0" w:firstRowFirstColumn="0" w:firstRowLastColumn="0" w:lastRowFirstColumn="0" w:lastRowLastColumn="0"/>
            </w:pPr>
            <w:r>
              <w:t>Neutron</w:t>
            </w:r>
          </w:p>
        </w:tc>
        <w:tc>
          <w:tcPr>
            <w:tcW w:w="2245" w:type="dxa"/>
          </w:tcPr>
          <w:p>
            <w:pPr>
              <w:cnfStyle w:val="000000000000" w:firstRow="0" w:lastRow="0" w:firstColumn="0" w:lastColumn="0" w:oddVBand="0" w:evenVBand="0" w:oddHBand="0" w:evenHBand="0" w:firstRowFirstColumn="0" w:firstRowLastColumn="0" w:lastRowFirstColumn="0" w:lastRowLastColumn="0"/>
            </w:pPr>
            <w:r>
              <w:t>0</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tcPr>
          <w:p>
            <w:r>
              <w:t>Périphérie</w:t>
            </w:r>
          </w:p>
        </w:tc>
        <w:tc>
          <w:tcPr>
            <w:tcW w:w="1423" w:type="dxa"/>
          </w:tcPr>
          <w:p>
            <w:pPr>
              <w:cnfStyle w:val="000000000000" w:firstRow="0" w:lastRow="0" w:firstColumn="0" w:lastColumn="0" w:oddVBand="0" w:evenVBand="0" w:oddHBand="0" w:evenHBand="0" w:firstRowFirstColumn="0" w:firstRowLastColumn="0" w:lastRowFirstColumn="0" w:lastRowLastColumn="0"/>
            </w:pPr>
            <w:r>
              <w:t>Électron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p>
        </w:tc>
        <w:tc>
          <w:tcPr>
            <w:tcW w:w="1834" w:type="dxa"/>
          </w:tcPr>
          <w:p>
            <w:pPr>
              <w:cnfStyle w:val="000000000000" w:firstRow="0" w:lastRow="0" w:firstColumn="0" w:lastColumn="0" w:oddVBand="0" w:evenVBand="0" w:oddHBand="0" w:evenHBand="0" w:firstRowFirstColumn="0" w:firstRowLastColumn="0" w:lastRowFirstColumn="0" w:lastRowLastColumn="0"/>
            </w:pPr>
            <w:r>
              <w:t>9.11 × 10</w:t>
            </w:r>
            <w:r>
              <w:rPr>
                <w:vertAlign w:val="superscript"/>
              </w:rPr>
              <w:t>−31</w:t>
            </w:r>
            <w:r>
              <w:rPr>
                <w:rFonts w:ascii="Cambria Math" w:hAnsi="Cambria Math" w:cs="Cambria Math"/>
              </w:rPr>
              <w:t>𝑘𝑔</w:t>
            </w:r>
          </w:p>
        </w:tc>
      </w:tr>
    </w:tbl>
    <w:p>
      <w:pPr>
        <w:pStyle w:val="Sansinterligne"/>
      </w:pP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Pre>
                  <m:sPrePr>
                    <m:ctrlPr>
                      <w:rPr>
                        <w:rFonts w:ascii="Cambria Math" w:hAnsi="Cambria Math"/>
                        <w:i/>
                        <w:sz w:val="36"/>
                        <w:szCs w:val="36"/>
                      </w:rPr>
                    </m:ctrlPr>
                  </m:sPrePr>
                  <m:sub>
                    <m:r>
                      <m:rPr>
                        <m:sty m:val="bi"/>
                      </m:rPr>
                      <w:rPr>
                        <w:rFonts w:ascii="Cambria Math" w:hAnsi="Cambria Math"/>
                        <w:sz w:val="36"/>
                        <w:szCs w:val="36"/>
                      </w:rPr>
                      <m:t>Z</m:t>
                    </m:r>
                  </m:sub>
                  <m:sup>
                    <m:r>
                      <m:rPr>
                        <m:sty m:val="bi"/>
                      </m:rPr>
                      <w:rPr>
                        <w:rFonts w:ascii="Cambria Math" w:hAnsi="Cambria Math"/>
                        <w:sz w:val="36"/>
                        <w:szCs w:val="36"/>
                      </w:rPr>
                      <m:t>A</m:t>
                    </m:r>
                  </m:sup>
                  <m:e>
                    <m:r>
                      <m:rPr>
                        <m:sty m:val="bi"/>
                      </m:rPr>
                      <w:rPr>
                        <w:rFonts w:ascii="Cambria Math" w:hAnsi="Cambria Math"/>
                        <w:sz w:val="36"/>
                        <w:szCs w:val="36"/>
                      </w:rPr>
                      <m:t>X</m:t>
                    </m:r>
                  </m:e>
                </m:sPre>
              </m:oMath>
            </m:oMathPara>
          </w:p>
        </w:tc>
        <w:tc>
          <w:tcPr>
            <w:tcW w:w="3668" w:type="dxa"/>
          </w:tcPr>
          <w:p>
            <w:pPr>
              <w:rPr>
                <w:b/>
              </w:rPr>
            </w:pPr>
            <w:r>
              <w:t>A : nbre de nucléons (protons + neutrons).</w:t>
            </w:r>
          </w:p>
          <w:p>
            <w:r>
              <w:t>Z : n° atomique (nbre de protons).</w:t>
            </w:r>
          </w:p>
        </w:tc>
      </w:tr>
    </w:tbl>
    <w:p>
      <w:r>
        <w:t xml:space="preserve">Si le nombre d’électrons est différence du nombre de protons alors l’atome est chargé : </w:t>
      </w:r>
    </w:p>
    <w:tbl>
      <w:tblPr>
        <w:tblStyle w:val="Grilledetableauclaire"/>
        <w:tblW w:w="0" w:type="auto"/>
        <w:tblLook w:val="0400" w:firstRow="0" w:lastRow="0" w:firstColumn="0" w:lastColumn="0" w:noHBand="0" w:noVBand="1"/>
      </w:tblPr>
      <w:tblGrid>
        <w:gridCol w:w="3667"/>
        <w:gridCol w:w="3668"/>
      </w:tblGrid>
      <w:tr>
        <w:tc>
          <w:tcPr>
            <w:tcW w:w="3667" w:type="dxa"/>
          </w:tcPr>
          <w:p>
            <w:r>
              <w:t>Positive = cation</w:t>
            </w:r>
          </w:p>
        </w:tc>
        <w:tc>
          <w:tcPr>
            <w:tcW w:w="3668" w:type="dxa"/>
          </w:tcPr>
          <w:p>
            <w:r>
              <w:t>Négative = anion</w:t>
            </w:r>
          </w:p>
        </w:tc>
      </w:tr>
      <w:tr>
        <w:trPr>
          <w:trHeight w:val="618"/>
        </w:trPr>
        <w:tc>
          <w:tcPr>
            <w:tcW w:w="3667" w:type="dxa"/>
          </w:tcPr>
          <w:p>
            <w:pPr>
              <w:rPr>
                <w:i/>
              </w:rPr>
            </w:pPr>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c>
          <w:tcPr>
            <w:tcW w:w="3668" w:type="dxa"/>
          </w:tcPr>
          <w:p>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r>
    </w:tbl>
    <w:p>
      <w:r>
        <w:t xml:space="preserve">Un atome est caractérisé par : </w:t>
      </w:r>
    </w:p>
    <w:tbl>
      <w:tblPr>
        <w:tblStyle w:val="Grilledetableauclaire"/>
        <w:tblW w:w="0" w:type="auto"/>
        <w:tblLook w:val="0400" w:firstRow="0" w:lastRow="0" w:firstColumn="0" w:lastColumn="0" w:noHBand="0" w:noVBand="1"/>
      </w:tblPr>
      <w:tblGrid>
        <w:gridCol w:w="3667"/>
        <w:gridCol w:w="3668"/>
      </w:tblGrid>
      <w:tr>
        <w:tc>
          <w:tcPr>
            <w:tcW w:w="3667" w:type="dxa"/>
          </w:tcPr>
          <w:p>
            <w:r>
              <w:t>Son élément</w:t>
            </w:r>
          </w:p>
        </w:tc>
        <w:tc>
          <w:tcPr>
            <w:tcW w:w="3668" w:type="dxa"/>
          </w:tcPr>
          <w:p>
            <w:r>
              <w:t>Son n° atomique (nombre de protons)</w:t>
            </w:r>
          </w:p>
        </w:tc>
      </w:tr>
    </w:tbl>
    <w:p>
      <w:r>
        <w:rPr>
          <w:color w:val="FF0000"/>
        </w:rPr>
        <w:t xml:space="preserve">Isotope </w:t>
      </w:r>
      <w:r>
        <w:t>deux atomes qui possèdent le même nombre de protons mais un nombre de neutrons différent.</w:t>
      </w:r>
    </w:p>
    <w:p>
      <w:r>
        <w:t>Chaque atome possède une signature photonique (lumineuse) unique.</w:t>
      </w:r>
    </w:p>
    <w:p>
      <w:pPr>
        <w:pStyle w:val="Titre1"/>
      </w:pPr>
      <w:r>
        <w:t>Structure des molécules</w:t>
      </w:r>
    </w:p>
    <w:p>
      <w:r>
        <w:t>Les liaisons entre les atomes pour former des molécules se matérialisent par le partage des électrons. Pour comprendre comment les molécules sont fabriquées il faut étudier la configuration des électrons des atomes.</w:t>
      </w:r>
    </w:p>
    <w:p>
      <w:pPr>
        <w:pStyle w:val="Titre2"/>
      </w:pPr>
      <w:r>
        <w:t>Configuration électronique des atomes</w:t>
      </w:r>
    </w:p>
    <w:p>
      <w:r>
        <w:t>La position d’un électron autour d’un atome est défini par :</w:t>
      </w:r>
    </w:p>
    <w:tbl>
      <w:tblPr>
        <w:tblStyle w:val="Grilledetableauclaire"/>
        <w:tblW w:w="0" w:type="auto"/>
        <w:tblLook w:val="0400" w:firstRow="0" w:lastRow="0" w:firstColumn="0" w:lastColumn="0" w:noHBand="0" w:noVBand="1"/>
      </w:tblPr>
      <w:tblGrid>
        <w:gridCol w:w="3667"/>
        <w:gridCol w:w="3668"/>
      </w:tblGrid>
      <w:tr>
        <w:tc>
          <w:tcPr>
            <w:tcW w:w="3667" w:type="dxa"/>
          </w:tcPr>
          <w:p>
            <w:r>
              <w:rPr>
                <w:rFonts w:ascii="Cambria Math" w:hAnsi="Cambria Math" w:cs="Cambria Math"/>
              </w:rPr>
              <w:t>𝒏</w:t>
            </w:r>
            <w:r>
              <w:t xml:space="preserve"> nombre quantique. </w:t>
            </w:r>
            <w:r>
              <w:rPr>
                <w:rFonts w:ascii="Cambria Math" w:hAnsi="Cambria Math" w:cs="Cambria Math"/>
              </w:rPr>
              <w:t>𝒍</w:t>
            </w:r>
            <w:r>
              <w:t xml:space="preserve"> &lt; </w:t>
            </w:r>
            <w:r>
              <w:rPr>
                <w:rFonts w:ascii="Cambria Math" w:hAnsi="Cambria Math" w:cs="Cambria Math"/>
              </w:rPr>
              <w:t>𝑛</w:t>
            </w:r>
            <w:r>
              <w:t xml:space="preserve"> nbre quantique secondaire</w:t>
            </w:r>
          </w:p>
        </w:tc>
        <w:tc>
          <w:tcPr>
            <w:tcW w:w="3668" w:type="dxa"/>
          </w:tcPr>
          <w:p>
            <w:r>
              <w:rPr>
                <w:rFonts w:ascii="Cambria Math" w:hAnsi="Cambria Math" w:cs="Cambria Math"/>
              </w:rPr>
              <w:t>𝒎</w:t>
            </w:r>
            <w:r>
              <w:t xml:space="preserve"> ≤ |</w:t>
            </w:r>
            <w:r>
              <w:rPr>
                <w:rFonts w:ascii="Cambria Math" w:hAnsi="Cambria Math" w:cs="Cambria Math"/>
              </w:rPr>
              <w:t>𝑙</w:t>
            </w:r>
            <w:r>
              <w:t>| nbre quantique magnétique.</w:t>
            </w:r>
          </w:p>
          <w:p>
            <w:r>
              <w:rPr>
                <w:rFonts w:ascii="Cambria Math" w:hAnsi="Cambria Math" w:cs="Cambria Math"/>
              </w:rPr>
              <w:t>𝒎𝒔</w:t>
            </w:r>
            <w:r>
              <w:t xml:space="preserve"> ou </w:t>
            </w:r>
            <w:r>
              <w:rPr>
                <w:rFonts w:ascii="Cambria Math" w:hAnsi="Cambria Math" w:cs="Cambria Math"/>
              </w:rPr>
              <w:t>𝒔</w:t>
            </w:r>
            <w:r>
              <w:t xml:space="preserve"> </w:t>
            </w:r>
            <w:r>
              <w:rPr>
                <w:rFonts w:ascii="Cambria Math" w:hAnsi="Cambria Math" w:cs="Cambria Math"/>
              </w:rPr>
              <w:t>𝑠𝑝𝑖𝑛</w:t>
            </w:r>
            <w:r>
              <w:t xml:space="preserve"> = ±0.5</w:t>
            </w:r>
          </w:p>
        </w:tc>
      </w:tr>
    </w:tbl>
    <w:p>
      <w:r>
        <w:rPr>
          <w:noProof/>
        </w:rPr>
        <w:drawing>
          <wp:inline distT="0" distB="0" distL="0" distR="0">
            <wp:extent cx="4659630" cy="1696720"/>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630" cy="1696720"/>
                    </a:xfrm>
                    <a:prstGeom prst="rect">
                      <a:avLst/>
                    </a:prstGeom>
                    <a:noFill/>
                    <a:ln>
                      <a:noFill/>
                    </a:ln>
                  </pic:spPr>
                </pic:pic>
              </a:graphicData>
            </a:graphic>
          </wp:inline>
        </w:drawing>
      </w:r>
    </w:p>
    <w:p>
      <w:r>
        <w:t>Le tableau périodique permet une lecture</w:t>
      </w:r>
    </w:p>
    <w:p>
      <w:r>
        <w:rPr>
          <w:noProof/>
        </w:rPr>
        <w:drawing>
          <wp:inline distT="0" distB="0" distL="0" distR="0">
            <wp:extent cx="2672862" cy="1619729"/>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44" cy="1625536"/>
                    </a:xfrm>
                    <a:prstGeom prst="rect">
                      <a:avLst/>
                    </a:prstGeom>
                  </pic:spPr>
                </pic:pic>
              </a:graphicData>
            </a:graphic>
          </wp:inline>
        </w:drawing>
      </w:r>
    </w:p>
    <w:tbl>
      <w:tblPr>
        <w:tblStyle w:val="Grilledetableauclaire"/>
        <w:tblW w:w="0" w:type="auto"/>
        <w:tblLook w:val="0400" w:firstRow="0" w:lastRow="0" w:firstColumn="0" w:lastColumn="0" w:noHBand="0" w:noVBand="1"/>
      </w:tblPr>
      <w:tblGrid>
        <w:gridCol w:w="5524"/>
        <w:gridCol w:w="1811"/>
      </w:tblGrid>
      <w:tr>
        <w:tc>
          <w:tcPr>
            <w:tcW w:w="5524" w:type="dxa"/>
          </w:tcPr>
          <w:p>
            <w:r>
              <w:rPr>
                <w:rStyle w:val="Accentuation"/>
              </w:rPr>
              <w:t>Rayon atomique</w:t>
            </w:r>
            <w:r>
              <w:t xml:space="preserve"> Distance entre le noyau et le nuage électronique. C’est un peu l’équivalent de la gravité.</w:t>
            </w:r>
          </w:p>
          <w:p>
            <w:r>
              <w:t>Plus un atome contient de charges positives et moins il a d’électrons plus a tendance à les garder à proximité de son noyau.</w:t>
            </w:r>
          </w:p>
        </w:tc>
        <w:tc>
          <w:tcPr>
            <w:tcW w:w="1811" w:type="dxa"/>
            <w:vMerge w:val="restart"/>
          </w:tcPr>
          <w:p>
            <w:r>
              <w:rPr>
                <w:noProof/>
              </w:rPr>
              <w:drawing>
                <wp:inline distT="0" distB="0" distL="0" distR="0">
                  <wp:extent cx="756139" cy="2362934"/>
                  <wp:effectExtent l="0" t="0" r="635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6247" cy="2425772"/>
                          </a:xfrm>
                          <a:prstGeom prst="rect">
                            <a:avLst/>
                          </a:prstGeom>
                        </pic:spPr>
                      </pic:pic>
                    </a:graphicData>
                  </a:graphic>
                </wp:inline>
              </w:drawing>
            </w:r>
          </w:p>
        </w:tc>
      </w:tr>
      <w:tr>
        <w:tc>
          <w:tcPr>
            <w:tcW w:w="5524" w:type="dxa"/>
          </w:tcPr>
          <w:p>
            <w:r>
              <w:rPr>
                <w:rStyle w:val="Accentuation"/>
              </w:rPr>
              <w:t>Energie d’ionisation</w:t>
            </w:r>
            <w:r>
              <w:t xml:space="preserve"> (ici première) (opposé d’affinité électronique) énergie requise pour arracher un électron. </w:t>
            </w:r>
            <m:oMath>
              <m:r>
                <m:rPr>
                  <m:sty m:val="p"/>
                </m:rPr>
                <w:rPr>
                  <w:rFonts w:ascii="Cambria Math" w:hAnsi="Cambria Math" w:cs="Cambria Math"/>
                </w:rPr>
                <m:t>A</m:t>
              </m:r>
              <m:r>
                <m:rPr>
                  <m:sty m:val="p"/>
                </m:rPr>
                <w:rPr>
                  <w:rFonts w:ascii="Cambria Math" w:hAnsi="Cambria Math"/>
                </w:rPr>
                <m:t xml:space="preserve"> </m:t>
              </m:r>
              <m:r>
                <m:rPr>
                  <m:sty m:val="p"/>
                </m:rPr>
                <w:rPr>
                  <w:rFonts w:ascii="Cambria Math" w:hAnsi="Cambria Math" w:cs="Arial"/>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+e</m:t>
              </m:r>
            </m:oMath>
          </w:p>
        </w:tc>
        <w:tc>
          <w:tcPr>
            <w:tcW w:w="1811" w:type="dxa"/>
            <w:vMerge/>
          </w:tcPr>
          <w:p/>
        </w:tc>
      </w:tr>
      <w:tr>
        <w:tc>
          <w:tcPr>
            <w:tcW w:w="5524" w:type="dxa"/>
          </w:tcPr>
          <w:p>
            <w:r>
              <w:rPr>
                <w:rStyle w:val="Accentuation"/>
              </w:rPr>
              <w:t>Affinité électronique</w:t>
            </w:r>
            <w:r>
              <w:t xml:space="preserve"> quantité d’énergie dégagée à la suite de la capture d’un électron. Elle est maximale lorsque la couche est complètement remplie.</w:t>
            </w:r>
          </w:p>
        </w:tc>
        <w:tc>
          <w:tcPr>
            <w:tcW w:w="1811" w:type="dxa"/>
            <w:vMerge/>
          </w:tcPr>
          <w:p/>
        </w:tc>
      </w:tr>
      <w:tr>
        <w:tc>
          <w:tcPr>
            <w:tcW w:w="5524" w:type="dxa"/>
          </w:tcPr>
          <w:p>
            <w:r>
              <w:rPr>
                <w:rStyle w:val="Accentuation"/>
              </w:rPr>
              <w:t>Électronégativité</w:t>
            </w:r>
            <w:r>
              <w:t xml:space="preserve"> capacité d’un atome à attirer des électrons notamment pour compléter ses couches. </w:t>
            </w:r>
          </w:p>
        </w:tc>
        <w:tc>
          <w:tcPr>
            <w:tcW w:w="1811" w:type="dxa"/>
            <w:vMerge/>
          </w:tcPr>
          <w:p/>
        </w:tc>
      </w:tr>
    </w:tbl>
    <w:p>
      <w:pPr>
        <w:pStyle w:val="Titre3"/>
      </w:pPr>
      <w:r>
        <w:lastRenderedPageBreak/>
        <w:t>Stabilité atomique</w:t>
      </w:r>
    </w:p>
    <w:p>
      <w:r>
        <w:t>Un atome a tendance à prendre la configuration électronique qui lui donne un niveau de stabilité maximal. La stabilité est atteinte dans les conditions suivantes par ordre de stabilité décroissant) :</w:t>
      </w:r>
    </w:p>
    <w:p>
      <w:pPr>
        <w:pStyle w:val="Paragraphedeliste"/>
        <w:numPr>
          <w:ilvl w:val="0"/>
          <w:numId w:val="24"/>
        </w:numPr>
      </w:pPr>
      <w:r>
        <w:t>La couche en cours de remplissage totalement pleine ou totalement vide.</w:t>
      </w:r>
    </w:p>
    <w:p>
      <w:pPr>
        <w:pStyle w:val="Paragraphedeliste"/>
        <w:numPr>
          <w:ilvl w:val="0"/>
          <w:numId w:val="24"/>
        </w:numPr>
      </w:pPr>
      <w:r>
        <w:t>La couche en cours de remplissage semi complète avec un électron dans chaque case et leur spin dans le même sens.</w:t>
      </w:r>
    </w:p>
    <w:p>
      <w:r>
        <w:t>Remarque : la configuration la plus stable correspond à la configuration électronique du gaz rare le plus proche.</w:t>
      </w:r>
    </w:p>
    <w:p>
      <w:r>
        <w:rPr>
          <w:noProof/>
        </w:rPr>
        <w:drawing>
          <wp:inline distT="0" distB="0" distL="0" distR="0">
            <wp:extent cx="3736731" cy="888607"/>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3279" cy="899676"/>
                    </a:xfrm>
                    <a:prstGeom prst="rect">
                      <a:avLst/>
                    </a:prstGeom>
                    <a:noFill/>
                    <a:ln>
                      <a:noFill/>
                    </a:ln>
                  </pic:spPr>
                </pic:pic>
              </a:graphicData>
            </a:graphic>
          </wp:inline>
        </w:drawing>
      </w:r>
    </w:p>
    <w:p>
      <w:r>
        <w:t>Pour atteindre cet état, l’atome peut gagner ou en perdre des électrons c’est-à-dire former des ions.</w:t>
      </w:r>
    </w:p>
    <w:p>
      <w:r>
        <w:t>Lorsque l’on répartit les électrons sur les couches, il faut inverser 4S et 3D.</w:t>
      </w:r>
    </w:p>
    <w:p>
      <w:pPr>
        <w:pStyle w:val="Titre2"/>
        <w:rPr>
          <w:rFonts w:ascii="Open Sans Light" w:eastAsiaTheme="minorHAnsi" w:hAnsi="Open Sans Light" w:cstheme="minorBidi"/>
          <w:b w:val="0"/>
          <w:sz w:val="22"/>
          <w:szCs w:val="22"/>
        </w:rPr>
      </w:pPr>
      <w:r>
        <w:rPr>
          <w:rFonts w:ascii="Open Sans Light" w:eastAsiaTheme="minorHAnsi" w:hAnsi="Open Sans Light" w:cstheme="minorBidi"/>
          <w:b w:val="0"/>
          <w:sz w:val="22"/>
          <w:szCs w:val="22"/>
        </w:rPr>
        <w:t>Les électrons qui n’appartiennent pas à des doublets (case)</w:t>
      </w:r>
    </w:p>
    <w:p>
      <w:r>
        <w:rPr>
          <w:rStyle w:val="Accentuation"/>
        </w:rPr>
        <w:t>Valence</w:t>
      </w:r>
      <w:r>
        <w:t xml:space="preserve"> nbre d’électrons libres n’appartenant pas à des doublets.</w:t>
      </w:r>
    </w:p>
    <w:p>
      <w:r>
        <w:rPr>
          <w:rStyle w:val="Accentuation"/>
        </w:rPr>
        <w:t>Hypervalence</w:t>
      </w:r>
      <w:r>
        <w:t xml:space="preserve"> même nombre quantique principal pour partager ses électrons (par exemple : C, P, Na.)</w:t>
      </w:r>
    </w:p>
    <w:p>
      <w:pPr>
        <w:pStyle w:val="Titre3"/>
      </w:pPr>
      <w:r>
        <w:t>VSEPR, la direction des orbitales</w:t>
      </w:r>
    </w:p>
    <w:p>
      <w:r>
        <w:t xml:space="preserve">La VSEPR est une méthode qui permet de déterminer la structure 3D d’un atome. </w:t>
      </w:r>
    </w:p>
    <w:tbl>
      <w:tblPr>
        <w:tblStyle w:val="Grilledetableauclaire"/>
        <w:tblW w:w="0" w:type="auto"/>
        <w:tblLook w:val="0400" w:firstRow="0" w:lastRow="0" w:firstColumn="0" w:lastColumn="0" w:noHBand="0" w:noVBand="1"/>
      </w:tblPr>
      <w:tblGrid>
        <w:gridCol w:w="1932"/>
        <w:gridCol w:w="5403"/>
      </w:tblGrid>
      <w:tr>
        <w:tc>
          <w:tcPr>
            <w:tcW w:w="1932" w:type="dxa"/>
          </w:tcPr>
          <w:p>
            <w:r>
              <w:rPr>
                <w:noProof/>
              </w:rPr>
              <w:drawing>
                <wp:inline distT="0" distB="0" distL="0" distR="0">
                  <wp:extent cx="1090246" cy="818799"/>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1922" cy="827568"/>
                          </a:xfrm>
                          <a:prstGeom prst="rect">
                            <a:avLst/>
                          </a:prstGeom>
                          <a:noFill/>
                          <a:ln>
                            <a:noFill/>
                          </a:ln>
                        </pic:spPr>
                      </pic:pic>
                    </a:graphicData>
                  </a:graphic>
                </wp:inline>
              </w:drawing>
            </w:r>
          </w:p>
        </w:tc>
        <w:tc>
          <w:tcPr>
            <w:tcW w:w="5403" w:type="dxa"/>
          </w:tcPr>
          <w:p>
            <w:pPr>
              <w:rPr>
                <w:rFonts w:eastAsiaTheme="minorEastAsia"/>
              </w:rPr>
            </w:pPr>
            <m:oMathPara>
              <m:oMath>
                <m:sSub>
                  <m:sSubPr>
                    <m:ctrlPr>
                      <w:rPr>
                        <w:rFonts w:ascii="Cambria Math" w:hAnsi="Cambria Math"/>
                        <w:i/>
                      </w:rPr>
                    </m:ctrlPr>
                  </m:sSubPr>
                  <m:e>
                    <m:r>
                      <w:rPr>
                        <w:rFonts w:ascii="Cambria Math" w:hAnsi="Cambria Math"/>
                      </w:rPr>
                      <m:t>AX</m:t>
                    </m:r>
                  </m:e>
                  <m:sub>
                    <m:r>
                      <w:rPr>
                        <w:rFonts w:ascii="Cambria Math" w:hAnsi="Cambria Math"/>
                      </w:rPr>
                      <m:t>p</m:t>
                    </m:r>
                  </m:sub>
                </m:sSub>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q</m:t>
                    </m:r>
                  </m:sub>
                </m:sSub>
              </m:oMath>
            </m:oMathPara>
          </w:p>
          <w:p>
            <w:pPr>
              <w:rPr>
                <w:b/>
              </w:rPr>
            </w:pPr>
            <w:r>
              <w:rPr>
                <w:b/>
              </w:rPr>
              <w:t xml:space="preserve">Où </w:t>
            </w:r>
          </w:p>
          <w:p>
            <w:r>
              <w:t>p : nbre d’atomes périphériques.</w:t>
            </w:r>
          </w:p>
          <w:p>
            <w:r>
              <w:t>q : nbre de doublets libres.</w:t>
            </w:r>
          </w:p>
        </w:tc>
      </w:tr>
    </w:tbl>
    <w:p/>
    <w:tbl>
      <w:tblPr>
        <w:tblStyle w:val="Grilledetableauclaire"/>
        <w:tblW w:w="0" w:type="auto"/>
        <w:tblLook w:val="04A0" w:firstRow="1" w:lastRow="0" w:firstColumn="1" w:lastColumn="0" w:noHBand="0" w:noVBand="1"/>
      </w:tblPr>
      <w:tblGrid>
        <w:gridCol w:w="1833"/>
        <w:gridCol w:w="1834"/>
        <w:gridCol w:w="1431"/>
        <w:gridCol w:w="223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 xml:space="preserve">Nbre de direction </w:t>
            </w:r>
            <w:r>
              <w:rPr>
                <w:rFonts w:ascii="Cambria Math" w:hAnsi="Cambria Math" w:cs="Cambria Math"/>
              </w:rPr>
              <w:t>𝒑</w:t>
            </w:r>
            <w:r>
              <w:t xml:space="preserve"> + </w:t>
            </w:r>
            <w:r>
              <w:rPr>
                <w:rFonts w:ascii="Cambria Math" w:hAnsi="Cambria Math" w:cs="Cambria Math"/>
              </w:rPr>
              <w:t>𝒏</w:t>
            </w:r>
            <w:r>
              <w:t xml:space="preserve"> =</w:t>
            </w:r>
          </w:p>
        </w:tc>
        <w:tc>
          <w:tcPr>
            <w:tcW w:w="1834" w:type="dxa"/>
          </w:tcPr>
          <w:p>
            <w:pPr>
              <w:cnfStyle w:val="100000000000" w:firstRow="1" w:lastRow="0" w:firstColumn="0" w:lastColumn="0" w:oddVBand="0" w:evenVBand="0" w:oddHBand="0" w:evenHBand="0" w:firstRowFirstColumn="0" w:firstRowLastColumn="0" w:lastRowFirstColumn="0" w:lastRowLastColumn="0"/>
            </w:pPr>
            <w:r>
              <w:t>1</w:t>
            </w:r>
          </w:p>
        </w:tc>
        <w:tc>
          <w:tcPr>
            <w:tcW w:w="1431" w:type="dxa"/>
          </w:tcPr>
          <w:p>
            <w:pPr>
              <w:cnfStyle w:val="100000000000" w:firstRow="1" w:lastRow="0" w:firstColumn="0" w:lastColumn="0" w:oddVBand="0" w:evenVBand="0" w:oddHBand="0" w:evenHBand="0" w:firstRowFirstColumn="0" w:firstRowLastColumn="0" w:lastRowFirstColumn="0" w:lastRowLastColumn="0"/>
            </w:pPr>
            <w:r>
              <w:t>2</w:t>
            </w:r>
          </w:p>
        </w:tc>
        <w:tc>
          <w:tcPr>
            <w:tcW w:w="2237" w:type="dxa"/>
          </w:tcPr>
          <w:p>
            <w:pPr>
              <w:cnfStyle w:val="100000000000" w:firstRow="1" w:lastRow="0" w:firstColumn="0" w:lastColumn="0" w:oddVBand="0" w:evenVBand="0" w:oddHBand="0" w:evenHBand="0" w:firstRowFirstColumn="0" w:firstRowLastColumn="0" w:lastRowFirstColumn="0" w:lastRowLastColumn="0"/>
            </w:pPr>
            <w:r>
              <w:t>3</w:t>
            </w:r>
          </w:p>
        </w:tc>
      </w:tr>
      <w:tr>
        <w:tc>
          <w:tcPr>
            <w:cnfStyle w:val="001000000000" w:firstRow="0" w:lastRow="0" w:firstColumn="1" w:lastColumn="0" w:oddVBand="0" w:evenVBand="0" w:oddHBand="0" w:evenHBand="0" w:firstRowFirstColumn="0" w:firstRowLastColumn="0" w:lastRowFirstColumn="0" w:lastRowLastColumn="0"/>
            <w:tcW w:w="1833" w:type="dxa"/>
          </w:tcPr>
          <w:p>
            <w:r>
              <w:t>Organisation 3D</w:t>
            </w:r>
          </w:p>
        </w:tc>
        <w:tc>
          <w:tcPr>
            <w:tcW w:w="1834" w:type="dxa"/>
          </w:tcPr>
          <w:p>
            <w:pPr>
              <w:cnfStyle w:val="000000000000" w:firstRow="0" w:lastRow="0" w:firstColumn="0" w:lastColumn="0" w:oddVBand="0" w:evenVBand="0" w:oddHBand="0" w:evenHBand="0" w:firstRowFirstColumn="0" w:firstRowLastColumn="0" w:lastRowFirstColumn="0" w:lastRowLastColumn="0"/>
            </w:pPr>
            <w:r>
              <w:t>Linéaire</w:t>
            </w:r>
          </w:p>
        </w:tc>
        <w:tc>
          <w:tcPr>
            <w:tcW w:w="1431" w:type="dxa"/>
          </w:tcPr>
          <w:p>
            <w:pPr>
              <w:cnfStyle w:val="000000000000" w:firstRow="0" w:lastRow="0" w:firstColumn="0" w:lastColumn="0" w:oddVBand="0" w:evenVBand="0" w:oddHBand="0" w:evenHBand="0" w:firstRowFirstColumn="0" w:firstRowLastColumn="0" w:lastRowFirstColumn="0" w:lastRowLastColumn="0"/>
            </w:pPr>
            <w:r>
              <w:t>Coudé</w:t>
            </w:r>
          </w:p>
        </w:tc>
        <w:tc>
          <w:tcPr>
            <w:tcW w:w="2237" w:type="dxa"/>
          </w:tcPr>
          <w:p>
            <w:pPr>
              <w:cnfStyle w:val="000000000000" w:firstRow="0" w:lastRow="0" w:firstColumn="0" w:lastColumn="0" w:oddVBand="0" w:evenVBand="0" w:oddHBand="0" w:evenHBand="0" w:firstRowFirstColumn="0" w:firstRowLastColumn="0" w:lastRowFirstColumn="0" w:lastRowLastColumn="0"/>
            </w:pPr>
            <w:r>
              <w:t>Triangulaire plane</w:t>
            </w:r>
          </w:p>
        </w:tc>
      </w:tr>
      <w:tr>
        <w:tc>
          <w:tcPr>
            <w:cnfStyle w:val="001000000000" w:firstRow="0" w:lastRow="0" w:firstColumn="1" w:lastColumn="0" w:oddVBand="0" w:evenVBand="0" w:oddHBand="0" w:evenHBand="0" w:firstRowFirstColumn="0" w:firstRowLastColumn="0" w:lastRowFirstColumn="0" w:lastRowLastColumn="0"/>
            <w:tcW w:w="1833" w:type="dxa"/>
          </w:tcPr>
          <w:p>
            <w:r>
              <w:t>VSEPR et géométrie</w:t>
            </w:r>
          </w:p>
        </w:tc>
        <w:tc>
          <w:tcPr>
            <w:tcW w:w="1834" w:type="dxa"/>
          </w:tcPr>
          <w:p>
            <w:pPr>
              <w:cnfStyle w:val="000000000000" w:firstRow="0" w:lastRow="0" w:firstColumn="0" w:lastColumn="0" w:oddVBand="0" w:evenVBand="0" w:oddHBand="0" w:evenHBand="0" w:firstRowFirstColumn="0" w:firstRowLastColumn="0" w:lastRowFirstColumn="0" w:lastRowLastColumn="0"/>
            </w:pPr>
          </w:p>
        </w:tc>
        <w:tc>
          <w:tcPr>
            <w:tcW w:w="1431"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2</w:t>
            </w:r>
          </w:p>
        </w:tc>
        <w:tc>
          <w:tcPr>
            <w:tcW w:w="2237"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3</w:t>
            </w:r>
          </w:p>
        </w:tc>
      </w:tr>
    </w:tbl>
    <w:p>
      <w:pPr>
        <w:pStyle w:val="Sansinterligne"/>
      </w:pPr>
    </w:p>
    <w:tbl>
      <w:tblPr>
        <w:tblStyle w:val="Grilledetableauclaire"/>
        <w:tblW w:w="0" w:type="auto"/>
        <w:tblLook w:val="0400" w:firstRow="0" w:lastRow="0" w:firstColumn="0" w:lastColumn="0" w:noHBand="0" w:noVBand="1"/>
      </w:tblPr>
      <w:tblGrid>
        <w:gridCol w:w="1896"/>
        <w:gridCol w:w="1836"/>
        <w:gridCol w:w="1896"/>
        <w:gridCol w:w="1707"/>
      </w:tblGrid>
      <w:tr>
        <w:tc>
          <w:tcPr>
            <w:tcW w:w="1833" w:type="dxa"/>
          </w:tcPr>
          <w:p>
            <w:r>
              <w:t>4</w:t>
            </w:r>
          </w:p>
        </w:tc>
        <w:tc>
          <w:tcPr>
            <w:tcW w:w="1834" w:type="dxa"/>
          </w:tcPr>
          <w:p>
            <w:r>
              <w:t>5</w:t>
            </w:r>
          </w:p>
        </w:tc>
        <w:tc>
          <w:tcPr>
            <w:tcW w:w="1834" w:type="dxa"/>
          </w:tcPr>
          <w:p>
            <w:r>
              <w:t>6</w:t>
            </w:r>
          </w:p>
        </w:tc>
        <w:tc>
          <w:tcPr>
            <w:tcW w:w="1834" w:type="dxa"/>
          </w:tcPr>
          <w:p/>
        </w:tc>
      </w:tr>
      <w:tr>
        <w:tc>
          <w:tcPr>
            <w:tcW w:w="1833" w:type="dxa"/>
          </w:tcPr>
          <w:p>
            <w:r>
              <w:t>Tétraédrique</w:t>
            </w:r>
          </w:p>
        </w:tc>
        <w:tc>
          <w:tcPr>
            <w:tcW w:w="1834" w:type="dxa"/>
          </w:tcPr>
          <w:p>
            <w:r>
              <w:t>Bipyramide trigonale</w:t>
            </w:r>
          </w:p>
        </w:tc>
        <w:tc>
          <w:tcPr>
            <w:tcW w:w="1834" w:type="dxa"/>
          </w:tcPr>
          <w:p>
            <w:r>
              <w:t>Octaèdre</w:t>
            </w:r>
          </w:p>
        </w:tc>
        <w:tc>
          <w:tcPr>
            <w:tcW w:w="1834" w:type="dxa"/>
          </w:tcPr>
          <w:p/>
        </w:tc>
      </w:tr>
      <w:tr>
        <w:tc>
          <w:tcPr>
            <w:tcW w:w="1833" w:type="dxa"/>
          </w:tcPr>
          <w:p>
            <w:r>
              <w:rPr>
                <w:noProof/>
              </w:rPr>
              <w:drawing>
                <wp:inline distT="0" distB="0" distL="0" distR="0">
                  <wp:extent cx="1064966" cy="905608"/>
                  <wp:effectExtent l="0" t="0" r="1905"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727" cy="918160"/>
                          </a:xfrm>
                          <a:prstGeom prst="rect">
                            <a:avLst/>
                          </a:prstGeom>
                          <a:noFill/>
                          <a:ln>
                            <a:noFill/>
                          </a:ln>
                        </pic:spPr>
                      </pic:pic>
                    </a:graphicData>
                  </a:graphic>
                </wp:inline>
              </w:drawing>
            </w:r>
          </w:p>
        </w:tc>
        <w:tc>
          <w:tcPr>
            <w:tcW w:w="1834" w:type="dxa"/>
          </w:tcPr>
          <w:p>
            <w:r>
              <w:rPr>
                <w:noProof/>
              </w:rPr>
              <w:drawing>
                <wp:inline distT="0" distB="0" distL="0" distR="0">
                  <wp:extent cx="1028700" cy="865661"/>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4673" cy="887518"/>
                          </a:xfrm>
                          <a:prstGeom prst="rect">
                            <a:avLst/>
                          </a:prstGeom>
                          <a:noFill/>
                          <a:ln>
                            <a:noFill/>
                          </a:ln>
                        </pic:spPr>
                      </pic:pic>
                    </a:graphicData>
                  </a:graphic>
                </wp:inline>
              </w:drawing>
            </w:r>
          </w:p>
        </w:tc>
        <w:tc>
          <w:tcPr>
            <w:tcW w:w="1834" w:type="dxa"/>
          </w:tcPr>
          <w:p>
            <w:r>
              <w:rPr>
                <w:noProof/>
              </w:rPr>
              <w:drawing>
                <wp:inline distT="0" distB="0" distL="0" distR="0">
                  <wp:extent cx="1063869" cy="849153"/>
                  <wp:effectExtent l="0" t="0" r="3175"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4856" cy="857922"/>
                          </a:xfrm>
                          <a:prstGeom prst="rect">
                            <a:avLst/>
                          </a:prstGeom>
                          <a:noFill/>
                          <a:ln>
                            <a:noFill/>
                          </a:ln>
                        </pic:spPr>
                      </pic:pic>
                    </a:graphicData>
                  </a:graphic>
                </wp:inline>
              </w:drawing>
            </w:r>
          </w:p>
        </w:tc>
        <w:tc>
          <w:tcPr>
            <w:tcW w:w="1834" w:type="dxa"/>
          </w:tcPr>
          <w:p/>
        </w:tc>
      </w:tr>
    </w:tbl>
    <w:p>
      <w:pPr>
        <w:pStyle w:val="Titre2"/>
      </w:pPr>
      <w:r>
        <w:t>Hybridation des orbites atomiques</w:t>
      </w:r>
    </w:p>
    <w:p>
      <w:r>
        <w:t>Les électrons de valence permettent aux atomes de se lier entre eux. Leurs orbitals vont se combiner pour en former une nouvelle. On peut déduire qualitativement la forme que prendra la liaison dans l’espace en calculant une combinaison de fonctions d’onde d’orbitales atomiques.</w:t>
      </w:r>
    </w:p>
    <w:p>
      <w:r>
        <w:t>Changement d’hybridation</w:t>
      </w:r>
    </w:p>
    <w:p>
      <w:r>
        <w:t xml:space="preserve">Il existe un cas particulier où un atome change de structure VSEPR pour augmenter la stabilité de la molécule. Cela concerne les atomes </w:t>
      </w:r>
    </w:p>
    <w:p>
      <w:pPr>
        <w:pStyle w:val="Paragraphedeliste"/>
        <w:numPr>
          <w:ilvl w:val="0"/>
          <w:numId w:val="26"/>
        </w:numPr>
      </w:pPr>
      <w:r>
        <w:t>sp3</w:t>
      </w:r>
    </w:p>
    <w:p>
      <w:pPr>
        <w:pStyle w:val="Paragraphedeliste"/>
        <w:numPr>
          <w:ilvl w:val="0"/>
          <w:numId w:val="26"/>
        </w:numPr>
      </w:pPr>
      <w:r>
        <w:t>Qui possède un doublet non liant</w:t>
      </w:r>
    </w:p>
    <w:p>
      <w:r>
        <w:lastRenderedPageBreak/>
        <w:t>Et qui sont dans la situation suivante (</w:t>
      </w:r>
      <w:r>
        <w:rPr>
          <w:rFonts w:ascii="Cambria Math" w:hAnsi="Cambria Math" w:cs="Cambria Math"/>
        </w:rPr>
        <w:t>𝑛</w:t>
      </w:r>
      <w:r>
        <w:t xml:space="preserve"> </w:t>
      </w:r>
      <w:r>
        <w:rPr>
          <w:rFonts w:ascii="Cambria Math" w:hAnsi="Cambria Math" w:cs="Cambria Math"/>
        </w:rPr>
        <w:t>𝜎</w:t>
      </w:r>
      <w:r>
        <w:t xml:space="preserve"> </w:t>
      </w:r>
      <w:r>
        <w:rPr>
          <w:rFonts w:ascii="Cambria Math" w:hAnsi="Cambria Math" w:cs="Cambria Math"/>
        </w:rPr>
        <w:t>𝜋</w:t>
      </w:r>
      <w:r>
        <w:t>) c’est-à-dire liés à un atome par une liaison simple et l’atome est lui-même lié par une liaison double.</w:t>
      </w:r>
    </w:p>
    <w:p>
      <w:r>
        <w:t xml:space="preserve">L’atome passe alors de </w:t>
      </w:r>
      <m:oMath>
        <m:sSup>
          <m:sSupPr>
            <m:ctrlPr>
              <w:rPr>
                <w:rFonts w:ascii="Cambria Math" w:hAnsi="Cambria Math"/>
                <w:i/>
              </w:rPr>
            </m:ctrlPr>
          </m:sSupPr>
          <m:e>
            <m:r>
              <w:rPr>
                <w:rFonts w:ascii="Cambria Math" w:hAnsi="Cambria Math"/>
              </w:rPr>
              <m:t>sp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sp</m:t>
            </m:r>
          </m:e>
          <m:sup>
            <m:r>
              <w:rPr>
                <w:rFonts w:ascii="Cambria Math" w:hAnsi="Cambria Math"/>
              </w:rPr>
              <m:t>2</m:t>
            </m:r>
          </m:sup>
        </m:sSup>
      </m:oMath>
      <w:r>
        <w:rPr>
          <w:rFonts w:eastAsiaTheme="minorEastAsia"/>
        </w:rPr>
        <w:t xml:space="preserve"> et le doublet non liant se transforme en liaison de type </w:t>
      </w:r>
      <w:r>
        <w:rPr>
          <w:rFonts w:ascii="Cambria Math" w:hAnsi="Cambria Math" w:cs="Cambria Math"/>
        </w:rPr>
        <w:t xml:space="preserve">𝜋 </w:t>
      </w:r>
      <w:r>
        <w:t>sur la liaison simple.</w:t>
      </w:r>
      <w:r>
        <w:rPr>
          <w:rFonts w:ascii="Cambria Math" w:hAnsi="Cambria Math" w:cs="Cambria Math"/>
        </w:rPr>
        <w:t xml:space="preserve"> </w:t>
      </w:r>
    </w:p>
    <w:p>
      <w:pPr>
        <w:pStyle w:val="Titre3"/>
      </w:pPr>
      <w:r>
        <w:t>Délocalisation électronique</w:t>
      </w:r>
    </w:p>
    <w:p>
      <w:pPr>
        <w:rPr>
          <w:rFonts w:ascii="Cambria Math" w:hAnsi="Cambria Math" w:cs="Cambria Math"/>
        </w:rPr>
      </w:pPr>
      <w:r>
        <w:t xml:space="preserve">Dans certains cas, les électrons des liaisons </w:t>
      </w:r>
      <w:r>
        <w:rPr>
          <w:rFonts w:ascii="Cambria Math" w:hAnsi="Cambria Math" w:cs="Cambria Math"/>
        </w:rPr>
        <w:t>𝜋</w:t>
      </w:r>
      <w:r>
        <w:t xml:space="preserve"> peuvent se délocaliser sur un groupe d’atomes c’est-à-dire que les électrons se mettent à passer d’un atome à un autre. C’est le cas lorsqu’il y a un enchainement de liaisons sont </w:t>
      </w:r>
      <w:r>
        <w:rPr>
          <w:rFonts w:ascii="Cambria Math" w:hAnsi="Cambria Math" w:cs="Cambria Math"/>
        </w:rPr>
        <w:t>𝜋</w:t>
      </w:r>
      <w:r>
        <w:t xml:space="preserve"> </w:t>
      </w:r>
      <w:r>
        <w:rPr>
          <w:rFonts w:ascii="Cambria Math" w:hAnsi="Cambria Math" w:cs="Cambria Math"/>
        </w:rPr>
        <w:t>𝜎</w:t>
      </w:r>
      <w:r>
        <w:t xml:space="preserve"> </w:t>
      </w:r>
      <w:r>
        <w:rPr>
          <w:rFonts w:ascii="Cambria Math" w:hAnsi="Cambria Math" w:cs="Cambria Math"/>
        </w:rPr>
        <w:t>𝜋.</w:t>
      </w:r>
    </w:p>
    <w:p>
      <w:r>
        <w:rPr>
          <w:u w:val="single"/>
        </w:rPr>
        <w:t>Remarque :</w:t>
      </w:r>
      <w:r>
        <w:t xml:space="preserve"> les changements d’hybridation sont toujours concernés par cette situation.</w:t>
      </w:r>
    </w:p>
    <w:p>
      <w:r>
        <w:t>Mésomérie</w:t>
      </w:r>
    </w:p>
    <w:p>
      <w:r>
        <w:t>La mésomérie est la superposition des états électroniques de la molécule. On la représente par des tirés.</w:t>
      </w:r>
    </w:p>
    <w:p>
      <w:r>
        <w:t xml:space="preserve">Par exemple, </w:t>
      </w:r>
    </w:p>
    <w:tbl>
      <w:tblPr>
        <w:tblStyle w:val="Grilledetableauclaire"/>
        <w:tblW w:w="0" w:type="auto"/>
        <w:tblLook w:val="04A0" w:firstRow="1" w:lastRow="0" w:firstColumn="1" w:lastColumn="0" w:noHBand="0" w:noVBand="1"/>
      </w:tblPr>
      <w:tblGrid>
        <w:gridCol w:w="2830"/>
        <w:gridCol w:w="45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
              <w:rPr>
                <w:noProof/>
              </w:rPr>
              <w:drawing>
                <wp:inline distT="0" distB="0" distL="0" distR="0">
                  <wp:extent cx="909754" cy="677008"/>
                  <wp:effectExtent l="0" t="0" r="508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5797" cy="688946"/>
                          </a:xfrm>
                          <a:prstGeom prst="rect">
                            <a:avLst/>
                          </a:prstGeom>
                          <a:noFill/>
                          <a:ln>
                            <a:noFill/>
                          </a:ln>
                        </pic:spPr>
                      </pic:pic>
                    </a:graphicData>
                  </a:graphic>
                </wp:inline>
              </w:drawing>
            </w:r>
          </w:p>
        </w:tc>
        <w:tc>
          <w:tcPr>
            <w:tcW w:w="4505"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969477" cy="668838"/>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7670" cy="681808"/>
                          </a:xfrm>
                          <a:prstGeom prst="rect">
                            <a:avLst/>
                          </a:prstGeom>
                          <a:noFill/>
                          <a:ln>
                            <a:noFill/>
                          </a:ln>
                        </pic:spPr>
                      </pic:pic>
                    </a:graphicData>
                  </a:graphic>
                </wp:inline>
              </w:drawing>
            </w:r>
          </w:p>
        </w:tc>
      </w:tr>
    </w:tbl>
    <w:p>
      <w:r>
        <w:t>Quelques exemples plus complexes de mésomères :</w:t>
      </w:r>
    </w:p>
    <w:tbl>
      <w:tblPr>
        <w:tblStyle w:val="Grilledetableauclaire"/>
        <w:tblW w:w="0" w:type="auto"/>
        <w:tblLook w:val="04A0" w:firstRow="1" w:lastRow="0" w:firstColumn="1" w:lastColumn="0" w:noHBand="0" w:noVBand="1"/>
      </w:tblPr>
      <w:tblGrid>
        <w:gridCol w:w="3705"/>
        <w:gridCol w:w="3630"/>
      </w:tblGrid>
      <w:tr>
        <w:trPr>
          <w:cnfStyle w:val="100000000000" w:firstRow="1" w:lastRow="0" w:firstColumn="0" w:lastColumn="0" w:oddVBand="0" w:evenVBand="0" w:oddHBand="0" w:evenHBand="0" w:firstRowFirstColumn="0" w:firstRowLastColumn="0" w:lastRowFirstColumn="0" w:lastRowLastColumn="0"/>
          <w:trHeight w:val="2842"/>
        </w:trP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215662" cy="1608283"/>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1872" cy="1612790"/>
                          </a:xfrm>
                          <a:prstGeom prst="rect">
                            <a:avLst/>
                          </a:prstGeom>
                          <a:noFill/>
                          <a:ln>
                            <a:noFill/>
                          </a:ln>
                        </pic:spPr>
                      </pic:pic>
                    </a:graphicData>
                  </a:graphic>
                </wp:inline>
              </w:drawing>
            </w:r>
          </w:p>
        </w:tc>
        <w:tc>
          <w:tcPr>
            <w:tcW w:w="366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2144162" cy="810537"/>
                  <wp:effectExtent l="0" t="0" r="8890"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9826" cy="827799"/>
                          </a:xfrm>
                          <a:prstGeom prst="rect">
                            <a:avLst/>
                          </a:prstGeom>
                          <a:noFill/>
                          <a:ln>
                            <a:noFill/>
                          </a:ln>
                        </pic:spPr>
                      </pic:pic>
                    </a:graphicData>
                  </a:graphic>
                </wp:inline>
              </w:drawing>
            </w:r>
          </w:p>
        </w:tc>
      </w:tr>
    </w:tbl>
    <w:p>
      <w:r>
        <w:t>Il existe une catégorie mésomère appelés aromatiques. Ceux sont des molécules qui possèdent une partie qui respecte les propriétés suivantes :</w:t>
      </w:r>
    </w:p>
    <w:p>
      <w:pPr>
        <w:pStyle w:val="Paragraphedeliste"/>
        <w:numPr>
          <w:ilvl w:val="0"/>
          <w:numId w:val="25"/>
        </w:numPr>
      </w:pPr>
      <w:r>
        <w:t>Molécule cyclique (i.e. toutes les molécules dans le plan (</w:t>
      </w:r>
      <m:oMath>
        <m:sSup>
          <m:sSupPr>
            <m:ctrlPr>
              <w:rPr>
                <w:rFonts w:ascii="Cambria Math" w:hAnsi="Cambria Math"/>
                <w:i/>
              </w:rPr>
            </m:ctrlPr>
          </m:sSupPr>
          <m:e>
            <m:r>
              <w:rPr>
                <w:rFonts w:ascii="Cambria Math" w:hAnsi="Cambria Math"/>
              </w:rPr>
              <m:t>sp</m:t>
            </m:r>
          </m:e>
          <m:sup>
            <m:r>
              <w:rPr>
                <w:rFonts w:ascii="Cambria Math" w:hAnsi="Cambria Math"/>
              </w:rPr>
              <m:t>2</m:t>
            </m:r>
          </m:sup>
        </m:sSup>
      </m:oMath>
      <w:r>
        <w:t>)</w:t>
      </w:r>
    </w:p>
    <w:p>
      <w:pPr>
        <w:pStyle w:val="Paragraphedeliste"/>
        <w:numPr>
          <w:ilvl w:val="0"/>
          <w:numId w:val="25"/>
        </w:numPr>
      </w:pPr>
      <w:r>
        <w:t>(Règle de Huckel) Il existe un N tel que le nombre d’électrons conjugués = 4N+2 (par exemple : 6 = 4xN+2)</w:t>
      </w:r>
    </w:p>
    <w:p>
      <w:pPr>
        <w:pStyle w:val="Titre3"/>
      </w:pPr>
      <w:r>
        <w:t>Les moments dipolaires (force)</w:t>
      </w:r>
    </w:p>
    <w:p>
      <w:r>
        <w:t>À cause des différences d’électronégativité entre les atomes, les électrons ne se répartissent pas équitablement dans les liaisons. Les atomes très électronégatifs auront tendance attirer et à garder les électrons proches. Cette différence provoque des pôles de charge entre les atomes. On considère qu’elle n’est pas négligeable lorsque la différence d’électronégativité entre les deux atomes est supérieure à 0,5.</w:t>
      </w:r>
    </w:p>
    <w:p>
      <w:r>
        <w:t xml:space="preserve">Cette différence de charge se propage aux atomes voisins (jusqu’à 4). Cette propagation s’appelle l’effet inductif. </w:t>
      </w:r>
      <w:r>
        <w:rPr>
          <w:rFonts w:eastAsiaTheme="minorEastAsia"/>
        </w:rPr>
        <w:t>On dit que l’effet inductif est attracteur (par opposition à l’effet donneur) lorsque le groupement est plus électronégatif que le carbone.</w:t>
      </w:r>
    </w:p>
    <w:p>
      <w:pPr>
        <w:rPr>
          <w:rFonts w:eastAsiaTheme="minorEastAsia"/>
        </w:rPr>
      </w:pPr>
      <w:r>
        <w:t xml:space="preserve">On note la charge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ou </w:t>
      </w:r>
      <w:r>
        <w:t xml:space="preserv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 </w:t>
      </w:r>
    </w:p>
    <w:p>
      <w:pPr>
        <w:rPr>
          <w:rFonts w:eastAsiaTheme="minorEastAsia"/>
          <w:u w:val="single"/>
        </w:rPr>
      </w:pPr>
      <w:r>
        <w:rPr>
          <w:rFonts w:eastAsiaTheme="minorEastAsia"/>
        </w:rPr>
        <w:t>La somme des moments est équivalent à une force que l’on représente par une flèche orientée vers de la partie chargée négativement vers celle chargée positivement.</w:t>
      </w:r>
    </w:p>
    <w:p>
      <w:pPr>
        <w:rPr>
          <w:rFonts w:eastAsiaTheme="minorEastAsia"/>
        </w:rPr>
      </w:pPr>
      <w:r>
        <w:rPr>
          <w:rFonts w:eastAsiaTheme="minorEastAsia"/>
          <w:u w:val="single"/>
        </w:rPr>
        <w:lastRenderedPageBreak/>
        <w:t>Remarque :</w:t>
      </w:r>
      <w:r>
        <w:rPr>
          <w:rFonts w:eastAsiaTheme="minorEastAsia"/>
        </w:rPr>
        <w:t xml:space="preserve"> Les dipôles sont à l’origine des liaisons d’hydrogènes.</w:t>
      </w:r>
    </w:p>
    <w:p>
      <w:pPr>
        <w:pStyle w:val="Titre3"/>
      </w:pPr>
      <w:r>
        <w:t>Acide et base</w:t>
      </w:r>
    </w:p>
    <w:p>
      <w:r>
        <w:t>Un acide est une molécule qui capable de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De Lewis</w:t>
            </w:r>
          </w:p>
        </w:tc>
        <w:tc>
          <w:tcPr>
            <w:tcW w:w="3668" w:type="dxa"/>
          </w:tcPr>
          <w:p>
            <w:r>
              <w:t>De Brönsted</w:t>
            </w:r>
          </w:p>
        </w:tc>
      </w:tr>
      <w:tr>
        <w:tc>
          <w:tcPr>
            <w:tcW w:w="3667" w:type="dxa"/>
          </w:tcPr>
          <w:p>
            <w:r>
              <w:t>Tendance à céder un proton.</w:t>
            </w:r>
          </w:p>
        </w:tc>
        <w:tc>
          <w:tcPr>
            <w:tcW w:w="3668" w:type="dxa"/>
          </w:tcPr>
          <w:p>
            <w:r>
              <w:t>Capter un capter des électrons.</w:t>
            </w:r>
          </w:p>
        </w:tc>
      </w:tr>
    </w:tbl>
    <w:p>
      <w:r>
        <w:rPr>
          <w:u w:val="single"/>
        </w:rPr>
        <w:t>Remarque :</w:t>
      </w:r>
      <w:r>
        <w:t xml:space="preserve"> c’est deux définitions sont équivalentes.</w:t>
      </w:r>
    </w:p>
    <w:p>
      <w:r>
        <w:t>Une base est une molécules avec un doublet libre qui peut se lier à un proton (H</w:t>
      </w:r>
      <w:r>
        <w:rPr>
          <w:vertAlign w:val="superscript"/>
        </w:rPr>
        <w:t>+</w:t>
      </w:r>
      <w:r>
        <w:t>).</w:t>
      </w:r>
    </w:p>
    <w:p>
      <w:pPr>
        <w:pStyle w:val="Titre2"/>
      </w:pPr>
      <w:r>
        <w:t>Les interactions intermoléculaires</w:t>
      </w:r>
    </w:p>
    <w:p>
      <w:r>
        <w:t xml:space="preserve">Des forces contradictoires agissent simultanément entre les molécules : </w:t>
      </w:r>
    </w:p>
    <w:p>
      <w:pPr>
        <w:pStyle w:val="Paragraphedeliste"/>
        <w:numPr>
          <w:ilvl w:val="0"/>
          <w:numId w:val="28"/>
        </w:numPr>
      </w:pPr>
      <w:r>
        <w:t>de Pauli (orbitale)</w:t>
      </w:r>
      <w:r>
        <w:t xml:space="preserve"> : </w:t>
      </w:r>
      <w:r>
        <w:t>lorsque deux molécules se rapprochent, il apparaît une force répulsive liée au recouvrement de ces orbitales "pleines".</w:t>
      </w:r>
    </w:p>
    <w:p>
      <w:pPr>
        <w:pStyle w:val="Paragraphedeliste"/>
        <w:numPr>
          <w:ilvl w:val="0"/>
          <w:numId w:val="28"/>
        </w:numPr>
      </w:pPr>
      <w:r>
        <w:t>Électrostatique (charge)</w:t>
      </w:r>
      <w:r>
        <w:t xml:space="preserve"> </w:t>
      </w:r>
      <w:r>
        <w:t>Il y a attraction entre le nuage électronique d'une molécule et le noyau de l'autre molécule. Mais les noyaux des deux molécules se repoussent, tout comme les nuages électroniques.</w:t>
      </w:r>
      <w:r>
        <w:t xml:space="preserve"> </w:t>
      </w:r>
      <w:r>
        <w:t>Cela se traduit par une attraction à moyenne distance et une répulsion à courte distance.</w:t>
      </w:r>
    </w:p>
    <w:p>
      <w:pPr>
        <w:pStyle w:val="Titre1"/>
      </w:pPr>
      <w:r>
        <w:t>Nomenclature et stéréochimie</w:t>
      </w:r>
    </w:p>
    <w:p>
      <w:r>
        <w:t>On cherche la chaine carbonée qui porte :</w:t>
      </w:r>
    </w:p>
    <w:p>
      <w:pPr>
        <w:pStyle w:val="Paragraphedeliste"/>
        <w:numPr>
          <w:ilvl w:val="0"/>
          <w:numId w:val="23"/>
        </w:numPr>
      </w:pPr>
      <w:r>
        <w:t>Fonction prioritaire</w:t>
      </w:r>
    </w:p>
    <w:p>
      <w:r>
        <w:t>Puis la chaine carbonée qui maximise :</w:t>
      </w:r>
    </w:p>
    <w:p>
      <w:pPr>
        <w:pStyle w:val="Paragraphedeliste"/>
        <w:numPr>
          <w:ilvl w:val="0"/>
          <w:numId w:val="21"/>
        </w:numPr>
      </w:pPr>
      <w:r>
        <w:t>Le plus grand nombre d’insaturations</w:t>
      </w:r>
    </w:p>
    <w:p>
      <w:pPr>
        <w:pStyle w:val="Paragraphedeliste"/>
        <w:numPr>
          <w:ilvl w:val="0"/>
          <w:numId w:val="21"/>
        </w:numPr>
      </w:pPr>
      <w:r>
        <w:t>La plus longue en nombre de carbones</w:t>
      </w:r>
    </w:p>
    <w:p>
      <w:pPr>
        <w:pStyle w:val="Paragraphedeliste"/>
        <w:numPr>
          <w:ilvl w:val="0"/>
          <w:numId w:val="21"/>
        </w:numPr>
      </w:pPr>
      <w:r>
        <w:t>Le nombre de substituants</w:t>
      </w:r>
    </w:p>
    <w:p>
      <w:r>
        <w:t>La chaîne carbonée est soit un cycle soit une suite linéaire de carbones mais jamais les deux.</w:t>
      </w:r>
    </w:p>
    <w:p>
      <w:r>
        <w:t>La numérotation des substituants de la chaine principale se fait en minimisant la suite des numéros des positions.</w:t>
      </w:r>
    </w:p>
    <w:p>
      <w:r>
        <w:rPr>
          <w:u w:val="single"/>
        </w:rPr>
        <w:t>Remarque :</w:t>
      </w:r>
      <w:r>
        <w:t xml:space="preserve"> Il faut compter le carbone de la fonction dans la chaine principale.</w:t>
      </w:r>
    </w:p>
    <w:p>
      <w:pPr>
        <w:pStyle w:val="Titre3"/>
      </w:pPr>
      <w:r>
        <w:t>Nomenclature des hydrocarbures</w:t>
      </w:r>
    </w:p>
    <w:p>
      <w:r>
        <w:t>Type de chaîne carbonée</w:t>
      </w:r>
    </w:p>
    <w:tbl>
      <w:tblPr>
        <w:tblStyle w:val="Grilledetableauclaire"/>
        <w:tblW w:w="0" w:type="auto"/>
        <w:tblLook w:val="04A0" w:firstRow="1" w:lastRow="0" w:firstColumn="1" w:lastColumn="0" w:noHBand="0" w:noVBand="1"/>
      </w:tblPr>
      <w:tblGrid>
        <w:gridCol w:w="1838"/>
        <w:gridCol w:w="2835"/>
        <w:gridCol w:w="266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
              <w:t>Liaison de type</w:t>
            </w:r>
          </w:p>
        </w:tc>
        <w:tc>
          <w:tcPr>
            <w:tcW w:w="2835" w:type="dxa"/>
          </w:tcPr>
          <w:p>
            <w:pPr>
              <w:cnfStyle w:val="100000000000" w:firstRow="1" w:lastRow="0" w:firstColumn="0" w:lastColumn="0" w:oddVBand="0" w:evenVBand="0" w:oddHBand="0" w:evenHBand="0" w:firstRowFirstColumn="0" w:firstRowLastColumn="0" w:lastRowFirstColumn="0" w:lastRowLastColumn="0"/>
              <w:rPr>
                <w:b w:val="0"/>
              </w:rPr>
            </w:pPr>
            <w:r>
              <w:t>Substituant</w:t>
            </w:r>
          </w:p>
          <w:p>
            <w:pPr>
              <w:cnfStyle w:val="100000000000" w:firstRow="1" w:lastRow="0" w:firstColumn="0" w:lastColumn="0" w:oddVBand="0" w:evenVBand="0" w:oddHBand="0" w:evenHBand="0" w:firstRowFirstColumn="0" w:firstRowLastColumn="0" w:lastRowFirstColumn="0" w:lastRowLastColumn="0"/>
            </w:pPr>
            <w:r>
              <w:t>Ramification (préfixe)</w:t>
            </w:r>
          </w:p>
        </w:tc>
        <w:tc>
          <w:tcPr>
            <w:tcW w:w="2662" w:type="dxa"/>
          </w:tcPr>
          <w:p>
            <w:pPr>
              <w:cnfStyle w:val="100000000000" w:firstRow="1" w:lastRow="0" w:firstColumn="0" w:lastColumn="0" w:oddVBand="0" w:evenVBand="0" w:oddHBand="0" w:evenHBand="0" w:firstRowFirstColumn="0" w:firstRowLastColumn="0" w:lastRowFirstColumn="0" w:lastRowLastColumn="0"/>
              <w:rPr>
                <w:b w:val="0"/>
              </w:rPr>
            </w:pPr>
            <w:r>
              <w:t>Chaine principale</w:t>
            </w:r>
          </w:p>
          <w:p>
            <w:pPr>
              <w:cnfStyle w:val="100000000000" w:firstRow="1" w:lastRow="0" w:firstColumn="0" w:lastColumn="0" w:oddVBand="0" w:evenVBand="0" w:oddHBand="0" w:evenHBand="0" w:firstRowFirstColumn="0" w:firstRowLastColumn="0" w:lastRowFirstColumn="0" w:lastRowLastColumn="0"/>
            </w:pPr>
            <w:r>
              <w:t>(suffixe)</w:t>
            </w:r>
          </w:p>
        </w:tc>
      </w:tr>
      <w:tr>
        <w:tc>
          <w:tcPr>
            <w:cnfStyle w:val="001000000000" w:firstRow="0" w:lastRow="0" w:firstColumn="1" w:lastColumn="0" w:oddVBand="0" w:evenVBand="0" w:oddHBand="0" w:evenHBand="0" w:firstRowFirstColumn="0" w:firstRowLastColumn="0" w:lastRowFirstColumn="0" w:lastRowLastColumn="0"/>
            <w:tcW w:w="1838" w:type="dxa"/>
          </w:tcPr>
          <w:p>
            <w:r>
              <w:t>Simple</w:t>
            </w:r>
          </w:p>
        </w:tc>
        <w:tc>
          <w:tcPr>
            <w:tcW w:w="2835" w:type="dxa"/>
          </w:tcPr>
          <w:p>
            <w:pPr>
              <w:cnfStyle w:val="000000000000" w:firstRow="0" w:lastRow="0" w:firstColumn="0" w:lastColumn="0" w:oddVBand="0" w:evenVBand="0" w:oddHBand="0" w:evenHBand="0" w:firstRowFirstColumn="0" w:firstRowLastColumn="0" w:lastRowFirstColumn="0" w:lastRowLastColumn="0"/>
            </w:pPr>
            <w:r>
              <w:t>-yl</w:t>
            </w:r>
          </w:p>
        </w:tc>
        <w:tc>
          <w:tcPr>
            <w:tcW w:w="2662" w:type="dxa"/>
          </w:tcPr>
          <w:p>
            <w:pPr>
              <w:cnfStyle w:val="000000000000" w:firstRow="0" w:lastRow="0" w:firstColumn="0" w:lastColumn="0" w:oddVBand="0" w:evenVBand="0" w:oddHBand="0" w:evenHBand="0" w:firstRowFirstColumn="0" w:firstRowLastColumn="0" w:lastRowFirstColumn="0" w:lastRowLastColumn="0"/>
            </w:pPr>
            <w:r>
              <w:t>-ane</w:t>
            </w:r>
          </w:p>
        </w:tc>
      </w:tr>
      <w:tr>
        <w:tc>
          <w:tcPr>
            <w:cnfStyle w:val="001000000000" w:firstRow="0" w:lastRow="0" w:firstColumn="1" w:lastColumn="0" w:oddVBand="0" w:evenVBand="0" w:oddHBand="0" w:evenHBand="0" w:firstRowFirstColumn="0" w:firstRowLastColumn="0" w:lastRowFirstColumn="0" w:lastRowLastColumn="0"/>
            <w:tcW w:w="1838" w:type="dxa"/>
          </w:tcPr>
          <w:p>
            <w:r>
              <w:t>Double</w:t>
            </w:r>
          </w:p>
        </w:tc>
        <w:tc>
          <w:tcPr>
            <w:tcW w:w="2835" w:type="dxa"/>
          </w:tcPr>
          <w:p>
            <w:pPr>
              <w:cnfStyle w:val="000000000000" w:firstRow="0" w:lastRow="0" w:firstColumn="0" w:lastColumn="0" w:oddVBand="0" w:evenVBand="0" w:oddHBand="0" w:evenHBand="0" w:firstRowFirstColumn="0" w:firstRowLastColumn="0" w:lastRowFirstColumn="0" w:lastRowLastColumn="0"/>
            </w:pPr>
            <w:r>
              <w:t>-ényle</w:t>
            </w:r>
          </w:p>
        </w:tc>
        <w:tc>
          <w:tcPr>
            <w:tcW w:w="2662" w:type="dxa"/>
          </w:tcPr>
          <w:p>
            <w:pPr>
              <w:cnfStyle w:val="000000000000" w:firstRow="0" w:lastRow="0" w:firstColumn="0" w:lastColumn="0" w:oddVBand="0" w:evenVBand="0" w:oddHBand="0" w:evenHBand="0" w:firstRowFirstColumn="0" w:firstRowLastColumn="0" w:lastRowFirstColumn="0" w:lastRowLastColumn="0"/>
            </w:pPr>
            <w:r>
              <w:t>-ène</w:t>
            </w:r>
          </w:p>
        </w:tc>
      </w:tr>
      <w:tr>
        <w:tc>
          <w:tcPr>
            <w:cnfStyle w:val="001000000000" w:firstRow="0" w:lastRow="0" w:firstColumn="1" w:lastColumn="0" w:oddVBand="0" w:evenVBand="0" w:oddHBand="0" w:evenHBand="0" w:firstRowFirstColumn="0" w:firstRowLastColumn="0" w:lastRowFirstColumn="0" w:lastRowLastColumn="0"/>
            <w:tcW w:w="1838" w:type="dxa"/>
          </w:tcPr>
          <w:p>
            <w:r>
              <w:t>Triple</w:t>
            </w:r>
          </w:p>
        </w:tc>
        <w:tc>
          <w:tcPr>
            <w:tcW w:w="2835" w:type="dxa"/>
          </w:tcPr>
          <w:p>
            <w:pPr>
              <w:cnfStyle w:val="000000000000" w:firstRow="0" w:lastRow="0" w:firstColumn="0" w:lastColumn="0" w:oddVBand="0" w:evenVBand="0" w:oddHBand="0" w:evenHBand="0" w:firstRowFirstColumn="0" w:firstRowLastColumn="0" w:lastRowFirstColumn="0" w:lastRowLastColumn="0"/>
            </w:pPr>
            <w:r>
              <w:t>-ynyle</w:t>
            </w:r>
          </w:p>
        </w:tc>
        <w:tc>
          <w:tcPr>
            <w:tcW w:w="2662" w:type="dxa"/>
          </w:tcPr>
          <w:p>
            <w:pPr>
              <w:cnfStyle w:val="000000000000" w:firstRow="0" w:lastRow="0" w:firstColumn="0" w:lastColumn="0" w:oddVBand="0" w:evenVBand="0" w:oddHBand="0" w:evenHBand="0" w:firstRowFirstColumn="0" w:firstRowLastColumn="0" w:lastRowFirstColumn="0" w:lastRowLastColumn="0"/>
            </w:pPr>
            <w:r>
              <w:t>-yne</w:t>
            </w:r>
          </w:p>
        </w:tc>
      </w:tr>
    </w:tbl>
    <w:p>
      <w:r>
        <w:t>Remarque : on parle d’hydrocarbure insaturé lorsqu’il y a carbone avec une double ou triple liaison.</w:t>
      </w:r>
    </w:p>
    <w:p>
      <w:r>
        <w:t xml:space="preserve"> Pour les cycles, on écrit : cyclo-</w:t>
      </w:r>
    </w:p>
    <w:p>
      <w:pPr>
        <w:pStyle w:val="Titre3"/>
      </w:pPr>
      <w:r>
        <w:t>Préfixes multiplicatifs</w:t>
      </w:r>
    </w:p>
    <w:p>
      <w:r>
        <w:t>Lorsqu’il y a plusieurs groupements du même type on utilise un préfixe multiplicatif.</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2 (di-)</w:t>
            </w:r>
          </w:p>
        </w:tc>
        <w:tc>
          <w:tcPr>
            <w:tcW w:w="2445" w:type="dxa"/>
          </w:tcPr>
          <w:p>
            <w:r>
              <w:t>3 (tri-)</w:t>
            </w:r>
          </w:p>
        </w:tc>
        <w:tc>
          <w:tcPr>
            <w:tcW w:w="2445" w:type="dxa"/>
          </w:tcPr>
          <w:p>
            <w:r>
              <w:t>4 (tétra-)</w:t>
            </w:r>
          </w:p>
        </w:tc>
      </w:tr>
    </w:tbl>
    <w:p>
      <w:pPr>
        <w:rPr>
          <w:i/>
          <w:iCs/>
        </w:rPr>
      </w:pPr>
      <w:r>
        <w:rPr>
          <w:i/>
          <w:iCs/>
        </w:rPr>
        <w:t>Exemple : 2,3 diméthyl = en position 2 et 3 il y a un groupement méthyl.</w:t>
      </w:r>
    </w:p>
    <w:p>
      <w:pPr>
        <w:pStyle w:val="Titre3"/>
      </w:pPr>
      <w:r>
        <w:t>Nombre d’atomes de carbone</w:t>
      </w: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1 Méth-</w:t>
            </w:r>
          </w:p>
        </w:tc>
        <w:tc>
          <w:tcPr>
            <w:tcW w:w="1467" w:type="dxa"/>
          </w:tcPr>
          <w:p>
            <w:r>
              <w:t>2 Éth-</w:t>
            </w:r>
          </w:p>
        </w:tc>
        <w:tc>
          <w:tcPr>
            <w:tcW w:w="1467" w:type="dxa"/>
          </w:tcPr>
          <w:p>
            <w:r>
              <w:t>3 Pro-</w:t>
            </w:r>
          </w:p>
        </w:tc>
        <w:tc>
          <w:tcPr>
            <w:tcW w:w="1467" w:type="dxa"/>
          </w:tcPr>
          <w:p>
            <w:r>
              <w:t>4 But-</w:t>
            </w:r>
          </w:p>
        </w:tc>
        <w:tc>
          <w:tcPr>
            <w:tcW w:w="1467" w:type="dxa"/>
          </w:tcPr>
          <w:p>
            <w:r>
              <w:t>5 Pent-</w:t>
            </w:r>
          </w:p>
        </w:tc>
      </w:tr>
    </w:tbl>
    <w:p>
      <w:pPr>
        <w:pStyle w:val="Sansinterligne"/>
      </w:pP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6 Hex-</w:t>
            </w:r>
          </w:p>
        </w:tc>
        <w:tc>
          <w:tcPr>
            <w:tcW w:w="1467" w:type="dxa"/>
          </w:tcPr>
          <w:p>
            <w:r>
              <w:t>7 Hept-</w:t>
            </w:r>
          </w:p>
        </w:tc>
        <w:tc>
          <w:tcPr>
            <w:tcW w:w="1467" w:type="dxa"/>
          </w:tcPr>
          <w:p>
            <w:r>
              <w:t>8 Oct-</w:t>
            </w:r>
          </w:p>
        </w:tc>
        <w:tc>
          <w:tcPr>
            <w:tcW w:w="1467" w:type="dxa"/>
          </w:tcPr>
          <w:p>
            <w:r>
              <w:t>9 Non-</w:t>
            </w:r>
          </w:p>
        </w:tc>
        <w:tc>
          <w:tcPr>
            <w:tcW w:w="1467" w:type="dxa"/>
          </w:tcPr>
          <w:p>
            <w:r>
              <w:t>10 Dec-</w:t>
            </w:r>
          </w:p>
        </w:tc>
      </w:tr>
    </w:tbl>
    <w:p>
      <w:pPr>
        <w:pStyle w:val="Titre3"/>
      </w:pPr>
      <w:r>
        <w:lastRenderedPageBreak/>
        <w:t xml:space="preserve">Cycles insaturés à connaitre </w:t>
      </w:r>
    </w:p>
    <w:p>
      <w:r>
        <w:rPr>
          <w:noProof/>
        </w:rPr>
        <w:drawing>
          <wp:inline distT="0" distB="0" distL="0" distR="0">
            <wp:extent cx="4146698" cy="200777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5152" cy="2011867"/>
                    </a:xfrm>
                    <a:prstGeom prst="rect">
                      <a:avLst/>
                    </a:prstGeom>
                    <a:noFill/>
                    <a:ln>
                      <a:noFill/>
                    </a:ln>
                  </pic:spPr>
                </pic:pic>
              </a:graphicData>
            </a:graphic>
          </wp:inline>
        </w:drawing>
      </w:r>
    </w:p>
    <w:p>
      <w:pPr>
        <w:pStyle w:val="Titre3"/>
      </w:pPr>
      <w:r>
        <w:t>Substituants insaturés à connaitre (5)</w:t>
      </w:r>
    </w:p>
    <w:tbl>
      <w:tblPr>
        <w:tblStyle w:val="Grilledetableauclaire"/>
        <w:tblW w:w="5000" w:type="pct"/>
        <w:tblLook w:val="04A0" w:firstRow="1" w:lastRow="0" w:firstColumn="1" w:lastColumn="0" w:noHBand="0" w:noVBand="1"/>
      </w:tblPr>
      <w:tblGrid>
        <w:gridCol w:w="1809"/>
        <w:gridCol w:w="1809"/>
        <w:gridCol w:w="1908"/>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
              <w:t>Radical</w:t>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698740" cy="349551"/>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5463" cy="367922"/>
                          </a:xfrm>
                          <a:prstGeom prst="rect">
                            <a:avLst/>
                          </a:prstGeom>
                          <a:noFill/>
                          <a:ln>
                            <a:noFill/>
                          </a:ln>
                        </pic:spPr>
                      </pic:pic>
                    </a:graphicData>
                  </a:graphic>
                </wp:inline>
              </w:drawing>
            </w:r>
          </w:p>
        </w:tc>
        <w:tc>
          <w:tcPr>
            <w:tcW w:w="190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845389" cy="321559"/>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708" cy="352110"/>
                          </a:xfrm>
                          <a:prstGeom prst="rect">
                            <a:avLst/>
                          </a:prstGeom>
                          <a:noFill/>
                          <a:ln>
                            <a:noFill/>
                          </a:ln>
                        </pic:spPr>
                      </pic:pic>
                    </a:graphicData>
                  </a:graphic>
                </wp:inline>
              </w:drawing>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492370" cy="417117"/>
                  <wp:effectExtent l="0" t="0" r="3175"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77" cy="449569"/>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809" w:type="dxa"/>
          </w:tcPr>
          <w:p>
            <w:r>
              <w:t>Noms (symbole)</w:t>
            </w:r>
          </w:p>
        </w:tc>
        <w:tc>
          <w:tcPr>
            <w:tcW w:w="1809" w:type="dxa"/>
          </w:tcPr>
          <w:p>
            <w:pPr>
              <w:cnfStyle w:val="000000000000" w:firstRow="0" w:lastRow="0" w:firstColumn="0" w:lastColumn="0" w:oddVBand="0" w:evenVBand="0" w:oddHBand="0" w:evenHBand="0" w:firstRowFirstColumn="0" w:firstRowLastColumn="0" w:lastRowFirstColumn="0" w:lastRowLastColumn="0"/>
            </w:pPr>
            <w:r>
              <w:t>Vinyl</w:t>
            </w:r>
          </w:p>
        </w:tc>
        <w:tc>
          <w:tcPr>
            <w:tcW w:w="1908" w:type="dxa"/>
          </w:tcPr>
          <w:p>
            <w:pPr>
              <w:cnfStyle w:val="000000000000" w:firstRow="0" w:lastRow="0" w:firstColumn="0" w:lastColumn="0" w:oddVBand="0" w:evenVBand="0" w:oddHBand="0" w:evenHBand="0" w:firstRowFirstColumn="0" w:firstRowLastColumn="0" w:lastRowFirstColumn="0" w:lastRowLastColumn="0"/>
            </w:pPr>
            <w:r>
              <w:t>Allyl</w:t>
            </w:r>
          </w:p>
        </w:tc>
        <w:tc>
          <w:tcPr>
            <w:tcW w:w="1809" w:type="dxa"/>
          </w:tcPr>
          <w:p>
            <w:pPr>
              <w:cnfStyle w:val="000000000000" w:firstRow="0" w:lastRow="0" w:firstColumn="0" w:lastColumn="0" w:oddVBand="0" w:evenVBand="0" w:oddHBand="0" w:evenHBand="0" w:firstRowFirstColumn="0" w:firstRowLastColumn="0" w:lastRowFirstColumn="0" w:lastRowLastColumn="0"/>
            </w:pPr>
            <w:r>
              <w:t>Phényl (ph)</w:t>
            </w:r>
          </w:p>
        </w:tc>
      </w:tr>
    </w:tbl>
    <w:p>
      <w:pPr>
        <w:pStyle w:val="Sansinterligne"/>
      </w:pPr>
    </w:p>
    <w:tbl>
      <w:tblPr>
        <w:tblStyle w:val="Grilledetableauclaire"/>
        <w:tblW w:w="5000" w:type="pct"/>
        <w:tblLook w:val="04A0" w:firstRow="1" w:lastRow="0" w:firstColumn="1" w:lastColumn="0" w:noHBand="0" w:noVBand="1"/>
      </w:tblPr>
      <w:tblGrid>
        <w:gridCol w:w="1679"/>
        <w:gridCol w:w="2067"/>
        <w:gridCol w:w="1910"/>
        <w:gridCol w:w="167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r>
              <w:t>Radical</w:t>
            </w:r>
          </w:p>
        </w:tc>
        <w:tc>
          <w:tcPr>
            <w:tcW w:w="2067"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005634" cy="577970"/>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0847" cy="586714"/>
                          </a:xfrm>
                          <a:prstGeom prst="rect">
                            <a:avLst/>
                          </a:prstGeom>
                          <a:noFill/>
                          <a:ln>
                            <a:noFill/>
                          </a:ln>
                        </pic:spPr>
                      </pic:pic>
                    </a:graphicData>
                  </a:graphic>
                </wp:inline>
              </w:drawing>
            </w:r>
          </w:p>
        </w:tc>
        <w:tc>
          <w:tcPr>
            <w:tcW w:w="1910"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923027" cy="487310"/>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2035" cy="497345"/>
                          </a:xfrm>
                          <a:prstGeom prst="rect">
                            <a:avLst/>
                          </a:prstGeom>
                          <a:noFill/>
                          <a:ln>
                            <a:noFill/>
                          </a:ln>
                        </pic:spPr>
                      </pic:pic>
                    </a:graphicData>
                  </a:graphic>
                </wp:inline>
              </w:drawing>
            </w:r>
          </w:p>
        </w:tc>
        <w:tc>
          <w:tcPr>
            <w:tcW w:w="1679"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79" w:type="dxa"/>
          </w:tcPr>
          <w:p>
            <w:r>
              <w:t>Noms</w:t>
            </w:r>
          </w:p>
        </w:tc>
        <w:tc>
          <w:tcPr>
            <w:tcW w:w="2067" w:type="dxa"/>
          </w:tcPr>
          <w:p>
            <w:pPr>
              <w:cnfStyle w:val="000000000000" w:firstRow="0" w:lastRow="0" w:firstColumn="0" w:lastColumn="0" w:oddVBand="0" w:evenVBand="0" w:oddHBand="0" w:evenHBand="0" w:firstRowFirstColumn="0" w:firstRowLastColumn="0" w:lastRowFirstColumn="0" w:lastRowLastColumn="0"/>
            </w:pPr>
            <w:r>
              <w:t>Tolyl (tol)</w:t>
            </w:r>
          </w:p>
        </w:tc>
        <w:tc>
          <w:tcPr>
            <w:tcW w:w="1910" w:type="dxa"/>
          </w:tcPr>
          <w:p>
            <w:pPr>
              <w:cnfStyle w:val="000000000000" w:firstRow="0" w:lastRow="0" w:firstColumn="0" w:lastColumn="0" w:oddVBand="0" w:evenVBand="0" w:oddHBand="0" w:evenHBand="0" w:firstRowFirstColumn="0" w:firstRowLastColumn="0" w:lastRowFirstColumn="0" w:lastRowLastColumn="0"/>
            </w:pPr>
            <w:r>
              <w:t>Benzyl (bn)</w:t>
            </w:r>
          </w:p>
        </w:tc>
        <w:tc>
          <w:tcPr>
            <w:tcW w:w="1679" w:type="dxa"/>
          </w:tcPr>
          <w:p>
            <w:pPr>
              <w:cnfStyle w:val="000000000000" w:firstRow="0" w:lastRow="0" w:firstColumn="0" w:lastColumn="0" w:oddVBand="0" w:evenVBand="0" w:oddHBand="0" w:evenHBand="0" w:firstRowFirstColumn="0" w:firstRowLastColumn="0" w:lastRowFirstColumn="0" w:lastRowLastColumn="0"/>
            </w:pPr>
          </w:p>
        </w:tc>
      </w:tr>
    </w:tbl>
    <w:p>
      <w:pPr>
        <w:pStyle w:val="Titre2"/>
      </w:pPr>
      <w:r>
        <w:t xml:space="preserve"> Fonction à connaitre de la plus prioritaire à la moins</w:t>
      </w:r>
    </w:p>
    <w:tbl>
      <w:tblPr>
        <w:tblStyle w:val="Grilledetableauclaire"/>
        <w:tblW w:w="5000" w:type="pct"/>
        <w:tblLook w:val="0420" w:firstRow="1" w:lastRow="0" w:firstColumn="0" w:lastColumn="0" w:noHBand="0" w:noVBand="1"/>
      </w:tblPr>
      <w:tblGrid>
        <w:gridCol w:w="1513"/>
        <w:gridCol w:w="2678"/>
        <w:gridCol w:w="1704"/>
        <w:gridCol w:w="1440"/>
      </w:tblGrid>
      <w:tr>
        <w:trPr>
          <w:cnfStyle w:val="100000000000" w:firstRow="1" w:lastRow="0" w:firstColumn="0" w:lastColumn="0" w:oddVBand="0" w:evenVBand="0" w:oddHBand="0" w:evenHBand="0" w:firstRowFirstColumn="0" w:firstRowLastColumn="0" w:lastRowFirstColumn="0" w:lastRowLastColumn="0"/>
          <w:trHeight w:val="257"/>
        </w:trPr>
        <w:tc>
          <w:tcPr>
            <w:tcW w:w="1513" w:type="dxa"/>
          </w:tcPr>
          <w:p>
            <w:pPr>
              <w:rPr>
                <w:b w:val="0"/>
                <w:bCs/>
                <w:sz w:val="20"/>
                <w:szCs w:val="20"/>
              </w:rPr>
            </w:pPr>
            <w:r>
              <w:rPr>
                <w:bCs/>
                <w:sz w:val="20"/>
                <w:szCs w:val="20"/>
              </w:rPr>
              <w:t>Fonction</w:t>
            </w:r>
          </w:p>
        </w:tc>
        <w:tc>
          <w:tcPr>
            <w:tcW w:w="2678" w:type="dxa"/>
          </w:tcPr>
          <w:p>
            <w:pPr>
              <w:rPr>
                <w:b w:val="0"/>
                <w:bCs/>
                <w:sz w:val="20"/>
                <w:szCs w:val="20"/>
              </w:rPr>
            </w:pPr>
            <w:r>
              <w:rPr>
                <w:bCs/>
                <w:sz w:val="20"/>
                <w:szCs w:val="20"/>
              </w:rPr>
              <w:t>Formule</w:t>
            </w:r>
          </w:p>
        </w:tc>
        <w:tc>
          <w:tcPr>
            <w:tcW w:w="1704" w:type="dxa"/>
          </w:tcPr>
          <w:p>
            <w:pPr>
              <w:rPr>
                <w:b w:val="0"/>
                <w:bCs/>
                <w:sz w:val="20"/>
                <w:szCs w:val="20"/>
              </w:rPr>
            </w:pPr>
            <w:r>
              <w:rPr>
                <w:bCs/>
                <w:sz w:val="20"/>
                <w:szCs w:val="20"/>
              </w:rPr>
              <w:t>Préfixe</w:t>
            </w:r>
          </w:p>
        </w:tc>
        <w:tc>
          <w:tcPr>
            <w:tcW w:w="1440" w:type="dxa"/>
          </w:tcPr>
          <w:p>
            <w:pPr>
              <w:rPr>
                <w:b w:val="0"/>
                <w:bCs/>
                <w:sz w:val="20"/>
                <w:szCs w:val="20"/>
              </w:rPr>
            </w:pPr>
            <w:r>
              <w:rPr>
                <w:bCs/>
                <w:sz w:val="20"/>
                <w:szCs w:val="20"/>
              </w:rPr>
              <w:t>Suffixe</w:t>
            </w:r>
          </w:p>
        </w:tc>
      </w:tr>
      <w:tr>
        <w:tc>
          <w:tcPr>
            <w:tcW w:w="1513" w:type="dxa"/>
          </w:tcPr>
          <w:p>
            <w:pPr>
              <w:rPr>
                <w:sz w:val="20"/>
                <w:szCs w:val="20"/>
              </w:rPr>
            </w:pPr>
            <w:r>
              <w:rPr>
                <w:sz w:val="20"/>
                <w:szCs w:val="20"/>
              </w:rPr>
              <w:t>Acide carboxylique</w:t>
            </w:r>
          </w:p>
        </w:tc>
        <w:tc>
          <w:tcPr>
            <w:tcW w:w="2678" w:type="dxa"/>
          </w:tcPr>
          <w:p>
            <w:pPr>
              <w:rPr>
                <w:sz w:val="20"/>
                <w:szCs w:val="20"/>
              </w:rPr>
            </w:pPr>
            <w:r>
              <w:rPr>
                <w:noProof/>
                <w:sz w:val="20"/>
                <w:szCs w:val="20"/>
              </w:rPr>
              <w:drawing>
                <wp:inline distT="0" distB="0" distL="0" distR="0">
                  <wp:extent cx="819150" cy="46111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6172" cy="465064"/>
                          </a:xfrm>
                          <a:prstGeom prst="rect">
                            <a:avLst/>
                          </a:prstGeom>
                          <a:noFill/>
                          <a:ln>
                            <a:noFill/>
                          </a:ln>
                        </pic:spPr>
                      </pic:pic>
                    </a:graphicData>
                  </a:graphic>
                </wp:inline>
              </w:drawing>
            </w:r>
          </w:p>
        </w:tc>
        <w:tc>
          <w:tcPr>
            <w:tcW w:w="1704" w:type="dxa"/>
          </w:tcPr>
          <w:p>
            <w:pPr>
              <w:rPr>
                <w:sz w:val="20"/>
                <w:szCs w:val="20"/>
              </w:rPr>
            </w:pPr>
            <w:r>
              <w:rPr>
                <w:sz w:val="20"/>
                <w:szCs w:val="20"/>
              </w:rPr>
              <w:t>Carboxy</w:t>
            </w:r>
          </w:p>
        </w:tc>
        <w:tc>
          <w:tcPr>
            <w:tcW w:w="1440" w:type="dxa"/>
          </w:tcPr>
          <w:p>
            <w:pPr>
              <w:rPr>
                <w:sz w:val="20"/>
                <w:szCs w:val="20"/>
              </w:rPr>
            </w:pPr>
            <w:r>
              <w:rPr>
                <w:sz w:val="20"/>
                <w:szCs w:val="20"/>
              </w:rPr>
              <w:t>Acide…oïque*</w:t>
            </w:r>
          </w:p>
          <w:p>
            <w:pPr>
              <w:rPr>
                <w:sz w:val="20"/>
                <w:szCs w:val="20"/>
              </w:rPr>
            </w:pPr>
            <w:r>
              <w:rPr>
                <w:sz w:val="20"/>
                <w:szCs w:val="20"/>
              </w:rPr>
              <w:t>(Acide …carboxylique)</w:t>
            </w:r>
          </w:p>
        </w:tc>
      </w:tr>
      <w:tr>
        <w:tc>
          <w:tcPr>
            <w:tcW w:w="1513" w:type="dxa"/>
          </w:tcPr>
          <w:p>
            <w:pPr>
              <w:rPr>
                <w:sz w:val="20"/>
                <w:szCs w:val="20"/>
              </w:rPr>
            </w:pPr>
            <w:r>
              <w:rPr>
                <w:sz w:val="20"/>
                <w:szCs w:val="20"/>
              </w:rPr>
              <w:t>Anhydrides d’acides</w:t>
            </w:r>
          </w:p>
        </w:tc>
        <w:tc>
          <w:tcPr>
            <w:tcW w:w="2678" w:type="dxa"/>
          </w:tcPr>
          <w:p>
            <w:pPr>
              <w:rPr>
                <w:sz w:val="20"/>
                <w:szCs w:val="20"/>
              </w:rPr>
            </w:pPr>
            <w:r>
              <w:rPr>
                <w:noProof/>
                <w:sz w:val="20"/>
                <w:szCs w:val="20"/>
              </w:rPr>
              <w:drawing>
                <wp:inline distT="0" distB="0" distL="0" distR="0">
                  <wp:extent cx="811866" cy="428625"/>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7397" cy="431545"/>
                          </a:xfrm>
                          <a:prstGeom prst="rect">
                            <a:avLst/>
                          </a:prstGeom>
                          <a:noFill/>
                          <a:ln>
                            <a:noFill/>
                          </a:ln>
                        </pic:spPr>
                      </pic:pic>
                    </a:graphicData>
                  </a:graphic>
                </wp:inline>
              </w:drawing>
            </w:r>
          </w:p>
        </w:tc>
        <w:tc>
          <w:tcPr>
            <w:tcW w:w="1704" w:type="dxa"/>
          </w:tcPr>
          <w:p>
            <w:pPr>
              <w:rPr>
                <w:sz w:val="20"/>
                <w:szCs w:val="20"/>
              </w:rPr>
            </w:pPr>
          </w:p>
        </w:tc>
        <w:tc>
          <w:tcPr>
            <w:tcW w:w="1440" w:type="dxa"/>
          </w:tcPr>
          <w:p>
            <w:pPr>
              <w:rPr>
                <w:sz w:val="20"/>
                <w:szCs w:val="20"/>
              </w:rPr>
            </w:pPr>
            <w:r>
              <w:rPr>
                <w:sz w:val="20"/>
                <w:szCs w:val="20"/>
              </w:rPr>
              <w:t>Anhydride R-oïque R’-oïque</w:t>
            </w:r>
          </w:p>
        </w:tc>
      </w:tr>
      <w:tr>
        <w:tc>
          <w:tcPr>
            <w:tcW w:w="1513" w:type="dxa"/>
          </w:tcPr>
          <w:p>
            <w:pPr>
              <w:rPr>
                <w:sz w:val="20"/>
                <w:szCs w:val="20"/>
              </w:rPr>
            </w:pPr>
            <w:r>
              <w:rPr>
                <w:sz w:val="20"/>
                <w:szCs w:val="20"/>
              </w:rPr>
              <w:t>Esters</w:t>
            </w:r>
          </w:p>
        </w:tc>
        <w:tc>
          <w:tcPr>
            <w:tcW w:w="2678" w:type="dxa"/>
          </w:tcPr>
          <w:p>
            <w:pPr>
              <w:rPr>
                <w:sz w:val="20"/>
                <w:szCs w:val="20"/>
              </w:rPr>
            </w:pPr>
            <w:r>
              <w:rPr>
                <w:noProof/>
                <w:sz w:val="20"/>
                <w:szCs w:val="20"/>
              </w:rPr>
              <w:drawing>
                <wp:inline distT="0" distB="0" distL="0" distR="0">
                  <wp:extent cx="682113" cy="428625"/>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1884" cy="434765"/>
                          </a:xfrm>
                          <a:prstGeom prst="rect">
                            <a:avLst/>
                          </a:prstGeom>
                          <a:noFill/>
                          <a:ln>
                            <a:noFill/>
                          </a:ln>
                        </pic:spPr>
                      </pic:pic>
                    </a:graphicData>
                  </a:graphic>
                </wp:inline>
              </w:drawing>
            </w:r>
          </w:p>
        </w:tc>
        <w:tc>
          <w:tcPr>
            <w:tcW w:w="1704" w:type="dxa"/>
          </w:tcPr>
          <w:p>
            <w:pPr>
              <w:rPr>
                <w:sz w:val="20"/>
                <w:szCs w:val="20"/>
              </w:rPr>
            </w:pPr>
            <w:r>
              <w:rPr>
                <w:sz w:val="20"/>
                <w:szCs w:val="20"/>
              </w:rPr>
              <w:t>Alkoxycarbonyl</w:t>
            </w:r>
          </w:p>
        </w:tc>
        <w:tc>
          <w:tcPr>
            <w:tcW w:w="1440" w:type="dxa"/>
          </w:tcPr>
          <w:p>
            <w:pPr>
              <w:rPr>
                <w:sz w:val="20"/>
                <w:szCs w:val="20"/>
              </w:rPr>
            </w:pPr>
            <w:r>
              <w:rPr>
                <w:sz w:val="20"/>
                <w:szCs w:val="20"/>
              </w:rPr>
              <w:t>R-oate de R’-yle*</w:t>
            </w:r>
          </w:p>
          <w:p>
            <w:pPr>
              <w:rPr>
                <w:sz w:val="20"/>
                <w:szCs w:val="20"/>
              </w:rPr>
            </w:pPr>
            <w:r>
              <w:rPr>
                <w:sz w:val="20"/>
                <w:szCs w:val="20"/>
              </w:rPr>
              <w:t>(R-carboxylate de R’-yle)</w:t>
            </w:r>
          </w:p>
        </w:tc>
      </w:tr>
      <w:tr>
        <w:tc>
          <w:tcPr>
            <w:tcW w:w="1513" w:type="dxa"/>
          </w:tcPr>
          <w:p>
            <w:pPr>
              <w:rPr>
                <w:sz w:val="20"/>
                <w:szCs w:val="20"/>
              </w:rPr>
            </w:pPr>
            <w:r>
              <w:rPr>
                <w:sz w:val="20"/>
                <w:szCs w:val="20"/>
              </w:rPr>
              <w:t>Halogénures d’acyle</w:t>
            </w:r>
          </w:p>
        </w:tc>
        <w:tc>
          <w:tcPr>
            <w:tcW w:w="2678" w:type="dxa"/>
          </w:tcPr>
          <w:p>
            <w:pPr>
              <w:rPr>
                <w:sz w:val="20"/>
                <w:szCs w:val="20"/>
              </w:rPr>
            </w:pPr>
            <w:r>
              <w:rPr>
                <w:noProof/>
                <w:sz w:val="20"/>
                <w:szCs w:val="20"/>
              </w:rPr>
              <w:drawing>
                <wp:inline distT="0" distB="0" distL="0" distR="0">
                  <wp:extent cx="504278" cy="4476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487" cy="454075"/>
                          </a:xfrm>
                          <a:prstGeom prst="rect">
                            <a:avLst/>
                          </a:prstGeom>
                          <a:noFill/>
                          <a:ln>
                            <a:noFill/>
                          </a:ln>
                        </pic:spPr>
                      </pic:pic>
                    </a:graphicData>
                  </a:graphic>
                </wp:inline>
              </w:drawing>
            </w:r>
          </w:p>
        </w:tc>
        <w:tc>
          <w:tcPr>
            <w:tcW w:w="1704" w:type="dxa"/>
          </w:tcPr>
          <w:p>
            <w:pPr>
              <w:rPr>
                <w:sz w:val="20"/>
                <w:szCs w:val="20"/>
              </w:rPr>
            </w:pPr>
            <w:r>
              <w:rPr>
                <w:sz w:val="20"/>
                <w:szCs w:val="20"/>
              </w:rPr>
              <w:t>Halogénocarbonyl</w:t>
            </w:r>
          </w:p>
        </w:tc>
        <w:tc>
          <w:tcPr>
            <w:tcW w:w="1440" w:type="dxa"/>
          </w:tcPr>
          <w:p>
            <w:pPr>
              <w:rPr>
                <w:sz w:val="20"/>
                <w:szCs w:val="20"/>
              </w:rPr>
            </w:pPr>
            <w:r>
              <w:rPr>
                <w:sz w:val="20"/>
                <w:szCs w:val="20"/>
              </w:rPr>
              <w:t>« Halogén »ure de …oyle*</w:t>
            </w:r>
          </w:p>
          <w:p>
            <w:pPr>
              <w:rPr>
                <w:sz w:val="20"/>
                <w:szCs w:val="20"/>
              </w:rPr>
            </w:pPr>
            <w:r>
              <w:rPr>
                <w:sz w:val="20"/>
                <w:szCs w:val="20"/>
              </w:rPr>
              <w:t>(Halogénure de carbonyle)</w:t>
            </w:r>
          </w:p>
        </w:tc>
      </w:tr>
      <w:tr>
        <w:tc>
          <w:tcPr>
            <w:tcW w:w="1513" w:type="dxa"/>
          </w:tcPr>
          <w:p>
            <w:pPr>
              <w:rPr>
                <w:sz w:val="20"/>
                <w:szCs w:val="20"/>
              </w:rPr>
            </w:pPr>
            <w:r>
              <w:rPr>
                <w:sz w:val="20"/>
                <w:szCs w:val="20"/>
              </w:rPr>
              <w:t>Amides</w:t>
            </w:r>
          </w:p>
        </w:tc>
        <w:tc>
          <w:tcPr>
            <w:tcW w:w="2678" w:type="dxa"/>
          </w:tcPr>
          <w:p>
            <w:pPr>
              <w:rPr>
                <w:sz w:val="20"/>
                <w:szCs w:val="20"/>
              </w:rPr>
            </w:pPr>
            <w:r>
              <w:rPr>
                <w:noProof/>
                <w:sz w:val="20"/>
                <w:szCs w:val="20"/>
              </w:rPr>
              <w:drawing>
                <wp:inline distT="0" distB="0" distL="0" distR="0">
                  <wp:extent cx="1714500" cy="528895"/>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8037" cy="536156"/>
                          </a:xfrm>
                          <a:prstGeom prst="rect">
                            <a:avLst/>
                          </a:prstGeom>
                          <a:noFill/>
                          <a:ln>
                            <a:noFill/>
                          </a:ln>
                        </pic:spPr>
                      </pic:pic>
                    </a:graphicData>
                  </a:graphic>
                </wp:inline>
              </w:drawing>
            </w:r>
          </w:p>
        </w:tc>
        <w:tc>
          <w:tcPr>
            <w:tcW w:w="1704" w:type="dxa"/>
          </w:tcPr>
          <w:p>
            <w:pPr>
              <w:rPr>
                <w:sz w:val="20"/>
                <w:szCs w:val="20"/>
              </w:rPr>
            </w:pPr>
            <w:r>
              <w:rPr>
                <w:sz w:val="20"/>
                <w:szCs w:val="20"/>
              </w:rPr>
              <w:t>Carbamoyl</w:t>
            </w:r>
          </w:p>
        </w:tc>
        <w:tc>
          <w:tcPr>
            <w:tcW w:w="1440" w:type="dxa"/>
          </w:tcPr>
          <w:p>
            <w:pPr>
              <w:rPr>
                <w:sz w:val="20"/>
                <w:szCs w:val="20"/>
              </w:rPr>
            </w:pPr>
            <w:r>
              <w:rPr>
                <w:sz w:val="20"/>
                <w:szCs w:val="20"/>
              </w:rPr>
              <w:t>…amide*</w:t>
            </w:r>
          </w:p>
          <w:p>
            <w:pPr>
              <w:rPr>
                <w:sz w:val="20"/>
                <w:szCs w:val="20"/>
              </w:rPr>
            </w:pPr>
            <w:r>
              <w:rPr>
                <w:sz w:val="20"/>
                <w:szCs w:val="20"/>
              </w:rPr>
              <w:t>(carboxamide)</w:t>
            </w:r>
          </w:p>
        </w:tc>
      </w:tr>
      <w:tr>
        <w:tc>
          <w:tcPr>
            <w:tcW w:w="1513" w:type="dxa"/>
          </w:tcPr>
          <w:p>
            <w:pPr>
              <w:rPr>
                <w:sz w:val="20"/>
                <w:szCs w:val="20"/>
              </w:rPr>
            </w:pPr>
            <w:r>
              <w:rPr>
                <w:sz w:val="20"/>
                <w:szCs w:val="20"/>
              </w:rPr>
              <w:t>Nitrites</w:t>
            </w:r>
          </w:p>
        </w:tc>
        <w:tc>
          <w:tcPr>
            <w:tcW w:w="2678" w:type="dxa"/>
          </w:tcPr>
          <w:p>
            <w:pPr>
              <w:rPr>
                <w:sz w:val="20"/>
                <w:szCs w:val="20"/>
              </w:rPr>
            </w:pPr>
            <w:r>
              <w:rPr>
                <w:noProof/>
                <w:sz w:val="20"/>
                <w:szCs w:val="20"/>
              </w:rPr>
              <w:drawing>
                <wp:inline distT="0" distB="0" distL="0" distR="0">
                  <wp:extent cx="555264" cy="25717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291" cy="260893"/>
                          </a:xfrm>
                          <a:prstGeom prst="rect">
                            <a:avLst/>
                          </a:prstGeom>
                          <a:noFill/>
                          <a:ln>
                            <a:noFill/>
                          </a:ln>
                        </pic:spPr>
                      </pic:pic>
                    </a:graphicData>
                  </a:graphic>
                </wp:inline>
              </w:drawing>
            </w:r>
          </w:p>
        </w:tc>
        <w:tc>
          <w:tcPr>
            <w:tcW w:w="1704" w:type="dxa"/>
          </w:tcPr>
          <w:p>
            <w:pPr>
              <w:rPr>
                <w:sz w:val="20"/>
                <w:szCs w:val="20"/>
              </w:rPr>
            </w:pPr>
            <w:r>
              <w:rPr>
                <w:sz w:val="20"/>
                <w:szCs w:val="20"/>
              </w:rPr>
              <w:t>cyano</w:t>
            </w:r>
          </w:p>
        </w:tc>
        <w:tc>
          <w:tcPr>
            <w:tcW w:w="1440" w:type="dxa"/>
          </w:tcPr>
          <w:p>
            <w:pPr>
              <w:rPr>
                <w:sz w:val="20"/>
                <w:szCs w:val="20"/>
              </w:rPr>
            </w:pPr>
            <w:r>
              <w:rPr>
                <w:sz w:val="20"/>
                <w:szCs w:val="20"/>
              </w:rPr>
              <w:t>…nitrile*</w:t>
            </w:r>
          </w:p>
          <w:p>
            <w:pPr>
              <w:rPr>
                <w:sz w:val="20"/>
                <w:szCs w:val="20"/>
              </w:rPr>
            </w:pPr>
            <w:r>
              <w:rPr>
                <w:sz w:val="20"/>
                <w:szCs w:val="20"/>
              </w:rPr>
              <w:t>(carbonitrile)</w:t>
            </w:r>
          </w:p>
        </w:tc>
      </w:tr>
      <w:tr>
        <w:tc>
          <w:tcPr>
            <w:tcW w:w="1513" w:type="dxa"/>
          </w:tcPr>
          <w:p>
            <w:pPr>
              <w:rPr>
                <w:sz w:val="20"/>
                <w:szCs w:val="20"/>
              </w:rPr>
            </w:pPr>
            <w:r>
              <w:rPr>
                <w:sz w:val="20"/>
                <w:szCs w:val="20"/>
              </w:rPr>
              <w:t>Aldéhydes</w:t>
            </w:r>
          </w:p>
        </w:tc>
        <w:tc>
          <w:tcPr>
            <w:tcW w:w="2678" w:type="dxa"/>
          </w:tcPr>
          <w:p>
            <w:pPr>
              <w:rPr>
                <w:sz w:val="20"/>
                <w:szCs w:val="20"/>
              </w:rPr>
            </w:pPr>
            <w:r>
              <w:rPr>
                <w:noProof/>
                <w:sz w:val="20"/>
                <w:szCs w:val="20"/>
              </w:rPr>
              <w:drawing>
                <wp:inline distT="0" distB="0" distL="0" distR="0">
                  <wp:extent cx="527125" cy="45720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256" cy="462518"/>
                          </a:xfrm>
                          <a:prstGeom prst="rect">
                            <a:avLst/>
                          </a:prstGeom>
                          <a:noFill/>
                          <a:ln>
                            <a:noFill/>
                          </a:ln>
                        </pic:spPr>
                      </pic:pic>
                    </a:graphicData>
                  </a:graphic>
                </wp:inline>
              </w:drawing>
            </w:r>
          </w:p>
        </w:tc>
        <w:tc>
          <w:tcPr>
            <w:tcW w:w="1704" w:type="dxa"/>
          </w:tcPr>
          <w:p>
            <w:pPr>
              <w:rPr>
                <w:sz w:val="20"/>
                <w:szCs w:val="20"/>
              </w:rPr>
            </w:pPr>
            <w:r>
              <w:rPr>
                <w:sz w:val="20"/>
                <w:szCs w:val="20"/>
              </w:rPr>
              <w:t>Formyl</w:t>
            </w:r>
          </w:p>
        </w:tc>
        <w:tc>
          <w:tcPr>
            <w:tcW w:w="1440" w:type="dxa"/>
          </w:tcPr>
          <w:p>
            <w:pPr>
              <w:rPr>
                <w:sz w:val="20"/>
                <w:szCs w:val="20"/>
              </w:rPr>
            </w:pPr>
            <w:r>
              <w:rPr>
                <w:sz w:val="20"/>
                <w:szCs w:val="20"/>
              </w:rPr>
              <w:t>…al*</w:t>
            </w:r>
          </w:p>
          <w:p>
            <w:pPr>
              <w:rPr>
                <w:sz w:val="20"/>
                <w:szCs w:val="20"/>
              </w:rPr>
            </w:pPr>
            <w:r>
              <w:rPr>
                <w:sz w:val="20"/>
                <w:szCs w:val="20"/>
              </w:rPr>
              <w:t>(carbaldéhyde)</w:t>
            </w:r>
          </w:p>
        </w:tc>
      </w:tr>
      <w:tr>
        <w:tc>
          <w:tcPr>
            <w:tcW w:w="1513" w:type="dxa"/>
          </w:tcPr>
          <w:p>
            <w:pPr>
              <w:rPr>
                <w:sz w:val="20"/>
                <w:szCs w:val="20"/>
              </w:rPr>
            </w:pPr>
            <w:r>
              <w:rPr>
                <w:sz w:val="20"/>
                <w:szCs w:val="20"/>
              </w:rPr>
              <w:t>Cétones</w:t>
            </w:r>
          </w:p>
        </w:tc>
        <w:tc>
          <w:tcPr>
            <w:tcW w:w="2678" w:type="dxa"/>
          </w:tcPr>
          <w:p>
            <w:pPr>
              <w:rPr>
                <w:sz w:val="20"/>
                <w:szCs w:val="20"/>
              </w:rPr>
            </w:pPr>
            <w:r>
              <w:rPr>
                <w:noProof/>
                <w:sz w:val="20"/>
                <w:szCs w:val="20"/>
              </w:rPr>
              <w:drawing>
                <wp:inline distT="0" distB="0" distL="0" distR="0">
                  <wp:extent cx="504190" cy="436618"/>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754" cy="441436"/>
                          </a:xfrm>
                          <a:prstGeom prst="rect">
                            <a:avLst/>
                          </a:prstGeom>
                          <a:noFill/>
                          <a:ln>
                            <a:noFill/>
                          </a:ln>
                        </pic:spPr>
                      </pic:pic>
                    </a:graphicData>
                  </a:graphic>
                </wp:inline>
              </w:drawing>
            </w:r>
          </w:p>
        </w:tc>
        <w:tc>
          <w:tcPr>
            <w:tcW w:w="1704" w:type="dxa"/>
          </w:tcPr>
          <w:p>
            <w:pPr>
              <w:rPr>
                <w:sz w:val="20"/>
                <w:szCs w:val="20"/>
              </w:rPr>
            </w:pPr>
            <w:r>
              <w:rPr>
                <w:sz w:val="20"/>
                <w:szCs w:val="20"/>
              </w:rPr>
              <w:t>Oxo</w:t>
            </w:r>
          </w:p>
        </w:tc>
        <w:tc>
          <w:tcPr>
            <w:tcW w:w="1440" w:type="dxa"/>
          </w:tcPr>
          <w:p>
            <w:pPr>
              <w:rPr>
                <w:sz w:val="20"/>
                <w:szCs w:val="20"/>
              </w:rPr>
            </w:pPr>
            <w:r>
              <w:rPr>
                <w:sz w:val="20"/>
                <w:szCs w:val="20"/>
              </w:rPr>
              <w:t>…one*</w:t>
            </w:r>
          </w:p>
        </w:tc>
      </w:tr>
      <w:tr>
        <w:tc>
          <w:tcPr>
            <w:tcW w:w="1513" w:type="dxa"/>
          </w:tcPr>
          <w:p>
            <w:pPr>
              <w:rPr>
                <w:sz w:val="20"/>
                <w:szCs w:val="20"/>
              </w:rPr>
            </w:pPr>
            <w:r>
              <w:rPr>
                <w:sz w:val="20"/>
                <w:szCs w:val="20"/>
              </w:rPr>
              <w:t>Alcools/phénols</w:t>
            </w:r>
          </w:p>
        </w:tc>
        <w:tc>
          <w:tcPr>
            <w:tcW w:w="2678" w:type="dxa"/>
          </w:tcPr>
          <w:p>
            <w:pPr>
              <w:rPr>
                <w:sz w:val="20"/>
                <w:szCs w:val="20"/>
              </w:rPr>
            </w:pPr>
            <w:r>
              <w:rPr>
                <w:noProof/>
                <w:sz w:val="20"/>
                <w:szCs w:val="20"/>
              </w:rPr>
              <w:drawing>
                <wp:inline distT="0" distB="0" distL="0" distR="0">
                  <wp:extent cx="1457325" cy="448408"/>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77239" cy="454535"/>
                          </a:xfrm>
                          <a:prstGeom prst="rect">
                            <a:avLst/>
                          </a:prstGeom>
                          <a:noFill/>
                          <a:ln>
                            <a:noFill/>
                          </a:ln>
                        </pic:spPr>
                      </pic:pic>
                    </a:graphicData>
                  </a:graphic>
                </wp:inline>
              </w:drawing>
            </w:r>
          </w:p>
        </w:tc>
        <w:tc>
          <w:tcPr>
            <w:tcW w:w="1704" w:type="dxa"/>
          </w:tcPr>
          <w:p>
            <w:pPr>
              <w:rPr>
                <w:sz w:val="20"/>
                <w:szCs w:val="20"/>
              </w:rPr>
            </w:pPr>
            <w:r>
              <w:rPr>
                <w:sz w:val="20"/>
                <w:szCs w:val="20"/>
              </w:rPr>
              <w:t>Hydroxyl</w:t>
            </w:r>
          </w:p>
        </w:tc>
        <w:tc>
          <w:tcPr>
            <w:tcW w:w="1440" w:type="dxa"/>
          </w:tcPr>
          <w:p>
            <w:pPr>
              <w:rPr>
                <w:sz w:val="20"/>
                <w:szCs w:val="20"/>
              </w:rPr>
            </w:pPr>
            <w:r>
              <w:rPr>
                <w:sz w:val="20"/>
                <w:szCs w:val="20"/>
              </w:rPr>
              <w:t>…ol</w:t>
            </w:r>
          </w:p>
        </w:tc>
      </w:tr>
      <w:tr>
        <w:tc>
          <w:tcPr>
            <w:tcW w:w="1513" w:type="dxa"/>
          </w:tcPr>
          <w:p>
            <w:pPr>
              <w:rPr>
                <w:sz w:val="20"/>
                <w:szCs w:val="20"/>
              </w:rPr>
            </w:pPr>
            <w:r>
              <w:rPr>
                <w:sz w:val="20"/>
                <w:szCs w:val="20"/>
              </w:rPr>
              <w:t>Thiols</w:t>
            </w:r>
          </w:p>
        </w:tc>
        <w:tc>
          <w:tcPr>
            <w:tcW w:w="2678" w:type="dxa"/>
          </w:tcPr>
          <w:p>
            <w:pPr>
              <w:rPr>
                <w:sz w:val="20"/>
                <w:szCs w:val="20"/>
              </w:rPr>
            </w:pPr>
            <w:r>
              <w:rPr>
                <w:noProof/>
                <w:sz w:val="20"/>
                <w:szCs w:val="20"/>
              </w:rPr>
              <w:drawing>
                <wp:inline distT="0" distB="0" distL="0" distR="0">
                  <wp:extent cx="557645" cy="2190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9467" cy="219791"/>
                          </a:xfrm>
                          <a:prstGeom prst="rect">
                            <a:avLst/>
                          </a:prstGeom>
                          <a:noFill/>
                          <a:ln>
                            <a:noFill/>
                          </a:ln>
                        </pic:spPr>
                      </pic:pic>
                    </a:graphicData>
                  </a:graphic>
                </wp:inline>
              </w:drawing>
            </w:r>
          </w:p>
        </w:tc>
        <w:tc>
          <w:tcPr>
            <w:tcW w:w="1704" w:type="dxa"/>
          </w:tcPr>
          <w:p>
            <w:pPr>
              <w:rPr>
                <w:sz w:val="20"/>
                <w:szCs w:val="20"/>
              </w:rPr>
            </w:pPr>
            <w:r>
              <w:rPr>
                <w:sz w:val="20"/>
                <w:szCs w:val="20"/>
              </w:rPr>
              <w:t>Sulfanyl</w:t>
            </w:r>
          </w:p>
        </w:tc>
        <w:tc>
          <w:tcPr>
            <w:tcW w:w="1440" w:type="dxa"/>
          </w:tcPr>
          <w:p>
            <w:pPr>
              <w:rPr>
                <w:sz w:val="20"/>
                <w:szCs w:val="20"/>
              </w:rPr>
            </w:pPr>
            <w:r>
              <w:rPr>
                <w:sz w:val="20"/>
                <w:szCs w:val="20"/>
              </w:rPr>
              <w:t>…thiol</w:t>
            </w:r>
          </w:p>
        </w:tc>
      </w:tr>
      <w:tr>
        <w:tc>
          <w:tcPr>
            <w:tcW w:w="1513" w:type="dxa"/>
          </w:tcPr>
          <w:p>
            <w:pPr>
              <w:rPr>
                <w:sz w:val="20"/>
                <w:szCs w:val="20"/>
              </w:rPr>
            </w:pPr>
            <w:r>
              <w:rPr>
                <w:sz w:val="20"/>
                <w:szCs w:val="20"/>
              </w:rPr>
              <w:t>Amines</w:t>
            </w:r>
          </w:p>
          <w:p>
            <w:pPr>
              <w:rPr>
                <w:sz w:val="20"/>
                <w:szCs w:val="20"/>
              </w:rPr>
            </w:pPr>
          </w:p>
        </w:tc>
        <w:tc>
          <w:tcPr>
            <w:tcW w:w="2678" w:type="dxa"/>
          </w:tcPr>
          <w:p>
            <w:pPr>
              <w:rPr>
                <w:sz w:val="20"/>
                <w:szCs w:val="20"/>
              </w:rPr>
            </w:pPr>
            <w:r>
              <w:rPr>
                <w:noProof/>
                <w:sz w:val="20"/>
                <w:szCs w:val="20"/>
              </w:rPr>
              <w:drawing>
                <wp:inline distT="0" distB="0" distL="0" distR="0">
                  <wp:extent cx="1695450" cy="429832"/>
                  <wp:effectExtent l="0" t="0" r="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33912" cy="439583"/>
                          </a:xfrm>
                          <a:prstGeom prst="rect">
                            <a:avLst/>
                          </a:prstGeom>
                          <a:noFill/>
                          <a:ln>
                            <a:noFill/>
                          </a:ln>
                        </pic:spPr>
                      </pic:pic>
                    </a:graphicData>
                  </a:graphic>
                </wp:inline>
              </w:drawing>
            </w:r>
          </w:p>
        </w:tc>
        <w:tc>
          <w:tcPr>
            <w:tcW w:w="1704" w:type="dxa"/>
          </w:tcPr>
          <w:p>
            <w:pPr>
              <w:rPr>
                <w:sz w:val="20"/>
                <w:szCs w:val="20"/>
              </w:rPr>
            </w:pPr>
            <w:r>
              <w:rPr>
                <w:sz w:val="20"/>
                <w:szCs w:val="20"/>
              </w:rPr>
              <w:t>amino</w:t>
            </w:r>
          </w:p>
        </w:tc>
        <w:tc>
          <w:tcPr>
            <w:tcW w:w="1440" w:type="dxa"/>
          </w:tcPr>
          <w:p>
            <w:pPr>
              <w:rPr>
                <w:sz w:val="20"/>
                <w:szCs w:val="20"/>
              </w:rPr>
            </w:pPr>
            <w:r>
              <w:rPr>
                <w:sz w:val="20"/>
                <w:szCs w:val="20"/>
              </w:rPr>
              <w:t>…amine</w:t>
            </w:r>
          </w:p>
          <w:p>
            <w:pPr>
              <w:rPr>
                <w:sz w:val="20"/>
                <w:szCs w:val="20"/>
              </w:rPr>
            </w:pPr>
            <w:r>
              <w:rPr>
                <w:sz w:val="20"/>
                <w:szCs w:val="20"/>
              </w:rPr>
              <w:t>(Chaines 2aires en préfixe N-alkyl)</w:t>
            </w:r>
          </w:p>
        </w:tc>
      </w:tr>
      <w:tr>
        <w:tc>
          <w:tcPr>
            <w:tcW w:w="1513" w:type="dxa"/>
          </w:tcPr>
          <w:p>
            <w:pPr>
              <w:rPr>
                <w:sz w:val="20"/>
                <w:szCs w:val="20"/>
              </w:rPr>
            </w:pPr>
            <w:r>
              <w:rPr>
                <w:sz w:val="20"/>
                <w:szCs w:val="20"/>
              </w:rPr>
              <w:t>Éther/Époxydes</w:t>
            </w:r>
          </w:p>
        </w:tc>
        <w:tc>
          <w:tcPr>
            <w:tcW w:w="2678" w:type="dxa"/>
          </w:tcPr>
          <w:p>
            <w:pPr>
              <w:rPr>
                <w:sz w:val="20"/>
                <w:szCs w:val="20"/>
              </w:rPr>
            </w:pPr>
            <w:r>
              <w:rPr>
                <w:noProof/>
                <w:sz w:val="20"/>
                <w:szCs w:val="20"/>
              </w:rPr>
              <w:drawing>
                <wp:inline distT="0" distB="0" distL="0" distR="0">
                  <wp:extent cx="1409700" cy="432308"/>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3558" cy="439625"/>
                          </a:xfrm>
                          <a:prstGeom prst="rect">
                            <a:avLst/>
                          </a:prstGeom>
                          <a:noFill/>
                          <a:ln>
                            <a:noFill/>
                          </a:ln>
                        </pic:spPr>
                      </pic:pic>
                    </a:graphicData>
                  </a:graphic>
                </wp:inline>
              </w:drawing>
            </w:r>
          </w:p>
        </w:tc>
        <w:tc>
          <w:tcPr>
            <w:tcW w:w="1704" w:type="dxa"/>
          </w:tcPr>
          <w:p>
            <w:pPr>
              <w:rPr>
                <w:sz w:val="20"/>
                <w:szCs w:val="20"/>
              </w:rPr>
            </w:pPr>
            <w:r>
              <w:rPr>
                <w:sz w:val="20"/>
                <w:szCs w:val="20"/>
              </w:rPr>
              <w:t>Oxy/Alkoxy</w:t>
            </w:r>
          </w:p>
        </w:tc>
        <w:tc>
          <w:tcPr>
            <w:tcW w:w="1440" w:type="dxa"/>
          </w:tcPr>
          <w:p>
            <w:pPr>
              <w:rPr>
                <w:sz w:val="20"/>
                <w:szCs w:val="20"/>
              </w:rPr>
            </w:pPr>
            <w:r>
              <w:rPr>
                <w:sz w:val="20"/>
                <w:szCs w:val="20"/>
              </w:rPr>
              <w:t>R1-oxy-R2</w:t>
            </w:r>
          </w:p>
          <w:p>
            <w:pPr>
              <w:rPr>
                <w:sz w:val="20"/>
                <w:szCs w:val="20"/>
              </w:rPr>
            </w:pPr>
            <w:r>
              <w:rPr>
                <w:sz w:val="20"/>
                <w:szCs w:val="20"/>
              </w:rPr>
              <w:t>Plus petit groupe = alkoxy)</w:t>
            </w:r>
          </w:p>
        </w:tc>
      </w:tr>
      <w:tr>
        <w:tc>
          <w:tcPr>
            <w:tcW w:w="7335" w:type="dxa"/>
            <w:gridSpan w:val="4"/>
          </w:tcPr>
          <w:p>
            <w:pPr>
              <w:rPr>
                <w:sz w:val="20"/>
                <w:szCs w:val="20"/>
              </w:rPr>
            </w:pPr>
            <w:r>
              <w:rPr>
                <w:sz w:val="20"/>
                <w:szCs w:val="20"/>
              </w:rPr>
              <w:t>* l’atome de carbone est inclus dans le nom de l’hydrocarbure parent.</w:t>
            </w:r>
          </w:p>
        </w:tc>
      </w:tr>
    </w:tbl>
    <w:p>
      <w:r>
        <w:t>R &gt; R’ sauf s’il y a un ordre dans la fonction.</w:t>
      </w:r>
    </w:p>
    <w:p>
      <w:r>
        <w:t>La position des groupes portés par les atomes d’azotes est indiquée par un N- (exemple 1 : N-méthyl ; exemple 2 : N,N diméthyl)</w:t>
      </w:r>
    </w:p>
    <w:p>
      <w:r>
        <w:lastRenderedPageBreak/>
        <w:t>Fonction chimique atomes ou groupements d’atomes qui contiennent des hétéroatomes X (F, Cl, Br, I), N, O, P, S. Ils sont indiqués « nom+o »</w:t>
      </w:r>
    </w:p>
    <w:p>
      <w:pPr>
        <w:pStyle w:val="Titre1"/>
      </w:pPr>
      <w:r>
        <w:t>Isomérie</w:t>
      </w:r>
    </w:p>
    <w:p>
      <w:r>
        <w:rPr>
          <w:rStyle w:val="Accentuation"/>
        </w:rPr>
        <w:t>Isomère</w:t>
      </w:r>
      <w:r>
        <w:t xml:space="preserve"> deux molécules qui ont la même formule brute.</w:t>
      </w:r>
    </w:p>
    <w:p>
      <w:r>
        <w:t>Il existe deux types d’isomère</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2434" w:type="dxa"/>
          </w:tcPr>
          <w:p>
            <w:r>
              <w:t>Constitution</w:t>
            </w:r>
          </w:p>
        </w:tc>
        <w:tc>
          <w:tcPr>
            <w:tcW w:w="2435" w:type="dxa"/>
          </w:tcPr>
          <w:p>
            <w:r>
              <w:t>Stéréoisomère</w:t>
            </w:r>
          </w:p>
        </w:tc>
      </w:tr>
      <w:tr>
        <w:tc>
          <w:tcPr>
            <w:tcW w:w="2434" w:type="dxa"/>
          </w:tcPr>
          <w:p>
            <w:r>
              <w:t>Enchainement des atomes différents</w:t>
            </w:r>
          </w:p>
        </w:tc>
        <w:tc>
          <w:tcPr>
            <w:tcW w:w="2435" w:type="dxa"/>
          </w:tcPr>
          <w:p>
            <w:r>
              <w:t>Représentation spatiale différente</w:t>
            </w:r>
          </w:p>
        </w:tc>
      </w:tr>
    </w:tbl>
    <w:p>
      <w:pPr>
        <w:pStyle w:val="Titre2"/>
      </w:pPr>
      <w:r>
        <w:t>Isomère de constitution</w:t>
      </w:r>
    </w:p>
    <w:p>
      <w:r>
        <w:t>Il existe trois types d’isomérie de constitution :</w:t>
      </w:r>
    </w:p>
    <w:tbl>
      <w:tblPr>
        <w:tblStyle w:val="Grilledetableauclaire"/>
        <w:tblW w:w="0" w:type="auto"/>
        <w:tblLook w:val="0400" w:firstRow="0" w:lastRow="0" w:firstColumn="0" w:lastColumn="0" w:noHBand="0" w:noVBand="1"/>
      </w:tblPr>
      <w:tblGrid>
        <w:gridCol w:w="1413"/>
        <w:gridCol w:w="1701"/>
        <w:gridCol w:w="4221"/>
      </w:tblGrid>
      <w:tr>
        <w:tc>
          <w:tcPr>
            <w:tcW w:w="1413" w:type="dxa"/>
          </w:tcPr>
          <w:p>
            <w:r>
              <w:t xml:space="preserve">Fonction </w:t>
            </w:r>
          </w:p>
        </w:tc>
        <w:tc>
          <w:tcPr>
            <w:tcW w:w="1701" w:type="dxa"/>
          </w:tcPr>
          <w:p>
            <w:r>
              <w:t>Squelette</w:t>
            </w:r>
          </w:p>
        </w:tc>
        <w:tc>
          <w:tcPr>
            <w:tcW w:w="4221" w:type="dxa"/>
          </w:tcPr>
          <w:p>
            <w:r>
              <w:t>Position des groupements fonctionnels</w:t>
            </w:r>
          </w:p>
        </w:tc>
      </w:tr>
    </w:tbl>
    <w:p>
      <w:r>
        <w:rPr>
          <w:rStyle w:val="Accentuation"/>
        </w:rPr>
        <w:t>Tautomérie</w:t>
      </w:r>
      <w:r>
        <w:t xml:space="preserve"> (isomérie de fonction) passage d’un hydrogène et apparition d’une liaison C=C.</w:t>
      </w:r>
    </w:p>
    <w:p>
      <w:pPr>
        <w:pStyle w:val="Titre2"/>
      </w:pPr>
      <w:r>
        <w:t>Stéréoisomère</w:t>
      </w:r>
    </w:p>
    <w:p>
      <w:r>
        <w:t>Deux types de stéréoisomères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Conformation</w:t>
            </w:r>
          </w:p>
        </w:tc>
        <w:tc>
          <w:tcPr>
            <w:tcW w:w="3668" w:type="dxa"/>
          </w:tcPr>
          <w:p>
            <w:r>
              <w:t>Configuration</w:t>
            </w:r>
          </w:p>
        </w:tc>
      </w:tr>
      <w:tr>
        <w:tc>
          <w:tcPr>
            <w:tcW w:w="3667" w:type="dxa"/>
          </w:tcPr>
          <w:p>
            <w:r>
              <w:t>Il s’agit de la même molécule mais représentée différemment à cause des rotations possibles autour des liaisons simples.</w:t>
            </w:r>
          </w:p>
        </w:tc>
        <w:tc>
          <w:tcPr>
            <w:tcW w:w="3668" w:type="dxa"/>
          </w:tcPr>
          <w:p>
            <w:r>
              <w:t>Molécule différente par exemple lorsque les doubles liaisons bloquent les rotations.</w:t>
            </w:r>
          </w:p>
        </w:tc>
      </w:tr>
    </w:tbl>
    <w:p>
      <w:pPr>
        <w:pStyle w:val="Titre2"/>
      </w:pPr>
      <w:r>
        <w:t xml:space="preserve">Conformation </w:t>
      </w:r>
    </w:p>
    <w:p>
      <w:r>
        <w:t>Comme il y a plusieurs conformations possibles pour une même molécule. Il est important de pouvoir déterminer celles qui sont les plus stables c’est-à-dire qui minimisent la répulsion électronique entre les atomes.</w:t>
      </w:r>
    </w:p>
    <w:p>
      <w:r>
        <w:t>Pour les molécules avec des cycles, il existe deux positions :</w:t>
      </w:r>
    </w:p>
    <w:tbl>
      <w:tblPr>
        <w:tblStyle w:val="Tableausimple1"/>
        <w:tblW w:w="0" w:type="auto"/>
        <w:tblLook w:val="0600" w:firstRow="0" w:lastRow="0" w:firstColumn="0" w:lastColumn="0" w:noHBand="1" w:noVBand="1"/>
      </w:tblPr>
      <w:tblGrid>
        <w:gridCol w:w="3667"/>
        <w:gridCol w:w="3668"/>
      </w:tblGrid>
      <w:tr>
        <w:tc>
          <w:tcPr>
            <w:tcW w:w="3667" w:type="dxa"/>
          </w:tcPr>
          <w:p>
            <w:r>
              <w:t>Équatoriale</w:t>
            </w:r>
          </w:p>
        </w:tc>
        <w:tc>
          <w:tcPr>
            <w:tcW w:w="3668" w:type="dxa"/>
          </w:tcPr>
          <w:p>
            <w:r>
              <w:t>Horizontale</w:t>
            </w:r>
          </w:p>
        </w:tc>
      </w:tr>
    </w:tbl>
    <w:p>
      <w:r>
        <w:t>Les groupements les plus énergétiques se situent en positon horizontale</w:t>
      </w:r>
    </w:p>
    <w:p>
      <w:pPr>
        <w:pStyle w:val="Titre3"/>
      </w:pPr>
      <w:r>
        <w:t>Configuration</w:t>
      </w:r>
    </w:p>
    <w:p>
      <w:r>
        <w:t>Les stéréoisomères de configuration n’ont pas la même configuration spatiale. Ce sont deux molécules différentes. Pour pouvoir les distinguer lors du nommage, on utiliser des stéréodescripteurs.</w:t>
      </w:r>
    </w:p>
    <w:p>
      <w:r>
        <w:t>Il faut pouvoir les caractériser, on a besoin de préciser :</w:t>
      </w:r>
    </w:p>
    <w:tbl>
      <w:tblPr>
        <w:tblStyle w:val="Grilledetableauclaire"/>
        <w:tblW w:w="0" w:type="auto"/>
        <w:tblLook w:val="0600" w:firstRow="0" w:lastRow="0" w:firstColumn="0" w:lastColumn="0" w:noHBand="1" w:noVBand="1"/>
      </w:tblPr>
      <w:tblGrid>
        <w:gridCol w:w="3667"/>
        <w:gridCol w:w="3668"/>
      </w:tblGrid>
      <w:tr>
        <w:tc>
          <w:tcPr>
            <w:tcW w:w="3667" w:type="dxa"/>
          </w:tcPr>
          <w:p>
            <w:r>
              <w:t>Les liaisons doubles</w:t>
            </w:r>
          </w:p>
        </w:tc>
        <w:tc>
          <w:tcPr>
            <w:tcW w:w="3668" w:type="dxa"/>
          </w:tcPr>
          <w:p>
            <w:r>
              <w:t>Les carbones asymétriques</w:t>
            </w:r>
          </w:p>
        </w:tc>
      </w:tr>
    </w:tbl>
    <w:p>
      <w:r>
        <w:t>Les règles de Cahn Ingold Prelog (CIP) de priorité des groupes atomiques :</w:t>
      </w:r>
    </w:p>
    <w:p>
      <w:pPr>
        <w:pStyle w:val="Paragraphedeliste"/>
        <w:numPr>
          <w:ilvl w:val="0"/>
          <w:numId w:val="10"/>
        </w:numPr>
      </w:pPr>
      <w:r>
        <w:t>L’atome de numéro atomique le plus grand à la priorité.</w:t>
      </w:r>
    </w:p>
    <w:p>
      <w:pPr>
        <w:pStyle w:val="Paragraphedeliste"/>
        <w:numPr>
          <w:ilvl w:val="0"/>
          <w:numId w:val="10"/>
        </w:numPr>
      </w:pPr>
      <w:r>
        <w:t>Les liaisons multiples sont considérées comme une redondance de l’atome.</w:t>
      </w:r>
    </w:p>
    <w:p>
      <w:pPr>
        <w:pStyle w:val="Titre3"/>
      </w:pPr>
      <w:r>
        <w:t>Les doubles liaisons</w:t>
      </w:r>
    </w:p>
    <w:p>
      <w:r>
        <w:t>Stéréodescripteur : Z/E</w:t>
      </w:r>
    </w:p>
    <w:p>
      <w:r>
        <w:t>Double liaison avec les priorités sur les groupes A et A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Pour les doubles liaisons</w:t>
            </w:r>
          </w:p>
        </w:tc>
        <w:tc>
          <w:tcPr>
            <w:tcW w:w="3668" w:type="dxa"/>
          </w:tcPr>
          <w:p>
            <w:pPr>
              <w:cnfStyle w:val="100000000000" w:firstRow="1" w:lastRow="0" w:firstColumn="0" w:lastColumn="0" w:oddVBand="0" w:evenVBand="0" w:oddHBand="0" w:evenHBand="0" w:firstRowFirstColumn="0" w:firstRowLastColumn="0" w:lastRowFirstColumn="0" w:lastRowLastColumn="0"/>
            </w:pPr>
            <w:r>
              <w:t>Pour les cycles</w:t>
            </w:r>
          </w:p>
        </w:tc>
      </w:tr>
      <w:t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161521" cy="147637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87115" cy="1493857"/>
                          </a:xfrm>
                          <a:prstGeom prst="rect">
                            <a:avLst/>
                          </a:prstGeom>
                          <a:noFill/>
                          <a:ln>
                            <a:noFill/>
                          </a:ln>
                        </pic:spPr>
                      </pic:pic>
                    </a:graphicData>
                  </a:graphic>
                </wp:inline>
              </w:drawing>
            </w:r>
          </w:p>
        </w:tc>
        <w:tc>
          <w:tcPr>
            <w:tcW w:w="3668" w:type="dxa"/>
          </w:tcPr>
          <w:p>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028825" cy="925210"/>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38329" cy="929544"/>
                          </a:xfrm>
                          <a:prstGeom prst="rect">
                            <a:avLst/>
                          </a:prstGeom>
                          <a:noFill/>
                          <a:ln>
                            <a:noFill/>
                          </a:ln>
                        </pic:spPr>
                      </pic:pic>
                    </a:graphicData>
                  </a:graphic>
                </wp:inline>
              </w:drawing>
            </w:r>
          </w:p>
        </w:tc>
      </w:tr>
    </w:tbl>
    <w:p>
      <w:pPr>
        <w:pStyle w:val="Titre3"/>
      </w:pPr>
      <w:r>
        <w:t>Carbone C*</w:t>
      </w:r>
    </w:p>
    <w:p>
      <w:r>
        <w:t>Stéréoisomérie R/S</w:t>
      </w:r>
    </w:p>
    <w:p>
      <w:r>
        <w:t xml:space="preserve"> Il a deux positions spatiales différentes non superposables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 xml:space="preserve">R (restus) </w:t>
            </w:r>
          </w:p>
        </w:tc>
        <w:tc>
          <w:tcPr>
            <w:tcW w:w="3668" w:type="dxa"/>
          </w:tcPr>
          <w:p>
            <w:r>
              <w:t>S (sinister)</w:t>
            </w:r>
          </w:p>
        </w:tc>
      </w:tr>
    </w:tbl>
    <w:p>
      <w:r>
        <w:t>Méthode pour déterminer le type de position spatiale :</w:t>
      </w:r>
    </w:p>
    <w:p>
      <w:pPr>
        <w:pStyle w:val="Paragraphedeliste"/>
        <w:numPr>
          <w:ilvl w:val="0"/>
          <w:numId w:val="11"/>
        </w:numPr>
      </w:pPr>
      <w:r>
        <w:t>Classer les substituants selon CIP</w:t>
      </w:r>
    </w:p>
    <w:p>
      <w:pPr>
        <w:pStyle w:val="Paragraphedeliste"/>
        <w:numPr>
          <w:ilvl w:val="0"/>
          <w:numId w:val="11"/>
        </w:numPr>
      </w:pPr>
      <w:r>
        <w:t>Projection de Newman en représentant le groupe de plus faible priorité derrière.</w:t>
      </w:r>
    </w:p>
    <w:p>
      <w:pPr>
        <w:pStyle w:val="Paragraphedeliste"/>
        <w:numPr>
          <w:ilvl w:val="0"/>
          <w:numId w:val="11"/>
        </w:numPr>
      </w:pPr>
      <w:r>
        <w:t>Si a -&gt;b- &gt; c alors ils sont Rectus sinon Sinister</w:t>
      </w:r>
    </w:p>
    <w:p>
      <w:pPr>
        <w:pStyle w:val="Titre2"/>
      </w:pPr>
      <w:r>
        <w:t>Chirale</w:t>
      </w:r>
    </w:p>
    <w:p>
      <w:r>
        <w:t>Lorsque deux molécules sont symétriques par rapport à un plan et qu’elles ne peuvent pas se superposer.</w:t>
      </w:r>
    </w:p>
    <w:p>
      <w:r>
        <w:t>Une molécule peut être chirale si elle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Possède</w:t>
            </w:r>
          </w:p>
        </w:tc>
        <w:tc>
          <w:tcPr>
            <w:tcW w:w="3668" w:type="dxa"/>
          </w:tcPr>
          <w:p>
            <w:r>
              <w:t>Ne possède pas</w:t>
            </w:r>
          </w:p>
        </w:tc>
      </w:tr>
      <w:tr>
        <w:tc>
          <w:tcPr>
            <w:tcW w:w="3667" w:type="dxa"/>
          </w:tcPr>
          <w:p>
            <w:r>
              <w:t>Un carbone asymétrique</w:t>
            </w:r>
          </w:p>
          <w:p>
            <w:r>
              <w:t>Plusieurs C* sans plan de symétrie</w:t>
            </w:r>
          </w:p>
        </w:tc>
        <w:tc>
          <w:tcPr>
            <w:tcW w:w="3668" w:type="dxa"/>
          </w:tcPr>
          <w:p>
            <w:r>
              <w:t>De plan de symétrie</w:t>
            </w:r>
          </w:p>
        </w:tc>
      </w:tr>
    </w:tbl>
    <w:p>
      <w:pPr>
        <w:pStyle w:val="Sansinterligne"/>
        <w:rPr>
          <w:rStyle w:val="Accentuation"/>
          <w:iCs w:val="0"/>
          <w:color w:val="auto"/>
        </w:rPr>
      </w:pP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Énantiomère</w:t>
            </w:r>
          </w:p>
        </w:tc>
        <w:tc>
          <w:tcPr>
            <w:tcW w:w="3668" w:type="dxa"/>
          </w:tcPr>
          <w:p>
            <w:pPr>
              <w:rPr>
                <w:rStyle w:val="Accentuation"/>
                <w:iCs w:val="0"/>
                <w:color w:val="auto"/>
              </w:rPr>
            </w:pPr>
            <w:r>
              <w:t>Diastéréoisomère</w:t>
            </w:r>
          </w:p>
        </w:tc>
      </w:tr>
      <w:tr>
        <w:trPr>
          <w:trHeight w:val="930"/>
        </w:trPr>
        <w:tc>
          <w:tcPr>
            <w:tcW w:w="3667" w:type="dxa"/>
          </w:tcPr>
          <w:p>
            <w:pPr>
              <w:rPr>
                <w:rStyle w:val="Accentuation"/>
                <w:iCs w:val="0"/>
                <w:color w:val="auto"/>
              </w:rPr>
            </w:pPr>
            <w:r>
              <w:t>Une configuration des C* opposée</w:t>
            </w:r>
          </w:p>
        </w:tc>
        <w:tc>
          <w:tcPr>
            <w:tcW w:w="3668" w:type="dxa"/>
          </w:tcPr>
          <w:p>
            <w:r>
              <w:t>Des différences dans la configuration</w:t>
            </w:r>
          </w:p>
          <w:p>
            <w:r>
              <w:t>Z/E ou cis/trans</w:t>
            </w:r>
          </w:p>
        </w:tc>
      </w:tr>
    </w:tbl>
    <w:p>
      <w:pPr>
        <w:pStyle w:val="Titre3"/>
      </w:pPr>
      <w:r>
        <w:t>Énantiomère</w:t>
      </w:r>
    </w:p>
    <w:p>
      <w:r>
        <w:t xml:space="preserve">Deux énantiomères ont toujours : </w:t>
      </w:r>
    </w:p>
    <w:p>
      <w:pPr>
        <w:pStyle w:val="Paragraphedeliste"/>
        <w:numPr>
          <w:ilvl w:val="0"/>
          <w:numId w:val="16"/>
        </w:numPr>
      </w:pPr>
      <w:r>
        <w:t xml:space="preserve">Une configuration absolue des C* (R devient S et vice versa). </w:t>
      </w:r>
    </w:p>
    <w:p>
      <w:pPr>
        <w:pStyle w:val="Paragraphedeliste"/>
        <w:numPr>
          <w:ilvl w:val="0"/>
          <w:numId w:val="16"/>
        </w:numPr>
      </w:pPr>
      <w:r>
        <w:t>Propriétés physico-chimiques identiques (températures de fusion, d’ébullition, densité, polarité, solubilité, …).</w:t>
      </w:r>
    </w:p>
    <w:p>
      <w:pPr>
        <w:pStyle w:val="Paragraphedeliste"/>
        <w:numPr>
          <w:ilvl w:val="0"/>
          <w:numId w:val="16"/>
        </w:numPr>
      </w:pPr>
      <w:r>
        <w:t>Pouvoirs rotatoires spécifiques de signe opposés.</w:t>
      </w:r>
    </w:p>
    <w:p>
      <w:pPr>
        <w:pStyle w:val="Paragraphedeliste"/>
        <w:numPr>
          <w:ilvl w:val="0"/>
          <w:numId w:val="16"/>
        </w:numPr>
      </w:pPr>
      <w:r>
        <w:t>Propriétés biologiques différentes (odeur, goût, activité thérapeutique, toxicité, …).</w:t>
      </w:r>
    </w:p>
    <w:p>
      <w:r>
        <w:rPr>
          <w:rStyle w:val="Accentuation"/>
        </w:rPr>
        <w:t>Homochiralité</w:t>
      </w:r>
      <w:r>
        <w:t xml:space="preserve"> une seule forme est présente chez les êtres vivants.</w:t>
      </w:r>
    </w:p>
    <w:p>
      <w:pPr>
        <w:pStyle w:val="Titre3"/>
      </w:pPr>
      <w:r>
        <w:t>Diastéréoisomère</w:t>
      </w:r>
    </w:p>
    <w:p>
      <w:r>
        <w:rPr>
          <w:rStyle w:val="Accentuation"/>
        </w:rPr>
        <w:t>Épimères</w:t>
      </w:r>
      <w:r>
        <w:t xml:space="preserve"> deux molécules qui ne diffèrent que par un C*.</w:t>
      </w:r>
    </w:p>
    <w:p>
      <w:pPr>
        <w:pStyle w:val="Titre1"/>
      </w:pPr>
      <w:r>
        <w:t>Représentation des molécules</w:t>
      </w:r>
    </w:p>
    <w:p>
      <w:r>
        <w:t>Exemple des différentes représentaiton pour le glucose : (2R,3S,4R,5R)-2,3,4,5,6-pentahydroxyhexanal</w:t>
      </w:r>
    </w:p>
    <w:tbl>
      <w:tblPr>
        <w:tblStyle w:val="Grilledetableauclaire"/>
        <w:tblW w:w="5000" w:type="pct"/>
        <w:tblLook w:val="0420" w:firstRow="1" w:lastRow="0" w:firstColumn="0" w:lastColumn="0" w:noHBand="0" w:noVBand="1"/>
      </w:tblPr>
      <w:tblGrid>
        <w:gridCol w:w="4352"/>
        <w:gridCol w:w="2983"/>
      </w:tblGrid>
      <w:tr>
        <w:trPr>
          <w:cnfStyle w:val="100000000000" w:firstRow="1" w:lastRow="0" w:firstColumn="0" w:lastColumn="0" w:oddVBand="0" w:evenVBand="0" w:oddHBand="0" w:evenHBand="0" w:firstRowFirstColumn="0" w:firstRowLastColumn="0" w:lastRowFirstColumn="0" w:lastRowLastColumn="0"/>
        </w:trPr>
        <w:tc>
          <w:tcPr>
            <w:tcW w:w="3051" w:type="dxa"/>
          </w:tcPr>
          <w:p>
            <w:r>
              <w:t>Représentation ou description</w:t>
            </w:r>
          </w:p>
        </w:tc>
        <w:tc>
          <w:tcPr>
            <w:tcW w:w="2091" w:type="dxa"/>
          </w:tcPr>
          <w:p>
            <w:r>
              <w:t>Type de formule</w:t>
            </w:r>
          </w:p>
        </w:tc>
      </w:tr>
      <w:tr>
        <w:tc>
          <w:tcPr>
            <w:tcW w:w="3051" w:type="dxa"/>
          </w:tcPr>
          <w:p>
            <w:pPr>
              <w:rPr>
                <w:vertAlign w:val="superscript"/>
              </w:rPr>
            </w:pPr>
            <w:r>
              <w:t>C</w:t>
            </w:r>
            <w:r>
              <w:rPr>
                <w:vertAlign w:val="subscript"/>
              </w:rPr>
              <w:t>6</w:t>
            </w:r>
            <w:r>
              <w:t>H</w:t>
            </w:r>
            <w:r>
              <w:rPr>
                <w:vertAlign w:val="subscript"/>
              </w:rPr>
              <w:t>12</w:t>
            </w:r>
            <w:r>
              <w:t>O</w:t>
            </w:r>
            <w:r>
              <w:rPr>
                <w:vertAlign w:val="subscript"/>
              </w:rPr>
              <w:t>6</w:t>
            </w:r>
          </w:p>
        </w:tc>
        <w:tc>
          <w:tcPr>
            <w:tcW w:w="2091" w:type="dxa"/>
          </w:tcPr>
          <w:p>
            <w:r>
              <w:t>Brute</w:t>
            </w:r>
          </w:p>
        </w:tc>
      </w:tr>
      <w:tr>
        <w:tc>
          <w:tcPr>
            <w:tcW w:w="3051" w:type="dxa"/>
          </w:tcPr>
          <w:p>
            <w:r>
              <w:t>Représentation de tous les atomes</w:t>
            </w:r>
          </w:p>
        </w:tc>
        <w:tc>
          <w:tcPr>
            <w:tcW w:w="2091" w:type="dxa"/>
          </w:tcPr>
          <w:p>
            <w:r>
              <w:t xml:space="preserve">Développé plane </w:t>
            </w:r>
          </w:p>
        </w:tc>
      </w:tr>
      <w:tr>
        <w:tc>
          <w:tcPr>
            <w:tcW w:w="3051" w:type="dxa"/>
          </w:tcPr>
          <w:p>
            <w:r>
              <w:t>Formule d</w:t>
            </w:r>
            <w:r>
              <w:t>éveloppé</w:t>
            </w:r>
            <w:r>
              <w:t>e +</w:t>
            </w:r>
            <w:r>
              <w:t xml:space="preserve"> doublet</w:t>
            </w:r>
            <w:r>
              <w:t>s</w:t>
            </w:r>
            <w:r>
              <w:t xml:space="preserve"> non liant</w:t>
            </w:r>
          </w:p>
        </w:tc>
        <w:tc>
          <w:tcPr>
            <w:tcW w:w="2091" w:type="dxa"/>
          </w:tcPr>
          <w:p>
            <w:r>
              <w:t>Lewis</w:t>
            </w:r>
          </w:p>
        </w:tc>
      </w:tr>
      <w:tr>
        <w:tc>
          <w:tcPr>
            <w:tcW w:w="3051" w:type="dxa"/>
          </w:tcPr>
          <w:p>
            <w:r>
              <w:t>Squelette carboné + formule semi développé</w:t>
            </w:r>
          </w:p>
        </w:tc>
        <w:tc>
          <w:tcPr>
            <w:tcW w:w="2091" w:type="dxa"/>
          </w:tcPr>
          <w:p/>
        </w:tc>
      </w:tr>
      <w:tr>
        <w:tc>
          <w:tcPr>
            <w:tcW w:w="3051" w:type="dxa"/>
          </w:tcPr>
          <w:p>
            <w:r>
              <w:t>Squelette carboné sous la forme de ligne</w:t>
            </w:r>
          </w:p>
        </w:tc>
        <w:tc>
          <w:tcPr>
            <w:tcW w:w="2091" w:type="dxa"/>
          </w:tcPr>
          <w:p>
            <w:r>
              <w:t>Topologique</w:t>
            </w:r>
          </w:p>
        </w:tc>
      </w:tr>
      <w:tr>
        <w:tc>
          <w:tcPr>
            <w:tcW w:w="3051" w:type="dxa"/>
          </w:tcPr>
          <w:p>
            <w:r>
              <w:rPr>
                <w:noProof/>
              </w:rPr>
              <w:drawing>
                <wp:inline distT="0" distB="0" distL="0" distR="0">
                  <wp:extent cx="1628775" cy="8027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39370" cy="807952"/>
                          </a:xfrm>
                          <a:prstGeom prst="rect">
                            <a:avLst/>
                          </a:prstGeom>
                          <a:noFill/>
                          <a:ln>
                            <a:noFill/>
                          </a:ln>
                        </pic:spPr>
                      </pic:pic>
                    </a:graphicData>
                  </a:graphic>
                </wp:inline>
              </w:drawing>
            </w:r>
          </w:p>
        </w:tc>
        <w:tc>
          <w:tcPr>
            <w:tcW w:w="2091" w:type="dxa"/>
          </w:tcPr>
          <w:p>
            <w:r>
              <w:t>Cram</w:t>
            </w:r>
          </w:p>
        </w:tc>
      </w:tr>
      <w:tr>
        <w:tc>
          <w:tcPr>
            <w:tcW w:w="3051" w:type="dxa"/>
          </w:tcPr>
          <w:p>
            <w:r>
              <w:rPr>
                <w:noProof/>
              </w:rPr>
              <w:drawing>
                <wp:inline distT="0" distB="0" distL="0" distR="0">
                  <wp:extent cx="1447800" cy="80828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58546" cy="814280"/>
                          </a:xfrm>
                          <a:prstGeom prst="rect">
                            <a:avLst/>
                          </a:prstGeom>
                          <a:noFill/>
                          <a:ln>
                            <a:noFill/>
                          </a:ln>
                        </pic:spPr>
                      </pic:pic>
                    </a:graphicData>
                  </a:graphic>
                </wp:inline>
              </w:drawing>
            </w:r>
          </w:p>
        </w:tc>
        <w:tc>
          <w:tcPr>
            <w:tcW w:w="2091" w:type="dxa"/>
          </w:tcPr>
          <w:p>
            <w:r>
              <w:t>Newman</w:t>
            </w:r>
          </w:p>
        </w:tc>
      </w:tr>
      <w:tr>
        <w:tc>
          <w:tcPr>
            <w:tcW w:w="3051" w:type="dxa"/>
          </w:tcPr>
          <w:p>
            <w:r>
              <w:rPr>
                <w:noProof/>
              </w:rPr>
              <w:drawing>
                <wp:inline distT="0" distB="0" distL="0" distR="0">
                  <wp:extent cx="1800225" cy="486024"/>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37955" cy="496210"/>
                          </a:xfrm>
                          <a:prstGeom prst="rect">
                            <a:avLst/>
                          </a:prstGeom>
                          <a:noFill/>
                          <a:ln>
                            <a:noFill/>
                          </a:ln>
                        </pic:spPr>
                      </pic:pic>
                    </a:graphicData>
                  </a:graphic>
                </wp:inline>
              </w:drawing>
            </w:r>
          </w:p>
        </w:tc>
        <w:tc>
          <w:tcPr>
            <w:tcW w:w="2091" w:type="dxa"/>
          </w:tcPr>
          <w:p>
            <w:r>
              <w:t>Fischer</w:t>
            </w:r>
          </w:p>
        </w:tc>
      </w:tr>
    </w:tbl>
    <w:p>
      <w:r>
        <w:rPr>
          <w:u w:val="single"/>
        </w:rPr>
        <w:t>Rmq :</w:t>
      </w:r>
      <w:r>
        <w:t xml:space="preserve"> La représentation de Fischer est particulièrement utilisée en biochimie pour les sucres et les acides alpha aminées.</w:t>
      </w:r>
    </w:p>
    <w:p>
      <w:r>
        <w:t>Une molécule possède au maximum 2</w:t>
      </w:r>
      <w:r>
        <w:rPr>
          <w:vertAlign w:val="superscript"/>
        </w:rPr>
        <w:t xml:space="preserve">n </w:t>
      </w:r>
      <w:r>
        <w:t>stéréoisomères.</w:t>
      </w:r>
    </w:p>
    <w:p>
      <w:pPr>
        <w:pStyle w:val="Titre2"/>
      </w:pPr>
      <w:r>
        <w:t>Passage d’une représentation de topologique à celle de Fischer</w:t>
      </w:r>
    </w:p>
    <w:p>
      <w:r>
        <w:t xml:space="preserve">Un personnage regarde vers la fonction la plus prioritaire. Pour lui, </w:t>
      </w:r>
    </w:p>
    <w:p>
      <w:r>
        <w:lastRenderedPageBreak/>
        <w:t>« La vérité est dans les montagnes et l’inverse de la réalité dans les vallées ».</w:t>
      </w:r>
    </w:p>
    <w:p>
      <w:r>
        <w:t>En représentation de Fisher les stéréodescripteurs sont trivaux : à droite les R et à gauche les S.</w:t>
      </w:r>
    </w:p>
    <w:p>
      <w:r>
        <w:rPr>
          <w:noProof/>
        </w:rPr>
        <w:drawing>
          <wp:inline distT="0" distB="0" distL="0" distR="0">
            <wp:extent cx="4657725" cy="11144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57725" cy="1114425"/>
                    </a:xfrm>
                    <a:prstGeom prst="rect">
                      <a:avLst/>
                    </a:prstGeom>
                    <a:noFill/>
                    <a:ln>
                      <a:noFill/>
                    </a:ln>
                  </pic:spPr>
                </pic:pic>
              </a:graphicData>
            </a:graphic>
          </wp:inline>
        </w:drawing>
      </w:r>
    </w:p>
    <w:sectPr>
      <w:footerReference w:type="default" r:id="rId44"/>
      <w:pgSz w:w="16838" w:h="11906" w:orient="landscape"/>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CB</w:t>
    </w:r>
    <w:r>
      <w:ptab w:relativeTo="margin" w:alignment="center" w:leader="none"/>
    </w:r>
    <w:r>
      <w:t>Structure et organisations moléculaires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538"/>
    <w:multiLevelType w:val="hybridMultilevel"/>
    <w:tmpl w:val="62782B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E44E3B"/>
    <w:multiLevelType w:val="hybridMultilevel"/>
    <w:tmpl w:val="F642E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592BFB"/>
    <w:multiLevelType w:val="hybridMultilevel"/>
    <w:tmpl w:val="DBD05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68D4849"/>
    <w:multiLevelType w:val="hybridMultilevel"/>
    <w:tmpl w:val="7ED424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793C81"/>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CB87719"/>
    <w:multiLevelType w:val="hybridMultilevel"/>
    <w:tmpl w:val="A2FE9B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2B742F"/>
    <w:multiLevelType w:val="hybridMultilevel"/>
    <w:tmpl w:val="0B4CB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69F2"/>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33E47A0"/>
    <w:multiLevelType w:val="hybridMultilevel"/>
    <w:tmpl w:val="EEE0B9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300A74"/>
    <w:multiLevelType w:val="hybridMultilevel"/>
    <w:tmpl w:val="6D281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432B52"/>
    <w:multiLevelType w:val="hybridMultilevel"/>
    <w:tmpl w:val="327E85B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2D4D0D81"/>
    <w:multiLevelType w:val="hybridMultilevel"/>
    <w:tmpl w:val="534E3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A24EB1"/>
    <w:multiLevelType w:val="hybridMultilevel"/>
    <w:tmpl w:val="5EBA9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EF5C70"/>
    <w:multiLevelType w:val="hybridMultilevel"/>
    <w:tmpl w:val="FBEE8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080CE0"/>
    <w:multiLevelType w:val="hybridMultilevel"/>
    <w:tmpl w:val="4CB89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A71BC8"/>
    <w:multiLevelType w:val="hybridMultilevel"/>
    <w:tmpl w:val="17E87B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216AA6"/>
    <w:multiLevelType w:val="hybridMultilevel"/>
    <w:tmpl w:val="4116620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21" w15:restartNumberingAfterBreak="0">
    <w:nsid w:val="523B576C"/>
    <w:multiLevelType w:val="hybridMultilevel"/>
    <w:tmpl w:val="31CA9B1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5D246C35"/>
    <w:multiLevelType w:val="hybridMultilevel"/>
    <w:tmpl w:val="DD70A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1A54FA"/>
    <w:multiLevelType w:val="hybridMultilevel"/>
    <w:tmpl w:val="94502A9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6D9C42BA"/>
    <w:multiLevelType w:val="hybridMultilevel"/>
    <w:tmpl w:val="177C5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434C7D"/>
    <w:multiLevelType w:val="hybridMultilevel"/>
    <w:tmpl w:val="EA205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1"/>
  </w:num>
  <w:num w:numId="4">
    <w:abstractNumId w:val="1"/>
  </w:num>
  <w:num w:numId="5">
    <w:abstractNumId w:val="5"/>
  </w:num>
  <w:num w:numId="6">
    <w:abstractNumId w:val="2"/>
  </w:num>
  <w:num w:numId="7">
    <w:abstractNumId w:val="0"/>
  </w:num>
  <w:num w:numId="8">
    <w:abstractNumId w:val="21"/>
  </w:num>
  <w:num w:numId="9">
    <w:abstractNumId w:val="20"/>
  </w:num>
  <w:num w:numId="10">
    <w:abstractNumId w:val="24"/>
  </w:num>
  <w:num w:numId="11">
    <w:abstractNumId w:val="17"/>
  </w:num>
  <w:num w:numId="12">
    <w:abstractNumId w:val="14"/>
  </w:num>
  <w:num w:numId="13">
    <w:abstractNumId w:val="26"/>
  </w:num>
  <w:num w:numId="14">
    <w:abstractNumId w:val="6"/>
  </w:num>
  <w:num w:numId="15">
    <w:abstractNumId w:val="10"/>
  </w:num>
  <w:num w:numId="16">
    <w:abstractNumId w:val="3"/>
  </w:num>
  <w:num w:numId="17">
    <w:abstractNumId w:val="7"/>
  </w:num>
  <w:num w:numId="18">
    <w:abstractNumId w:val="12"/>
  </w:num>
  <w:num w:numId="19">
    <w:abstractNumId w:val="4"/>
  </w:num>
  <w:num w:numId="20">
    <w:abstractNumId w:val="18"/>
  </w:num>
  <w:num w:numId="21">
    <w:abstractNumId w:val="16"/>
  </w:num>
  <w:num w:numId="22">
    <w:abstractNumId w:val="13"/>
  </w:num>
  <w:num w:numId="23">
    <w:abstractNumId w:val="8"/>
  </w:num>
  <w:num w:numId="24">
    <w:abstractNumId w:val="25"/>
  </w:num>
  <w:num w:numId="25">
    <w:abstractNumId w:val="27"/>
  </w:num>
  <w:num w:numId="26">
    <w:abstractNumId w:val="9"/>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rPr>
      <w:rFonts w:ascii="Open Sans Light" w:hAnsi="Open Sans Light"/>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rPr>
      <w:rFonts w:ascii="Open Sans Light" w:hAnsi="Open Sans Light"/>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image" Target="media/image3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6FDD0-722D-4A58-A90D-6CDE3283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5743</TotalTime>
  <Pages>8</Pages>
  <Words>1971</Words>
  <Characters>10843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111</cp:revision>
  <dcterms:created xsi:type="dcterms:W3CDTF">2020-09-08T20:41:00Z</dcterms:created>
  <dcterms:modified xsi:type="dcterms:W3CDTF">2021-10-13T14:46:00Z</dcterms:modified>
</cp:coreProperties>
</file>