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orbitals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lastRenderedPageBreak/>
        <w:t>Remarque :</w:t>
      </w:r>
      <w:r>
        <w:rPr>
          <w:rFonts w:eastAsiaTheme="minorEastAsia"/>
        </w:rPr>
        <w:t xml:space="preserve"> Les dipôles sont à l’origine des liaisons d’hydrogènes.</w:t>
      </w:r>
    </w:p>
    <w:p>
      <w:pPr>
        <w:pStyle w:val="Titre3"/>
      </w:pPr>
      <w:r>
        <w:t>Acide et base</w:t>
      </w:r>
    </w:p>
    <w:p>
      <w:r>
        <w:t>Un acide est une molécule qui est molécule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Liaison forte liaison faible</w:t>
      </w:r>
    </w:p>
    <w:p>
      <w:r>
        <w:t>Les interactions intermoléculaires</w:t>
      </w:r>
    </w:p>
    <w:p>
      <w:r>
        <w:t xml:space="preserve">Des forces contradictoires agissent simultanément entre les molécules : </w:t>
      </w:r>
    </w:p>
    <w:tbl>
      <w:tblPr>
        <w:tblStyle w:val="Grilledetableauclaire"/>
        <w:tblW w:w="0" w:type="auto"/>
        <w:tblLook w:val="0400" w:firstRow="0" w:lastRow="0" w:firstColumn="0" w:lastColumn="0" w:noHBand="0" w:noVBand="1"/>
      </w:tblPr>
      <w:tblGrid>
        <w:gridCol w:w="3397"/>
        <w:gridCol w:w="3938"/>
      </w:tblGrid>
      <w:tr>
        <w:tc>
          <w:tcPr>
            <w:tcW w:w="3397" w:type="dxa"/>
          </w:tcPr>
          <w:p>
            <w:r>
              <w:t>de Pauli (orbitale)</w:t>
            </w:r>
          </w:p>
        </w:tc>
        <w:tc>
          <w:tcPr>
            <w:tcW w:w="3938" w:type="dxa"/>
          </w:tcPr>
          <w:p>
            <w:r>
              <w:t>Électrostatique (charge)</w:t>
            </w:r>
          </w:p>
        </w:tc>
      </w:tr>
    </w:tbl>
    <w:p>
      <w:r>
        <w:t>De Pauli, lorsque deux molécules se rapprochent, il apparaît une force répulsive liée au recouvrement de ces orbitales "pleines".</w:t>
      </w:r>
    </w:p>
    <w:p>
      <w:r>
        <w:t>Électrostatique : Il y a attraction entre le nuage électronique d'une molécule et le noyau de l'autre molécule. Mais les noyaux des deux molécules se repoussent, tout comme les nuages électroniques.</w:t>
      </w:r>
    </w:p>
    <w:p>
      <w:r>
        <w:t>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Exemple : 2,3 diméthyl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lastRenderedPageBreak/>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sectPr>
          <w:footerReference w:type="default" r:id="rId26"/>
          <w:pgSz w:w="16838" w:h="11906" w:orient="landscape"/>
          <w:pgMar w:top="720" w:right="720" w:bottom="720" w:left="720" w:header="708" w:footer="708" w:gutter="0"/>
          <w:cols w:num="2" w:space="708"/>
          <w:docGrid w:linePitch="360"/>
        </w:sectPr>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499" w:type="dxa"/>
          </w:tcPr>
          <w:p>
            <w:pPr>
              <w:rPr>
                <w:b w:val="0"/>
                <w:bCs/>
                <w:sz w:val="20"/>
                <w:szCs w:val="20"/>
              </w:rPr>
            </w:pPr>
            <w:r>
              <w:rPr>
                <w:bCs/>
                <w:sz w:val="20"/>
                <w:szCs w:val="20"/>
              </w:rPr>
              <w:lastRenderedPageBreak/>
              <w:t>Fonction</w:t>
            </w:r>
          </w:p>
        </w:tc>
        <w:tc>
          <w:tcPr>
            <w:tcW w:w="2654" w:type="dxa"/>
          </w:tcPr>
          <w:p>
            <w:pPr>
              <w:rPr>
                <w:b w:val="0"/>
                <w:bCs/>
                <w:sz w:val="20"/>
                <w:szCs w:val="20"/>
              </w:rPr>
            </w:pPr>
            <w:r>
              <w:rPr>
                <w:bCs/>
                <w:sz w:val="20"/>
                <w:szCs w:val="20"/>
              </w:rPr>
              <w:t>Formule</w:t>
            </w:r>
          </w:p>
        </w:tc>
        <w:tc>
          <w:tcPr>
            <w:tcW w:w="1754" w:type="dxa"/>
          </w:tcPr>
          <w:p>
            <w:pPr>
              <w:rPr>
                <w:b w:val="0"/>
                <w:bCs/>
                <w:sz w:val="20"/>
                <w:szCs w:val="20"/>
              </w:rPr>
            </w:pPr>
            <w:r>
              <w:rPr>
                <w:bCs/>
                <w:sz w:val="20"/>
                <w:szCs w:val="20"/>
              </w:rPr>
              <w:t>Préfixe</w:t>
            </w:r>
          </w:p>
        </w:tc>
        <w:tc>
          <w:tcPr>
            <w:tcW w:w="1428" w:type="dxa"/>
          </w:tcPr>
          <w:p>
            <w:pPr>
              <w:rPr>
                <w:b w:val="0"/>
                <w:bCs/>
                <w:sz w:val="20"/>
                <w:szCs w:val="20"/>
              </w:rPr>
            </w:pPr>
            <w:r>
              <w:rPr>
                <w:bCs/>
                <w:sz w:val="20"/>
                <w:szCs w:val="20"/>
              </w:rPr>
              <w:t>Suffixe</w:t>
            </w:r>
          </w:p>
        </w:tc>
      </w:tr>
      <w:tr>
        <w:tc>
          <w:tcPr>
            <w:tcW w:w="1499" w:type="dxa"/>
          </w:tcPr>
          <w:p>
            <w:pPr>
              <w:rPr>
                <w:sz w:val="20"/>
                <w:szCs w:val="20"/>
              </w:rPr>
            </w:pPr>
            <w:r>
              <w:rPr>
                <w:sz w:val="20"/>
                <w:szCs w:val="20"/>
              </w:rPr>
              <w:t>Acide carboxylique</w:t>
            </w:r>
          </w:p>
        </w:tc>
        <w:tc>
          <w:tcPr>
            <w:tcW w:w="2654"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54" w:type="dxa"/>
          </w:tcPr>
          <w:p>
            <w:pPr>
              <w:rPr>
                <w:sz w:val="20"/>
                <w:szCs w:val="20"/>
              </w:rPr>
            </w:pPr>
            <w:r>
              <w:rPr>
                <w:sz w:val="20"/>
                <w:szCs w:val="20"/>
              </w:rPr>
              <w:t>Carboxy</w:t>
            </w:r>
          </w:p>
        </w:tc>
        <w:tc>
          <w:tcPr>
            <w:tcW w:w="1428" w:type="dxa"/>
          </w:tcPr>
          <w:p>
            <w:pPr>
              <w:rPr>
                <w:sz w:val="20"/>
                <w:szCs w:val="20"/>
              </w:rPr>
            </w:pPr>
            <w:r>
              <w:rPr>
                <w:sz w:val="20"/>
                <w:szCs w:val="20"/>
              </w:rPr>
              <w:t>Acide…oïque*</w:t>
            </w:r>
          </w:p>
          <w:p>
            <w:pPr>
              <w:rPr>
                <w:sz w:val="20"/>
                <w:szCs w:val="20"/>
              </w:rPr>
            </w:pPr>
            <w:r>
              <w:rPr>
                <w:sz w:val="20"/>
                <w:szCs w:val="20"/>
              </w:rPr>
              <w:t>(Acide …carboxylique)</w:t>
            </w:r>
          </w:p>
        </w:tc>
      </w:tr>
      <w:tr>
        <w:tc>
          <w:tcPr>
            <w:tcW w:w="1499" w:type="dxa"/>
          </w:tcPr>
          <w:p>
            <w:pPr>
              <w:rPr>
                <w:sz w:val="20"/>
                <w:szCs w:val="20"/>
              </w:rPr>
            </w:pPr>
            <w:r>
              <w:rPr>
                <w:sz w:val="20"/>
                <w:szCs w:val="20"/>
              </w:rPr>
              <w:t>Anhydrides d’acides</w:t>
            </w:r>
          </w:p>
        </w:tc>
        <w:tc>
          <w:tcPr>
            <w:tcW w:w="2654"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54" w:type="dxa"/>
          </w:tcPr>
          <w:p>
            <w:pPr>
              <w:rPr>
                <w:sz w:val="20"/>
                <w:szCs w:val="20"/>
              </w:rPr>
            </w:pPr>
          </w:p>
        </w:tc>
        <w:tc>
          <w:tcPr>
            <w:tcW w:w="1428" w:type="dxa"/>
          </w:tcPr>
          <w:p>
            <w:pPr>
              <w:rPr>
                <w:sz w:val="20"/>
                <w:szCs w:val="20"/>
              </w:rPr>
            </w:pPr>
            <w:r>
              <w:rPr>
                <w:sz w:val="20"/>
                <w:szCs w:val="20"/>
              </w:rPr>
              <w:t>Anhydride R-oïque R’-oïque</w:t>
            </w:r>
          </w:p>
        </w:tc>
      </w:tr>
      <w:tr>
        <w:tc>
          <w:tcPr>
            <w:tcW w:w="1499" w:type="dxa"/>
          </w:tcPr>
          <w:p>
            <w:pPr>
              <w:rPr>
                <w:sz w:val="20"/>
                <w:szCs w:val="20"/>
              </w:rPr>
            </w:pPr>
            <w:r>
              <w:rPr>
                <w:sz w:val="20"/>
                <w:szCs w:val="20"/>
              </w:rPr>
              <w:t>Esters</w:t>
            </w:r>
          </w:p>
        </w:tc>
        <w:tc>
          <w:tcPr>
            <w:tcW w:w="2654"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54" w:type="dxa"/>
          </w:tcPr>
          <w:p>
            <w:pPr>
              <w:rPr>
                <w:sz w:val="20"/>
                <w:szCs w:val="20"/>
              </w:rPr>
            </w:pPr>
            <w:r>
              <w:rPr>
                <w:sz w:val="20"/>
                <w:szCs w:val="20"/>
              </w:rPr>
              <w:t>Alkoxycarbonyl</w:t>
            </w:r>
          </w:p>
        </w:tc>
        <w:tc>
          <w:tcPr>
            <w:tcW w:w="1428" w:type="dxa"/>
          </w:tcPr>
          <w:p>
            <w:pPr>
              <w:rPr>
                <w:sz w:val="20"/>
                <w:szCs w:val="20"/>
              </w:rPr>
            </w:pPr>
            <w:r>
              <w:rPr>
                <w:sz w:val="20"/>
                <w:szCs w:val="20"/>
              </w:rPr>
              <w:t>R-oate de R’-yle*</w:t>
            </w:r>
          </w:p>
          <w:p>
            <w:pPr>
              <w:rPr>
                <w:sz w:val="20"/>
                <w:szCs w:val="20"/>
              </w:rPr>
            </w:pPr>
            <w:r>
              <w:rPr>
                <w:sz w:val="20"/>
                <w:szCs w:val="20"/>
              </w:rPr>
              <w:t>(R-carboxylate de R’-yle)</w:t>
            </w:r>
          </w:p>
        </w:tc>
      </w:tr>
      <w:tr>
        <w:tc>
          <w:tcPr>
            <w:tcW w:w="1499" w:type="dxa"/>
          </w:tcPr>
          <w:p>
            <w:pPr>
              <w:rPr>
                <w:sz w:val="20"/>
                <w:szCs w:val="20"/>
              </w:rPr>
            </w:pPr>
            <w:r>
              <w:rPr>
                <w:sz w:val="20"/>
                <w:szCs w:val="20"/>
              </w:rPr>
              <w:t>Halogénures d’acyle</w:t>
            </w:r>
          </w:p>
        </w:tc>
        <w:tc>
          <w:tcPr>
            <w:tcW w:w="2654"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54" w:type="dxa"/>
          </w:tcPr>
          <w:p>
            <w:pPr>
              <w:rPr>
                <w:sz w:val="20"/>
                <w:szCs w:val="20"/>
              </w:rPr>
            </w:pPr>
            <w:r>
              <w:rPr>
                <w:sz w:val="20"/>
                <w:szCs w:val="20"/>
              </w:rPr>
              <w:t>Halogénocarbonyl</w:t>
            </w:r>
          </w:p>
        </w:tc>
        <w:tc>
          <w:tcPr>
            <w:tcW w:w="1428"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499" w:type="dxa"/>
          </w:tcPr>
          <w:p>
            <w:pPr>
              <w:rPr>
                <w:sz w:val="20"/>
                <w:szCs w:val="20"/>
              </w:rPr>
            </w:pPr>
            <w:r>
              <w:rPr>
                <w:sz w:val="20"/>
                <w:szCs w:val="20"/>
              </w:rPr>
              <w:t>Amides</w:t>
            </w:r>
          </w:p>
        </w:tc>
        <w:tc>
          <w:tcPr>
            <w:tcW w:w="2654"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54" w:type="dxa"/>
          </w:tcPr>
          <w:p>
            <w:pPr>
              <w:rPr>
                <w:sz w:val="20"/>
                <w:szCs w:val="20"/>
              </w:rPr>
            </w:pPr>
            <w:r>
              <w:rPr>
                <w:sz w:val="20"/>
                <w:szCs w:val="20"/>
              </w:rPr>
              <w:t>Carbamoyl</w:t>
            </w:r>
          </w:p>
        </w:tc>
        <w:tc>
          <w:tcPr>
            <w:tcW w:w="1428" w:type="dxa"/>
          </w:tcPr>
          <w:p>
            <w:pPr>
              <w:rPr>
                <w:sz w:val="20"/>
                <w:szCs w:val="20"/>
              </w:rPr>
            </w:pPr>
            <w:r>
              <w:rPr>
                <w:sz w:val="20"/>
                <w:szCs w:val="20"/>
              </w:rPr>
              <w:t>…amide*</w:t>
            </w:r>
          </w:p>
          <w:p>
            <w:pPr>
              <w:rPr>
                <w:sz w:val="20"/>
                <w:szCs w:val="20"/>
              </w:rPr>
            </w:pPr>
            <w:r>
              <w:rPr>
                <w:sz w:val="20"/>
                <w:szCs w:val="20"/>
              </w:rPr>
              <w:t>(carboxamide)</w:t>
            </w:r>
          </w:p>
        </w:tc>
      </w:tr>
      <w:tr>
        <w:tc>
          <w:tcPr>
            <w:tcW w:w="1499" w:type="dxa"/>
          </w:tcPr>
          <w:p>
            <w:pPr>
              <w:rPr>
                <w:sz w:val="20"/>
                <w:szCs w:val="20"/>
              </w:rPr>
            </w:pPr>
            <w:r>
              <w:rPr>
                <w:sz w:val="20"/>
                <w:szCs w:val="20"/>
              </w:rPr>
              <w:t>Nitrites</w:t>
            </w:r>
          </w:p>
        </w:tc>
        <w:tc>
          <w:tcPr>
            <w:tcW w:w="2654"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54" w:type="dxa"/>
          </w:tcPr>
          <w:p>
            <w:pPr>
              <w:rPr>
                <w:sz w:val="20"/>
                <w:szCs w:val="20"/>
              </w:rPr>
            </w:pPr>
            <w:r>
              <w:rPr>
                <w:sz w:val="20"/>
                <w:szCs w:val="20"/>
              </w:rPr>
              <w:t>cyano</w:t>
            </w:r>
          </w:p>
        </w:tc>
        <w:tc>
          <w:tcPr>
            <w:tcW w:w="1428" w:type="dxa"/>
          </w:tcPr>
          <w:p>
            <w:pPr>
              <w:rPr>
                <w:sz w:val="20"/>
                <w:szCs w:val="20"/>
              </w:rPr>
            </w:pPr>
            <w:r>
              <w:rPr>
                <w:sz w:val="20"/>
                <w:szCs w:val="20"/>
              </w:rPr>
              <w:t>…nitrile*</w:t>
            </w:r>
          </w:p>
          <w:p>
            <w:pPr>
              <w:rPr>
                <w:sz w:val="20"/>
                <w:szCs w:val="20"/>
              </w:rPr>
            </w:pPr>
            <w:r>
              <w:rPr>
                <w:sz w:val="20"/>
                <w:szCs w:val="20"/>
              </w:rPr>
              <w:t>(carbonitrile)</w:t>
            </w:r>
          </w:p>
        </w:tc>
      </w:tr>
      <w:tr>
        <w:tc>
          <w:tcPr>
            <w:tcW w:w="1499" w:type="dxa"/>
          </w:tcPr>
          <w:p>
            <w:pPr>
              <w:rPr>
                <w:sz w:val="20"/>
                <w:szCs w:val="20"/>
              </w:rPr>
            </w:pPr>
            <w:r>
              <w:rPr>
                <w:sz w:val="20"/>
                <w:szCs w:val="20"/>
              </w:rPr>
              <w:t>Aldéhydes</w:t>
            </w:r>
          </w:p>
        </w:tc>
        <w:tc>
          <w:tcPr>
            <w:tcW w:w="2654"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54" w:type="dxa"/>
          </w:tcPr>
          <w:p>
            <w:pPr>
              <w:rPr>
                <w:sz w:val="20"/>
                <w:szCs w:val="20"/>
              </w:rPr>
            </w:pPr>
            <w:r>
              <w:rPr>
                <w:sz w:val="20"/>
                <w:szCs w:val="20"/>
              </w:rPr>
              <w:t>Formyl</w:t>
            </w:r>
          </w:p>
        </w:tc>
        <w:tc>
          <w:tcPr>
            <w:tcW w:w="1428" w:type="dxa"/>
          </w:tcPr>
          <w:p>
            <w:pPr>
              <w:rPr>
                <w:sz w:val="20"/>
                <w:szCs w:val="20"/>
              </w:rPr>
            </w:pPr>
            <w:r>
              <w:rPr>
                <w:sz w:val="20"/>
                <w:szCs w:val="20"/>
              </w:rPr>
              <w:t>…al*</w:t>
            </w:r>
          </w:p>
          <w:p>
            <w:pPr>
              <w:rPr>
                <w:sz w:val="20"/>
                <w:szCs w:val="20"/>
              </w:rPr>
            </w:pPr>
            <w:r>
              <w:rPr>
                <w:sz w:val="20"/>
                <w:szCs w:val="20"/>
              </w:rPr>
              <w:t>(carbaldéhyde)</w:t>
            </w:r>
          </w:p>
        </w:tc>
      </w:tr>
      <w:tr>
        <w:tc>
          <w:tcPr>
            <w:tcW w:w="1499" w:type="dxa"/>
          </w:tcPr>
          <w:p>
            <w:pPr>
              <w:rPr>
                <w:sz w:val="20"/>
                <w:szCs w:val="20"/>
              </w:rPr>
            </w:pPr>
            <w:r>
              <w:rPr>
                <w:sz w:val="20"/>
                <w:szCs w:val="20"/>
              </w:rPr>
              <w:t>Cétones</w:t>
            </w:r>
          </w:p>
        </w:tc>
        <w:tc>
          <w:tcPr>
            <w:tcW w:w="2654"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54" w:type="dxa"/>
          </w:tcPr>
          <w:p>
            <w:pPr>
              <w:rPr>
                <w:sz w:val="20"/>
                <w:szCs w:val="20"/>
              </w:rPr>
            </w:pPr>
            <w:r>
              <w:rPr>
                <w:sz w:val="20"/>
                <w:szCs w:val="20"/>
              </w:rPr>
              <w:t>Oxo</w:t>
            </w:r>
          </w:p>
        </w:tc>
        <w:tc>
          <w:tcPr>
            <w:tcW w:w="1428" w:type="dxa"/>
          </w:tcPr>
          <w:p>
            <w:pPr>
              <w:rPr>
                <w:sz w:val="20"/>
                <w:szCs w:val="20"/>
              </w:rPr>
            </w:pPr>
            <w:r>
              <w:rPr>
                <w:sz w:val="20"/>
                <w:szCs w:val="20"/>
              </w:rPr>
              <w:t>…one*</w:t>
            </w:r>
          </w:p>
        </w:tc>
      </w:tr>
      <w:tr>
        <w:tc>
          <w:tcPr>
            <w:tcW w:w="1499" w:type="dxa"/>
          </w:tcPr>
          <w:p>
            <w:pPr>
              <w:rPr>
                <w:sz w:val="20"/>
                <w:szCs w:val="20"/>
              </w:rPr>
            </w:pPr>
            <w:r>
              <w:rPr>
                <w:sz w:val="20"/>
                <w:szCs w:val="20"/>
              </w:rPr>
              <w:t>Alcools/phénols</w:t>
            </w:r>
          </w:p>
        </w:tc>
        <w:tc>
          <w:tcPr>
            <w:tcW w:w="2654"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54" w:type="dxa"/>
          </w:tcPr>
          <w:p>
            <w:pPr>
              <w:rPr>
                <w:sz w:val="20"/>
                <w:szCs w:val="20"/>
              </w:rPr>
            </w:pPr>
            <w:r>
              <w:rPr>
                <w:sz w:val="20"/>
                <w:szCs w:val="20"/>
              </w:rPr>
              <w:t>Hydroxyl</w:t>
            </w:r>
          </w:p>
        </w:tc>
        <w:tc>
          <w:tcPr>
            <w:tcW w:w="1428" w:type="dxa"/>
          </w:tcPr>
          <w:p>
            <w:pPr>
              <w:rPr>
                <w:sz w:val="20"/>
                <w:szCs w:val="20"/>
              </w:rPr>
            </w:pPr>
            <w:r>
              <w:rPr>
                <w:sz w:val="20"/>
                <w:szCs w:val="20"/>
              </w:rPr>
              <w:t>…ol</w:t>
            </w:r>
          </w:p>
        </w:tc>
      </w:tr>
      <w:tr>
        <w:tc>
          <w:tcPr>
            <w:tcW w:w="1499" w:type="dxa"/>
          </w:tcPr>
          <w:p>
            <w:pPr>
              <w:rPr>
                <w:sz w:val="20"/>
                <w:szCs w:val="20"/>
              </w:rPr>
            </w:pPr>
            <w:r>
              <w:rPr>
                <w:sz w:val="20"/>
                <w:szCs w:val="20"/>
              </w:rPr>
              <w:t>Thiols</w:t>
            </w:r>
          </w:p>
        </w:tc>
        <w:tc>
          <w:tcPr>
            <w:tcW w:w="2654"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54" w:type="dxa"/>
          </w:tcPr>
          <w:p>
            <w:pPr>
              <w:rPr>
                <w:sz w:val="20"/>
                <w:szCs w:val="20"/>
              </w:rPr>
            </w:pPr>
            <w:r>
              <w:rPr>
                <w:sz w:val="20"/>
                <w:szCs w:val="20"/>
              </w:rPr>
              <w:t>Sulfanyl</w:t>
            </w:r>
          </w:p>
        </w:tc>
        <w:tc>
          <w:tcPr>
            <w:tcW w:w="1428" w:type="dxa"/>
          </w:tcPr>
          <w:p>
            <w:pPr>
              <w:rPr>
                <w:sz w:val="20"/>
                <w:szCs w:val="20"/>
              </w:rPr>
            </w:pPr>
            <w:r>
              <w:rPr>
                <w:sz w:val="20"/>
                <w:szCs w:val="20"/>
              </w:rPr>
              <w:t>…thiol</w:t>
            </w:r>
          </w:p>
        </w:tc>
      </w:tr>
      <w:tr>
        <w:tc>
          <w:tcPr>
            <w:tcW w:w="1499" w:type="dxa"/>
          </w:tcPr>
          <w:p>
            <w:pPr>
              <w:rPr>
                <w:sz w:val="20"/>
                <w:szCs w:val="20"/>
              </w:rPr>
            </w:pPr>
            <w:r>
              <w:rPr>
                <w:sz w:val="20"/>
                <w:szCs w:val="20"/>
              </w:rPr>
              <w:t>Amines</w:t>
            </w:r>
          </w:p>
          <w:p>
            <w:pPr>
              <w:rPr>
                <w:sz w:val="20"/>
                <w:szCs w:val="20"/>
              </w:rPr>
            </w:pPr>
          </w:p>
        </w:tc>
        <w:tc>
          <w:tcPr>
            <w:tcW w:w="2654"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54" w:type="dxa"/>
          </w:tcPr>
          <w:p>
            <w:pPr>
              <w:rPr>
                <w:sz w:val="20"/>
                <w:szCs w:val="20"/>
              </w:rPr>
            </w:pPr>
            <w:r>
              <w:rPr>
                <w:sz w:val="20"/>
                <w:szCs w:val="20"/>
              </w:rPr>
              <w:t>amino</w:t>
            </w:r>
          </w:p>
        </w:tc>
        <w:tc>
          <w:tcPr>
            <w:tcW w:w="1428" w:type="dxa"/>
          </w:tcPr>
          <w:p>
            <w:pPr>
              <w:rPr>
                <w:sz w:val="20"/>
                <w:szCs w:val="20"/>
              </w:rPr>
            </w:pPr>
            <w:r>
              <w:rPr>
                <w:sz w:val="20"/>
                <w:szCs w:val="20"/>
              </w:rPr>
              <w:t>…amine</w:t>
            </w:r>
          </w:p>
          <w:p>
            <w:pPr>
              <w:rPr>
                <w:sz w:val="20"/>
                <w:szCs w:val="20"/>
              </w:rPr>
            </w:pPr>
            <w:r>
              <w:rPr>
                <w:sz w:val="20"/>
                <w:szCs w:val="20"/>
              </w:rPr>
              <w:t xml:space="preserve">(Chaines 2aires en </w:t>
            </w:r>
            <w:r>
              <w:rPr>
                <w:sz w:val="20"/>
                <w:szCs w:val="20"/>
              </w:rPr>
              <w:t>préfixe N-alkyl)</w:t>
            </w:r>
          </w:p>
        </w:tc>
      </w:tr>
      <w:tr>
        <w:tc>
          <w:tcPr>
            <w:tcW w:w="1499" w:type="dxa"/>
          </w:tcPr>
          <w:p>
            <w:pPr>
              <w:rPr>
                <w:sz w:val="20"/>
                <w:szCs w:val="20"/>
              </w:rPr>
            </w:pPr>
            <w:r>
              <w:rPr>
                <w:sz w:val="20"/>
                <w:szCs w:val="20"/>
              </w:rPr>
              <w:t>Éther/Époxydes</w:t>
            </w:r>
          </w:p>
        </w:tc>
        <w:tc>
          <w:tcPr>
            <w:tcW w:w="2654"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54" w:type="dxa"/>
          </w:tcPr>
          <w:p>
            <w:pPr>
              <w:rPr>
                <w:sz w:val="20"/>
                <w:szCs w:val="20"/>
              </w:rPr>
            </w:pPr>
            <w:r>
              <w:rPr>
                <w:sz w:val="20"/>
                <w:szCs w:val="20"/>
              </w:rPr>
              <w:t>Oxy/Alkoxy</w:t>
            </w:r>
          </w:p>
        </w:tc>
        <w:tc>
          <w:tcPr>
            <w:tcW w:w="1428"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La position des groupes portés par les atomes d’azotes est indiquée par un N- (exemple 1 : N-méthyl ; exemple 2 : N,N diméthyl)</w:t>
      </w:r>
    </w:p>
    <w:p>
      <w:r>
        <w:t>Fonction chimique atomes ou groupements d’atomes qui contiennent des hétéroatomes X (F, Cl, Br, I), N, O, P, S. Ils sont indiqués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lastRenderedPageBreak/>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p>
      <w:r>
        <w:rPr>
          <w:noProof/>
        </w:rPr>
        <w:drawing>
          <wp:inline distT="0" distB="0" distL="0" distR="0">
            <wp:extent cx="3028950" cy="206885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7642" cy="2081619"/>
                    </a:xfrm>
                    <a:prstGeom prst="rect">
                      <a:avLst/>
                    </a:prstGeom>
                    <a:noFill/>
                    <a:ln>
                      <a:noFill/>
                    </a:ln>
                  </pic:spPr>
                </pic:pic>
              </a:graphicData>
            </a:graphic>
          </wp:inline>
        </w:drawing>
      </w:r>
    </w:p>
    <w:p>
      <w:r>
        <w:t>Pour les cycles, on parle de liaisons cis/trans</w:t>
      </w:r>
    </w:p>
    <w:p>
      <w:r>
        <w:rPr>
          <w:noProof/>
        </w:rPr>
        <w:drawing>
          <wp:inline distT="0" distB="0" distL="0" distR="0">
            <wp:extent cx="2715266" cy="123825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4498" cy="1242460"/>
                    </a:xfrm>
                    <a:prstGeom prst="rect">
                      <a:avLst/>
                    </a:prstGeom>
                    <a:noFill/>
                    <a:ln>
                      <a:noFill/>
                    </a:ln>
                  </pic:spPr>
                </pic:pic>
              </a:graphicData>
            </a:graphic>
          </wp:inline>
        </w:drawing>
      </w:r>
    </w:p>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lastRenderedPageBreak/>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Type de formule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Brute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plane</w:t>
            </w:r>
          </w:p>
        </w:tc>
        <w:tc>
          <w:tcPr>
            <w:tcW w:w="2445" w:type="dxa"/>
          </w:tcPr>
          <w:p>
            <w:pPr>
              <w:cnfStyle w:val="000000000000" w:firstRow="0" w:lastRow="0" w:firstColumn="0" w:lastColumn="0" w:oddVBand="0" w:evenVBand="0" w:oddHBand="0" w:evenHBand="0" w:firstRowFirstColumn="0" w:firstRowLastColumn="0" w:lastRowFirstColumn="0" w:lastRowLastColumn="0"/>
            </w:pPr>
            <w:r>
              <w:t>Représentation de tous les atomes</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Lewis</w:t>
            </w: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 doublet non liant</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 formule semi développé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Topologique</w:t>
            </w: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sous la forme de ligne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Cram</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Newman</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Fischer</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Remarque : La représentation de Fischer est particulièrement utilisée en biochimie pour les sucres et les acides alpha aminée.</w:t>
      </w:r>
    </w:p>
    <w:p/>
    <w:p>
      <w:r>
        <w:t>Une molécule possède au maximum 2</w:t>
      </w:r>
      <w:r>
        <w:rPr>
          <w:vertAlign w:val="superscript"/>
        </w:rPr>
        <w:t xml:space="preserve">n </w:t>
      </w:r>
      <w:r>
        <w:t>stéréoisomères.</w:t>
      </w:r>
    </w:p>
    <w:sectPr>
      <w:footerReference w:type="default" r:id="rId41"/>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9"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1"/>
  </w:num>
  <w:num w:numId="4">
    <w:abstractNumId w:val="1"/>
  </w:num>
  <w:num w:numId="5">
    <w:abstractNumId w:val="5"/>
  </w:num>
  <w:num w:numId="6">
    <w:abstractNumId w:val="2"/>
  </w:num>
  <w:num w:numId="7">
    <w:abstractNumId w:val="0"/>
  </w:num>
  <w:num w:numId="8">
    <w:abstractNumId w:val="19"/>
  </w:num>
  <w:num w:numId="9">
    <w:abstractNumId w:val="18"/>
  </w:num>
  <w:num w:numId="10">
    <w:abstractNumId w:val="22"/>
  </w:num>
  <w:num w:numId="11">
    <w:abstractNumId w:val="16"/>
  </w:num>
  <w:num w:numId="12">
    <w:abstractNumId w:val="14"/>
  </w:num>
  <w:num w:numId="13">
    <w:abstractNumId w:val="24"/>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7"/>
  </w:num>
  <w:num w:numId="21">
    <w:abstractNumId w:val="15"/>
  </w:num>
  <w:num w:numId="22">
    <w:abstractNumId w:val="13"/>
  </w:num>
  <w:num w:numId="23">
    <w:abstractNumId w:val="8"/>
  </w:num>
  <w:num w:numId="24">
    <w:abstractNumId w:val="23"/>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8</Pages>
  <Words>1899</Words>
  <Characters>10449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98</cp:revision>
  <dcterms:created xsi:type="dcterms:W3CDTF">2020-09-08T20:41:00Z</dcterms:created>
  <dcterms:modified xsi:type="dcterms:W3CDTF">2021-09-16T07:22:00Z</dcterms:modified>
</cp:coreProperties>
</file>