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93A" w:rsidRDefault="00D2793A" w:rsidP="00E8141F">
      <w:pPr>
        <w:pStyle w:val="Titre1"/>
        <w:ind w:firstLine="708"/>
      </w:pPr>
      <w:r>
        <w:t>Probabilité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460"/>
        <w:gridCol w:w="3875"/>
      </w:tblGrid>
      <w:tr w:rsidR="005C27E7" w:rsidTr="000B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0" w:type="dxa"/>
          </w:tcPr>
          <w:p w:rsidR="005C27E7" w:rsidRPr="00DC6F0A" w:rsidRDefault="005C27E7" w:rsidP="00186E8F">
            <w:pPr>
              <w:jc w:val="center"/>
              <w:rPr>
                <w:b w:val="0"/>
                <w:bCs/>
              </w:rPr>
            </w:pPr>
            <w:r w:rsidRPr="00DC6F0A">
              <w:rPr>
                <w:bCs/>
              </w:rPr>
              <w:t>Probabilité</w:t>
            </w:r>
          </w:p>
        </w:tc>
        <w:tc>
          <w:tcPr>
            <w:tcW w:w="3875" w:type="dxa"/>
          </w:tcPr>
          <w:p w:rsidR="005C27E7" w:rsidRPr="00DC6F0A" w:rsidRDefault="00DC6F0A" w:rsidP="00186E8F">
            <w:pPr>
              <w:jc w:val="center"/>
              <w:rPr>
                <w:b w:val="0"/>
                <w:bCs/>
              </w:rPr>
            </w:pPr>
            <w:r w:rsidRPr="00DC6F0A">
              <w:rPr>
                <w:bCs/>
              </w:rPr>
              <w:t>Propriétés</w:t>
            </w:r>
          </w:p>
        </w:tc>
      </w:tr>
      <w:tr w:rsidR="005C27E7" w:rsidTr="000B3478">
        <w:tc>
          <w:tcPr>
            <w:tcW w:w="3460" w:type="dxa"/>
          </w:tcPr>
          <w:p w:rsidR="00853AEE" w:rsidRDefault="00853AEE" w:rsidP="00A25B61">
            <w:r>
              <w:t xml:space="preserve">A un événement de </w:t>
            </w:r>
            <w:r>
              <w:rPr>
                <w:rFonts w:cstheme="minorHAnsi"/>
              </w:rPr>
              <w:t>Ω.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=[0;1]</m:t>
                </m:r>
              </m:oMath>
            </m:oMathPara>
          </w:p>
        </w:tc>
        <w:tc>
          <w:tcPr>
            <w:tcW w:w="3875" w:type="dxa"/>
          </w:tcPr>
          <w:p w:rsidR="00853AEE" w:rsidRPr="00853AEE" w:rsidRDefault="00853AEE" w:rsidP="00853AE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  <w:p w:rsidR="005C27E7" w:rsidRPr="00853AEE" w:rsidRDefault="00853AEE" w:rsidP="00853AE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</w:tc>
      </w:tr>
    </w:tbl>
    <w:p w:rsidR="00B9657A" w:rsidRDefault="000A37A2" w:rsidP="00B939A1">
      <w:pPr>
        <w:pStyle w:val="Titre3"/>
      </w:pPr>
      <w:r>
        <w:t xml:space="preserve"> </w:t>
      </w:r>
      <m:oMath>
        <m:r>
          <w:rPr>
            <w:rFonts w:ascii="Cambria Math" w:hAnsi="Cambria Math"/>
          </w:rPr>
          <m:t>f:R→R</m:t>
        </m:r>
      </m:oMath>
      <w:r w:rsidR="00B9657A">
        <w:t xml:space="preserve"> </w:t>
      </w:r>
      <w:proofErr w:type="gramStart"/>
      <w:r w:rsidR="00B9657A">
        <w:t>est</w:t>
      </w:r>
      <w:proofErr w:type="gramEnd"/>
      <w:r w:rsidR="00B9657A">
        <w:t xml:space="preserve"> une densité de probabilité d’une variable aléatoire :</w:t>
      </w:r>
    </w:p>
    <w:tbl>
      <w:tblPr>
        <w:tblStyle w:val="Grilledetableauclaire"/>
        <w:tblW w:w="0" w:type="auto"/>
        <w:tblLook w:val="0440" w:firstRow="0" w:lastRow="1" w:firstColumn="0" w:lastColumn="0" w:noHBand="0" w:noVBand="1"/>
      </w:tblPr>
      <w:tblGrid>
        <w:gridCol w:w="1413"/>
        <w:gridCol w:w="3477"/>
        <w:gridCol w:w="2445"/>
      </w:tblGrid>
      <w:tr w:rsidR="00B9657A" w:rsidTr="00B939A1">
        <w:tc>
          <w:tcPr>
            <w:tcW w:w="1413" w:type="dxa"/>
          </w:tcPr>
          <w:p w:rsidR="00B9657A" w:rsidRDefault="00B9657A" w:rsidP="00DC6F0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)≥0</m:t>
                </m:r>
              </m:oMath>
            </m:oMathPara>
          </w:p>
        </w:tc>
        <w:tc>
          <w:tcPr>
            <w:tcW w:w="3477" w:type="dxa"/>
          </w:tcPr>
          <w:p w:rsidR="00B9657A" w:rsidRPr="00B9657A" w:rsidRDefault="00B9657A" w:rsidP="00DC6F0A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</w:t>
            </w:r>
            <w:proofErr w:type="gramStart"/>
            <w:r>
              <w:rPr>
                <w:iCs/>
              </w:rPr>
              <w:t>est</w:t>
            </w:r>
            <w:proofErr w:type="gramEnd"/>
            <w:r>
              <w:rPr>
                <w:iCs/>
              </w:rPr>
              <w:t xml:space="preserve"> continue par morceau</w:t>
            </w:r>
            <m:oMath>
              <m:r>
                <m:rPr>
                  <m:sty m:val="p"/>
                </m:rPr>
                <w:rPr>
                  <w:rFonts w:ascii="Cambria Math" w:hAnsi="Cambria Math" w:cs="Open Sans Light"/>
                </w:rPr>
                <w:br/>
              </m:r>
            </m:oMath>
            <m:oMathPara>
              <m:oMath>
                <m:r>
                  <w:rPr>
                    <w:rFonts w:ascii="Cambria Math" w:hAnsi="Cambria Math" w:cs="Open Sans Light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Open Sans Light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Open Sans Light"/>
                      </w:rPr>
                      <m:t>Xϵ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Open Sans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 Light"/>
                          </w:rPr>
                          <m:t>a;b</m:t>
                        </m:r>
                      </m:e>
                    </m:d>
                  </m:e>
                </m:d>
                <m:r>
                  <w:rPr>
                    <w:rFonts w:ascii="Cambria Math" w:hAnsi="Cambria Math" w:cs="Open Sans Light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Open Sans Light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Open Sans Light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Open Sans Light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Open Sans Ligh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Open Sans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 Light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Open Sans Light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445" w:type="dxa"/>
          </w:tcPr>
          <w:p w:rsidR="00B9657A" w:rsidRDefault="001054F0" w:rsidP="00DC6F0A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</w:tr>
    </w:tbl>
    <w:p w:rsidR="00B9657A" w:rsidRDefault="00B9657A" w:rsidP="009F6BD2">
      <w:pPr>
        <w:pStyle w:val="Titre3"/>
      </w:pPr>
      <w:r>
        <w:t xml:space="preserve"> </w:t>
      </w:r>
      <m:oMath>
        <m:r>
          <w:rPr>
            <w:rFonts w:ascii="Cambria Math" w:hAnsi="Cambria Math"/>
          </w:rPr>
          <m:t>f:R→R</m:t>
        </m:r>
      </m:oMath>
      <w:r>
        <w:t xml:space="preserve"> </w:t>
      </w:r>
      <w:proofErr w:type="gramStart"/>
      <w:r>
        <w:t>est</w:t>
      </w:r>
      <w:proofErr w:type="gramEnd"/>
      <w:r>
        <w:t xml:space="preserve"> une fonction de répartition d’une </w:t>
      </w:r>
      <w:r w:rsidRPr="00DC6F0A">
        <w:t>variable</w:t>
      </w:r>
      <w:r>
        <w:t xml:space="preserve"> aléatoire: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B9657A" w:rsidTr="000B3478">
        <w:tc>
          <w:tcPr>
            <w:tcW w:w="2445" w:type="dxa"/>
          </w:tcPr>
          <w:p w:rsidR="00B9657A" w:rsidRPr="00B9657A" w:rsidRDefault="00DC6F0A" w:rsidP="00DC6F0A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 w:rsidR="00B9657A" w:rsidRPr="00B9657A">
              <w:t>est</w:t>
            </w:r>
            <w:proofErr w:type="gramEnd"/>
            <w:r w:rsidR="00B9657A" w:rsidRPr="00B9657A">
              <w:t xml:space="preserve"> continue à droite</w:t>
            </w:r>
          </w:p>
          <w:p w:rsidR="00B9657A" w:rsidRDefault="00B9657A" w:rsidP="00DC6F0A"/>
        </w:tc>
        <w:tc>
          <w:tcPr>
            <w:tcW w:w="2445" w:type="dxa"/>
          </w:tcPr>
          <w:p w:rsidR="00DC6F0A" w:rsidRPr="00B9657A" w:rsidRDefault="00DC6F0A" w:rsidP="00DC6F0A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 w:rsidRPr="00B9657A">
              <w:t>est</w:t>
            </w:r>
            <w:proofErr w:type="gramEnd"/>
            <w:r w:rsidRPr="00B9657A">
              <w:t xml:space="preserve"> </w:t>
            </w:r>
            <w:r>
              <w:t>croissante</w:t>
            </w:r>
          </w:p>
          <w:p w:rsidR="00B9657A" w:rsidRDefault="00B9657A" w:rsidP="00DC6F0A"/>
        </w:tc>
        <w:tc>
          <w:tcPr>
            <w:tcW w:w="2445" w:type="dxa"/>
          </w:tcPr>
          <w:p w:rsidR="00B9657A" w:rsidRPr="00DC6F0A" w:rsidRDefault="001054F0" w:rsidP="00DC6F0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DC6F0A" w:rsidRDefault="001054F0" w:rsidP="00DC6F0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+∞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:rsidR="006821E4" w:rsidRDefault="00C31539" w:rsidP="000A4A0E">
      <w:pPr>
        <w:rPr>
          <w:rFonts w:eastAsiaTheme="minorEastAsia"/>
        </w:rPr>
      </w:pPr>
      <w:r>
        <w:rPr>
          <w:rFonts w:eastAsiaTheme="minorEastAsia"/>
        </w:rPr>
        <w:t xml:space="preserve">Propriété : </w:t>
      </w:r>
      <w:r w:rsidR="00812C21">
        <w:rPr>
          <w:rFonts w:eastAsiaTheme="minorEastAsia"/>
        </w:rPr>
        <w:t>Pour le</w:t>
      </w:r>
      <w:r>
        <w:rPr>
          <w:rFonts w:eastAsiaTheme="minorEastAsia"/>
        </w:rPr>
        <w:t xml:space="preserve"> calcul de l’air sous la courbe</w:t>
      </w:r>
      <w:r w:rsidR="00812C21">
        <w:rPr>
          <w:rFonts w:eastAsiaTheme="minorEastAsia"/>
        </w:rPr>
        <w:t>, on peut utiliser la propriété suivante :</w:t>
      </w:r>
    </w:p>
    <w:p w:rsidR="0022036F" w:rsidRPr="006821E4" w:rsidRDefault="00FF0FDE" w:rsidP="000A4A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:rsidR="006821E4" w:rsidRDefault="006821E4" w:rsidP="006821E4">
      <w:pPr>
        <w:pStyle w:val="Titre2"/>
        <w:rPr>
          <w:rFonts w:eastAsiaTheme="minorEastAsia"/>
        </w:rPr>
      </w:pPr>
      <w:r>
        <w:rPr>
          <w:rFonts w:eastAsiaTheme="minorEastAsia"/>
        </w:rPr>
        <w:t>Indicateurs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821E4" w:rsidTr="000B3478">
        <w:tc>
          <w:tcPr>
            <w:tcW w:w="3667" w:type="dxa"/>
          </w:tcPr>
          <w:p w:rsidR="006821E4" w:rsidRDefault="006821E4" w:rsidP="000A4A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Espérance</w:t>
            </w:r>
          </w:p>
        </w:tc>
        <w:tc>
          <w:tcPr>
            <w:tcW w:w="3668" w:type="dxa"/>
          </w:tcPr>
          <w:p w:rsidR="006821E4" w:rsidRDefault="006821E4" w:rsidP="000A4A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 w:rsidR="006821E4" w:rsidTr="000B3478">
        <w:trPr>
          <w:trHeight w:val="659"/>
        </w:trPr>
        <w:tc>
          <w:tcPr>
            <w:tcW w:w="3667" w:type="dxa"/>
          </w:tcPr>
          <w:p w:rsidR="006821E4" w:rsidRDefault="006821E4" w:rsidP="000A4A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Xxdx</m:t>
                    </m:r>
                  </m:e>
                </m:nary>
              </m:oMath>
            </m:oMathPara>
          </w:p>
        </w:tc>
        <w:tc>
          <w:tcPr>
            <w:tcW w:w="3668" w:type="dxa"/>
          </w:tcPr>
          <w:p w:rsidR="006821E4" w:rsidRDefault="006821E4" w:rsidP="000A4A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)²dx</m:t>
                    </m:r>
                  </m:e>
                </m:nary>
              </m:oMath>
            </m:oMathPara>
          </w:p>
        </w:tc>
      </w:tr>
    </w:tbl>
    <w:p w:rsidR="006821E4" w:rsidRDefault="006821E4" w:rsidP="006821E4">
      <w:pPr>
        <w:pStyle w:val="Titre3"/>
        <w:rPr>
          <w:rFonts w:eastAsiaTheme="minorEastAsia"/>
        </w:rPr>
      </w:pPr>
      <w:r>
        <w:rPr>
          <w:rFonts w:eastAsiaTheme="minorEastAsia"/>
        </w:rPr>
        <w:t>Moyenne et espérance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821E4" w:rsidTr="000B3478">
        <w:tc>
          <w:tcPr>
            <w:tcW w:w="3667" w:type="dxa"/>
          </w:tcPr>
          <w:p w:rsidR="006821E4" w:rsidRDefault="006821E4" w:rsidP="00B71CFC">
            <w:r>
              <w:t>Espérance</w:t>
            </w:r>
          </w:p>
        </w:tc>
        <w:tc>
          <w:tcPr>
            <w:tcW w:w="3668" w:type="dxa"/>
          </w:tcPr>
          <w:p w:rsidR="006821E4" w:rsidRDefault="006821E4" w:rsidP="00B71CFC">
            <w:r>
              <w:t>Moyenne</w:t>
            </w:r>
          </w:p>
        </w:tc>
      </w:tr>
      <w:tr w:rsidR="006821E4" w:rsidTr="000B3478">
        <w:tc>
          <w:tcPr>
            <w:tcW w:w="3667" w:type="dxa"/>
          </w:tcPr>
          <w:p w:rsidR="006821E4" w:rsidRDefault="006821E4" w:rsidP="00B71CFC">
            <w:r>
              <w:t>Valeur théorique moyenne.</w:t>
            </w:r>
          </w:p>
        </w:tc>
        <w:tc>
          <w:tcPr>
            <w:tcW w:w="3668" w:type="dxa"/>
          </w:tcPr>
          <w:p w:rsidR="006821E4" w:rsidRDefault="006821E4" w:rsidP="00B71CFC">
            <w:r>
              <w:t>Valeur moyenne obtenu</w:t>
            </w:r>
            <w:r w:rsidR="00A11BD4">
              <w:t>e</w:t>
            </w:r>
            <w:r>
              <w:t xml:space="preserve"> pour une expérience.</w:t>
            </w:r>
          </w:p>
        </w:tc>
      </w:tr>
    </w:tbl>
    <w:p w:rsidR="006821E4" w:rsidRDefault="00812C21" w:rsidP="000A4A0E">
      <w:pPr>
        <w:rPr>
          <w:rFonts w:eastAsiaTheme="minorEastAsia"/>
        </w:rPr>
      </w:pPr>
      <w:r>
        <w:rPr>
          <w:rFonts w:eastAsiaTheme="minorEastAsia"/>
        </w:rPr>
        <w:t>Remarque : L’espérance</w:t>
      </w:r>
      <w:r w:rsidR="006821E4">
        <w:rPr>
          <w:rFonts w:eastAsiaTheme="minorEastAsia"/>
        </w:rPr>
        <w:t xml:space="preserve"> </w:t>
      </w:r>
      <w:r w:rsidR="00B54FB0">
        <w:rPr>
          <w:rFonts w:eastAsiaTheme="minorEastAsia"/>
        </w:rPr>
        <w:t xml:space="preserve">est </w:t>
      </w:r>
      <w:r>
        <w:rPr>
          <w:rFonts w:eastAsiaTheme="minorEastAsia"/>
        </w:rPr>
        <w:t>une</w:t>
      </w:r>
      <w:r w:rsidR="00B54FB0">
        <w:rPr>
          <w:rFonts w:eastAsiaTheme="minorEastAsia"/>
        </w:rPr>
        <w:t xml:space="preserve"> valeur </w:t>
      </w:r>
      <w:r w:rsidR="006821E4">
        <w:rPr>
          <w:rFonts w:eastAsiaTheme="minorEastAsia"/>
        </w:rPr>
        <w:t>théorique</w:t>
      </w:r>
      <w:r>
        <w:rPr>
          <w:rFonts w:eastAsiaTheme="minorEastAsia"/>
        </w:rPr>
        <w:t xml:space="preserve"> alors que</w:t>
      </w:r>
      <w:r w:rsidR="00B54FB0">
        <w:rPr>
          <w:rFonts w:eastAsiaTheme="minorEastAsia"/>
        </w:rPr>
        <w:t xml:space="preserve"> </w:t>
      </w:r>
      <w:r>
        <w:rPr>
          <w:rFonts w:eastAsiaTheme="minorEastAsia"/>
        </w:rPr>
        <w:t>l</w:t>
      </w:r>
      <w:r w:rsidR="00B54FB0">
        <w:rPr>
          <w:rFonts w:eastAsiaTheme="minorEastAsia"/>
        </w:rPr>
        <w:t xml:space="preserve">a </w:t>
      </w:r>
      <w:r w:rsidR="006821E4">
        <w:rPr>
          <w:rFonts w:eastAsiaTheme="minorEastAsia"/>
        </w:rPr>
        <w:t xml:space="preserve">moyenne </w:t>
      </w:r>
      <w:r>
        <w:rPr>
          <w:rFonts w:eastAsiaTheme="minorEastAsia"/>
        </w:rPr>
        <w:t>est</w:t>
      </w:r>
      <w:r w:rsidR="00B54F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la valeur obtenue à partir </w:t>
      </w:r>
      <w:r w:rsidR="00B54FB0">
        <w:rPr>
          <w:rFonts w:eastAsiaTheme="minorEastAsia"/>
        </w:rPr>
        <w:t>estimé</w:t>
      </w:r>
      <w:r w:rsidR="00A11BD4">
        <w:rPr>
          <w:rFonts w:eastAsiaTheme="minorEastAsia"/>
        </w:rPr>
        <w:t>e</w:t>
      </w:r>
      <w:r w:rsidR="00B54FB0">
        <w:rPr>
          <w:rFonts w:eastAsiaTheme="minorEastAsia"/>
        </w:rPr>
        <w:t xml:space="preserve"> </w:t>
      </w:r>
      <w:r>
        <w:rPr>
          <w:rFonts w:eastAsiaTheme="minorEastAsia"/>
        </w:rPr>
        <w:t>d</w:t>
      </w:r>
      <w:r w:rsidR="00B54FB0">
        <w:rPr>
          <w:rFonts w:eastAsiaTheme="minorEastAsia"/>
        </w:rPr>
        <w:t xml:space="preserve">es </w:t>
      </w:r>
      <w:r w:rsidR="006821E4">
        <w:rPr>
          <w:rFonts w:eastAsiaTheme="minorEastAsia"/>
        </w:rPr>
        <w:t>données</w:t>
      </w:r>
      <w:r>
        <w:rPr>
          <w:rFonts w:eastAsiaTheme="minorEastAsia"/>
        </w:rPr>
        <w:t>.</w:t>
      </w:r>
    </w:p>
    <w:p w:rsidR="006821E4" w:rsidRDefault="006821E4" w:rsidP="00B54FB0">
      <w:pPr>
        <w:pStyle w:val="Titre3"/>
        <w:rPr>
          <w:rFonts w:eastAsiaTheme="minorEastAsia"/>
        </w:rPr>
      </w:pPr>
      <w:r>
        <w:rPr>
          <w:rFonts w:eastAsiaTheme="minorEastAsia"/>
        </w:rPr>
        <w:t>Propriété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821E4" w:rsidTr="000B3478">
        <w:tc>
          <w:tcPr>
            <w:tcW w:w="3667" w:type="dxa"/>
          </w:tcPr>
          <w:p w:rsidR="006821E4" w:rsidRDefault="00331DB1" w:rsidP="000A4A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L’espérance est linéaire</w:t>
            </w:r>
          </w:p>
        </w:tc>
        <w:tc>
          <w:tcPr>
            <w:tcW w:w="3668" w:type="dxa"/>
          </w:tcPr>
          <w:p w:rsidR="006821E4" w:rsidRDefault="00331DB1" w:rsidP="000A4A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 w:rsidR="00331DB1" w:rsidTr="000B3478">
        <w:tc>
          <w:tcPr>
            <w:tcW w:w="3667" w:type="dxa"/>
          </w:tcPr>
          <w:p w:rsidR="00331DB1" w:rsidRDefault="00331DB1" w:rsidP="000A4A0E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E(aX+Y)=aE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+E(Y)</m:t>
                </m:r>
              </m:oMath>
            </m:oMathPara>
          </w:p>
        </w:tc>
        <w:tc>
          <w:tcPr>
            <w:tcW w:w="3668" w:type="dxa"/>
          </w:tcPr>
          <w:p w:rsidR="00331DB1" w:rsidRDefault="00331DB1" w:rsidP="000A4A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=a²Var(X)</m:t>
                </m:r>
              </m:oMath>
            </m:oMathPara>
          </w:p>
        </w:tc>
      </w:tr>
    </w:tbl>
    <w:p w:rsidR="006821E4" w:rsidRDefault="006821E4" w:rsidP="006821E4">
      <w:pPr>
        <w:pStyle w:val="Titre2"/>
        <w:rPr>
          <w:rFonts w:eastAsiaTheme="minorEastAsia"/>
        </w:rPr>
      </w:pPr>
      <w:r>
        <w:rPr>
          <w:rFonts w:eastAsiaTheme="minorEastAsia"/>
        </w:rPr>
        <w:t>Lois continues</w:t>
      </w:r>
    </w:p>
    <w:p w:rsidR="001B29F1" w:rsidRPr="001B29F1" w:rsidRDefault="001B29F1" w:rsidP="001B29F1"/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696"/>
        <w:gridCol w:w="1843"/>
        <w:gridCol w:w="1962"/>
        <w:gridCol w:w="1834"/>
      </w:tblGrid>
      <w:tr w:rsidR="006E5548" w:rsidTr="000B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:rsidR="006E5548" w:rsidRPr="00E41239" w:rsidRDefault="0028121A" w:rsidP="006E5548">
            <w:pPr>
              <w:jc w:val="center"/>
              <w:rPr>
                <w:rFonts w:eastAsiaTheme="minorEastAsia"/>
                <w:b w:val="0"/>
                <w:bCs/>
              </w:rPr>
            </w:pPr>
            <w:r w:rsidRPr="00E41239">
              <w:rPr>
                <w:rFonts w:eastAsiaTheme="minorEastAsia"/>
                <w:bCs/>
              </w:rPr>
              <w:t>Loi</w:t>
            </w:r>
          </w:p>
        </w:tc>
        <w:tc>
          <w:tcPr>
            <w:tcW w:w="1843" w:type="dxa"/>
          </w:tcPr>
          <w:p w:rsidR="006E5548" w:rsidRPr="00E41239" w:rsidRDefault="006E5548" w:rsidP="006E5548">
            <w:pPr>
              <w:jc w:val="center"/>
              <w:rPr>
                <w:rFonts w:eastAsiaTheme="minorEastAsia"/>
                <w:b w:val="0"/>
                <w:bCs/>
              </w:rPr>
            </w:pPr>
            <w:r w:rsidRPr="00E41239">
              <w:rPr>
                <w:rFonts w:eastAsiaTheme="minorEastAsia"/>
                <w:bCs/>
              </w:rPr>
              <w:t>Paramètres</w:t>
            </w:r>
          </w:p>
        </w:tc>
        <w:tc>
          <w:tcPr>
            <w:tcW w:w="1962" w:type="dxa"/>
          </w:tcPr>
          <w:p w:rsidR="006E5548" w:rsidRPr="00E41239" w:rsidRDefault="006E5548" w:rsidP="006E5548">
            <w:pPr>
              <w:jc w:val="center"/>
              <w:rPr>
                <w:rFonts w:eastAsiaTheme="minorEastAsia"/>
                <w:b w:val="0"/>
                <w:bCs/>
              </w:rPr>
            </w:pPr>
            <w:r w:rsidRPr="00E41239">
              <w:rPr>
                <w:rFonts w:eastAsiaTheme="minorEastAsia"/>
                <w:bCs/>
              </w:rPr>
              <w:t>Densité de probabilité</w:t>
            </w:r>
          </w:p>
        </w:tc>
        <w:tc>
          <w:tcPr>
            <w:tcW w:w="1834" w:type="dxa"/>
          </w:tcPr>
          <w:p w:rsidR="006E5548" w:rsidRPr="00E41239" w:rsidRDefault="006E5548" w:rsidP="006E5548">
            <w:pPr>
              <w:jc w:val="center"/>
              <w:rPr>
                <w:rFonts w:eastAsiaTheme="minorEastAsia"/>
                <w:b w:val="0"/>
                <w:bCs/>
              </w:rPr>
            </w:pPr>
            <w:r w:rsidRPr="00E41239">
              <w:rPr>
                <w:rFonts w:eastAsiaTheme="minorEastAsia"/>
                <w:bCs/>
              </w:rPr>
              <w:t>Fonction de répartition</w:t>
            </w:r>
          </w:p>
        </w:tc>
      </w:tr>
      <w:tr w:rsidR="006E5548" w:rsidTr="000B3478">
        <w:tc>
          <w:tcPr>
            <w:tcW w:w="1696" w:type="dxa"/>
          </w:tcPr>
          <w:p w:rsidR="006E5548" w:rsidRPr="006E5548" w:rsidRDefault="0028121A" w:rsidP="0028121A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 w:rsidR="006E5548">
              <w:rPr>
                <w:rFonts w:eastAsiaTheme="minorEastAsia"/>
              </w:rPr>
              <w:t>xponentielle</w:t>
            </w:r>
          </w:p>
          <w:p w:rsidR="006E5548" w:rsidRDefault="006E5548" w:rsidP="0028121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E(λ)</m:t>
                </m:r>
              </m:oMath>
            </m:oMathPara>
          </w:p>
        </w:tc>
        <w:tc>
          <w:tcPr>
            <w:tcW w:w="1843" w:type="dxa"/>
          </w:tcPr>
          <w:p w:rsidR="006E5548" w:rsidRDefault="006E5548" w:rsidP="0028121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λ&gt;0</m:t>
                </m:r>
              </m:oMath>
            </m:oMathPara>
          </w:p>
        </w:tc>
        <w:tc>
          <w:tcPr>
            <w:tcW w:w="1962" w:type="dxa"/>
          </w:tcPr>
          <w:p w:rsidR="006E5548" w:rsidRDefault="006E5548" w:rsidP="0028121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x&lt;0,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6E5548" w:rsidRDefault="006E5548" w:rsidP="00645C80">
            <w:pPr>
              <w:spacing w:line="360" w:lineRule="au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sinon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-λx</m:t>
                  </m:r>
                </m:sup>
              </m:sSup>
            </m:oMath>
          </w:p>
        </w:tc>
        <w:tc>
          <w:tcPr>
            <w:tcW w:w="1834" w:type="dxa"/>
          </w:tcPr>
          <w:p w:rsidR="006E5548" w:rsidRDefault="006E5548" w:rsidP="0028121A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x&lt;0,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=0 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sinon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-λx</m:t>
                  </m:r>
                </m:sup>
              </m:sSup>
            </m:oMath>
          </w:p>
        </w:tc>
      </w:tr>
      <w:tr w:rsidR="006E5548" w:rsidTr="000B3478">
        <w:tc>
          <w:tcPr>
            <w:tcW w:w="1696" w:type="dxa"/>
          </w:tcPr>
          <w:p w:rsidR="006E5548" w:rsidRDefault="0028121A" w:rsidP="0028121A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Uniforme</w:t>
            </w:r>
          </w:p>
          <w:p w:rsidR="0028121A" w:rsidRDefault="0028121A" w:rsidP="0028121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U(a,b)</m:t>
                </m:r>
              </m:oMath>
            </m:oMathPara>
          </w:p>
        </w:tc>
        <w:tc>
          <w:tcPr>
            <w:tcW w:w="1843" w:type="dxa"/>
          </w:tcPr>
          <w:p w:rsidR="006E5548" w:rsidRPr="00B9657A" w:rsidRDefault="0028121A" w:rsidP="0028121A"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a&lt;b</m:t>
                </m:r>
              </m:oMath>
            </m:oMathPara>
          </w:p>
          <w:p w:rsidR="00B9657A" w:rsidRDefault="00B9657A" w:rsidP="0028121A"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962" w:type="dxa"/>
          </w:tcPr>
          <w:p w:rsidR="006E5548" w:rsidRDefault="006E5548" w:rsidP="0028121A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sinon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834" w:type="dxa"/>
          </w:tcPr>
          <w:p w:rsidR="006E5548" w:rsidRPr="0028121A" w:rsidRDefault="0028121A" w:rsidP="0028121A"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x&lt;a, 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</m:t>
                </m:r>
              </m:oMath>
            </m:oMathPara>
          </w:p>
          <w:p w:rsidR="0028121A" w:rsidRDefault="0028121A" w:rsidP="00645C80">
            <w:pPr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  <w:p w:rsidR="0028121A" w:rsidRDefault="0028121A" w:rsidP="00645C80">
            <w:proofErr w:type="gramStart"/>
            <w:r>
              <w:t>sinon</w:t>
            </w:r>
            <w:proofErr w:type="gramEnd"/>
            <w:r>
              <w:t xml:space="preserve"> 1</w:t>
            </w:r>
          </w:p>
        </w:tc>
      </w:tr>
      <w:tr w:rsidR="006E5548" w:rsidTr="000B3478">
        <w:tc>
          <w:tcPr>
            <w:tcW w:w="1696" w:type="dxa"/>
          </w:tcPr>
          <w:p w:rsidR="006E5548" w:rsidRPr="006E5548" w:rsidRDefault="0028121A" w:rsidP="0028121A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  <w:r w:rsidR="006E5548">
              <w:rPr>
                <w:rFonts w:eastAsiaTheme="minorEastAsia"/>
              </w:rPr>
              <w:t>ormale</w:t>
            </w:r>
          </w:p>
          <w:p w:rsidR="006E5548" w:rsidRDefault="006E5548" w:rsidP="0028121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N(m;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43" w:type="dxa"/>
          </w:tcPr>
          <w:p w:rsidR="006E5548" w:rsidRDefault="0028121A" w:rsidP="0028121A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 w:rsidR="006E5548">
              <w:rPr>
                <w:rFonts w:eastAsiaTheme="minorEastAsia"/>
              </w:rPr>
              <w:t xml:space="preserve">spérance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</w:p>
          <w:p w:rsidR="006E5548" w:rsidRDefault="0028121A" w:rsidP="0028121A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Écart</w:t>
            </w:r>
            <w:r w:rsidR="006E5548">
              <w:rPr>
                <w:rFonts w:eastAsiaTheme="minorEastAsia"/>
              </w:rPr>
              <w:t xml:space="preserve">-type </w:t>
            </w:r>
            <m:oMath>
              <m:r>
                <w:rPr>
                  <w:rFonts w:ascii="Cambria Math" w:eastAsiaTheme="minorEastAsia" w:hAnsi="Cambria Math"/>
                </w:rPr>
                <m:t>σ&gt;0</m:t>
              </m:r>
            </m:oMath>
          </w:p>
        </w:tc>
        <w:tc>
          <w:tcPr>
            <w:tcW w:w="1962" w:type="dxa"/>
          </w:tcPr>
          <w:p w:rsidR="006E5548" w:rsidRDefault="001054F0" w:rsidP="0028121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-(x-m)²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2σ²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2πσ²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34" w:type="dxa"/>
          </w:tcPr>
          <w:p w:rsidR="006E5548" w:rsidRDefault="0028121A" w:rsidP="0028121A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On</w:t>
            </w:r>
            <w:r w:rsidR="006E5548">
              <w:rPr>
                <w:rFonts w:eastAsiaTheme="minorEastAsia"/>
              </w:rPr>
              <w:t xml:space="preserve"> se ramène à </w:t>
            </w:r>
            <m:oMath>
              <m:r>
                <w:rPr>
                  <w:rFonts w:ascii="Cambria Math" w:eastAsiaTheme="minorEastAsia" w:hAnsi="Cambria Math"/>
                </w:rPr>
                <m:t>N(0;1)</m:t>
              </m:r>
            </m:oMath>
            <w:r>
              <w:rPr>
                <w:rFonts w:eastAsiaTheme="minorEastAsia"/>
              </w:rPr>
              <w:t> :</w:t>
            </w:r>
          </w:p>
          <w:p w:rsidR="006E5548" w:rsidRDefault="001054F0" w:rsidP="0028121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</w:tr>
    </w:tbl>
    <w:p w:rsidR="0022036F" w:rsidRPr="00D92BFD" w:rsidRDefault="0022036F" w:rsidP="00A11BD4">
      <w:pPr>
        <w:pStyle w:val="Sansinterligne"/>
      </w:pPr>
    </w:p>
    <w:tbl>
      <w:tblPr>
        <w:tblStyle w:val="Grilledetableauclaire"/>
        <w:tblW w:w="7335" w:type="dxa"/>
        <w:tblLook w:val="0420" w:firstRow="1" w:lastRow="0" w:firstColumn="0" w:lastColumn="0" w:noHBand="0" w:noVBand="1"/>
      </w:tblPr>
      <w:tblGrid>
        <w:gridCol w:w="1994"/>
        <w:gridCol w:w="1322"/>
        <w:gridCol w:w="2411"/>
        <w:gridCol w:w="1608"/>
      </w:tblGrid>
      <w:tr w:rsidR="00B9657A" w:rsidTr="000B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4" w:type="dxa"/>
          </w:tcPr>
          <w:p w:rsidR="00B9657A" w:rsidRPr="00E41239" w:rsidRDefault="00B9657A" w:rsidP="00B9657A">
            <w:pPr>
              <w:jc w:val="center"/>
              <w:rPr>
                <w:rFonts w:eastAsiaTheme="minorEastAsia"/>
                <w:b w:val="0"/>
                <w:bCs/>
              </w:rPr>
            </w:pPr>
            <w:r w:rsidRPr="00E41239">
              <w:rPr>
                <w:rFonts w:eastAsiaTheme="minorEastAsia"/>
                <w:bCs/>
              </w:rPr>
              <w:t>Loi</w:t>
            </w:r>
          </w:p>
        </w:tc>
        <w:tc>
          <w:tcPr>
            <w:tcW w:w="1322" w:type="dxa"/>
          </w:tcPr>
          <w:p w:rsidR="00B9657A" w:rsidRDefault="00B9657A" w:rsidP="00B9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Espérance</w:t>
            </w:r>
          </w:p>
        </w:tc>
        <w:tc>
          <w:tcPr>
            <w:tcW w:w="2411" w:type="dxa"/>
          </w:tcPr>
          <w:p w:rsidR="00B9657A" w:rsidRDefault="00B9657A" w:rsidP="00B9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Quantiles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oMath>
          </w:p>
        </w:tc>
        <w:tc>
          <w:tcPr>
            <w:tcW w:w="1608" w:type="dxa"/>
          </w:tcPr>
          <w:p w:rsidR="00B9657A" w:rsidRDefault="006821E4" w:rsidP="00B9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 w:rsidR="00B9657A" w:rsidTr="000B3478">
        <w:tc>
          <w:tcPr>
            <w:tcW w:w="1994" w:type="dxa"/>
          </w:tcPr>
          <w:p w:rsidR="00B9657A" w:rsidRPr="006E5548" w:rsidRDefault="00B9657A" w:rsidP="00B9657A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Exponentielle</w:t>
            </w:r>
          </w:p>
          <w:p w:rsidR="00B9657A" w:rsidRDefault="00B9657A" w:rsidP="00B9657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E(λ)</m:t>
                </m:r>
              </m:oMath>
            </m:oMathPara>
          </w:p>
        </w:tc>
        <w:tc>
          <w:tcPr>
            <w:tcW w:w="1322" w:type="dxa"/>
          </w:tcPr>
          <w:p w:rsidR="00B9657A" w:rsidRPr="00B9657A" w:rsidRDefault="001054F0" w:rsidP="00B9657A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411" w:type="dxa"/>
          </w:tcPr>
          <w:p w:rsidR="00B9657A" w:rsidRDefault="001054F0" w:rsidP="00B9657A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608" w:type="dxa"/>
          </w:tcPr>
          <w:p w:rsidR="00B9657A" w:rsidRDefault="000C7BAB" w:rsidP="00B9657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σ²=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λ²</m:t>
                    </m:r>
                  </m:den>
                </m:f>
              </m:oMath>
            </m:oMathPara>
          </w:p>
        </w:tc>
      </w:tr>
      <w:tr w:rsidR="00B9657A" w:rsidTr="000B3478">
        <w:tc>
          <w:tcPr>
            <w:tcW w:w="1994" w:type="dxa"/>
          </w:tcPr>
          <w:p w:rsidR="00B9657A" w:rsidRDefault="00B9657A" w:rsidP="00B9657A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Uniforme</w:t>
            </w:r>
          </w:p>
          <w:p w:rsidR="00B9657A" w:rsidRDefault="00B9657A" w:rsidP="00B9657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U(a,b)</m:t>
                </m:r>
              </m:oMath>
            </m:oMathPara>
          </w:p>
        </w:tc>
        <w:tc>
          <w:tcPr>
            <w:tcW w:w="1322" w:type="dxa"/>
          </w:tcPr>
          <w:p w:rsidR="00B9657A" w:rsidRDefault="001054F0" w:rsidP="00B9657A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1" w:type="dxa"/>
          </w:tcPr>
          <w:p w:rsidR="00B9657A" w:rsidRDefault="00A11BD4" w:rsidP="00B9657A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b+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608" w:type="dxa"/>
          </w:tcPr>
          <w:p w:rsidR="00B9657A" w:rsidRDefault="001054F0" w:rsidP="00B9657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(b</m:t>
                    </m:r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  <m:r>
                      <w:rPr>
                        <w:rFonts w:ascii="Cambria Math" w:eastAsiaTheme="minorEastAsia" w:hAnsi="Cambria Math"/>
                      </w:rPr>
                      <m:t>)²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B9657A" w:rsidTr="00A11BD4">
        <w:trPr>
          <w:trHeight w:val="953"/>
        </w:trPr>
        <w:tc>
          <w:tcPr>
            <w:tcW w:w="1994" w:type="dxa"/>
          </w:tcPr>
          <w:p w:rsidR="00B9657A" w:rsidRPr="006E5548" w:rsidRDefault="00B9657A" w:rsidP="00B9657A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Normale</w:t>
            </w:r>
          </w:p>
          <w:p w:rsidR="00B9657A" w:rsidRDefault="00B9657A" w:rsidP="00B9657A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N(m;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22" w:type="dxa"/>
          </w:tcPr>
          <w:p w:rsidR="00B9657A" w:rsidRDefault="00467361" w:rsidP="00B9657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</w:tc>
        <w:tc>
          <w:tcPr>
            <w:tcW w:w="2411" w:type="dxa"/>
          </w:tcPr>
          <w:p w:rsidR="00B9657A" w:rsidRDefault="00B9657A" w:rsidP="00B9657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 reporter à la table</w:t>
            </w:r>
          </w:p>
          <w:p w:rsidR="00FC732E" w:rsidRDefault="00FC732E" w:rsidP="00B9657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1608" w:type="dxa"/>
          </w:tcPr>
          <w:p w:rsidR="00B9657A" w:rsidRDefault="001054F0" w:rsidP="00B9657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B9657A" w:rsidRDefault="007A6D97" w:rsidP="000A4A0E">
      <w:pPr>
        <w:rPr>
          <w:rFonts w:eastAsiaTheme="minorEastAsia"/>
        </w:rPr>
      </w:pPr>
      <w:r w:rsidRPr="007A6D97">
        <w:rPr>
          <w:rFonts w:eastAsiaTheme="minorEastAsia"/>
          <w:u w:val="single"/>
        </w:rPr>
        <w:t>NB</w:t>
      </w:r>
      <w:r>
        <w:rPr>
          <w:rFonts w:eastAsiaTheme="minorEastAsia"/>
        </w:rPr>
        <w:t xml:space="preserve"> l’espérance et l’écart type sont utiles pour retrouver les paramètres de la loi.</w:t>
      </w:r>
    </w:p>
    <w:p w:rsidR="0022036F" w:rsidRDefault="00A11BD4" w:rsidP="000A4A0E">
      <w:pPr>
        <w:rPr>
          <w:rFonts w:eastAsiaTheme="minorEastAsia"/>
        </w:rPr>
      </w:pPr>
      <w:r>
        <w:rPr>
          <w:rFonts w:eastAsiaTheme="minorEastAsia"/>
        </w:rPr>
        <w:t>Lecture</w:t>
      </w:r>
      <w:r w:rsidR="004A0FEB">
        <w:rPr>
          <w:rFonts w:eastAsiaTheme="minorEastAsia"/>
        </w:rPr>
        <w:t xml:space="preserve"> de la table de la loi Normale</w:t>
      </w:r>
      <w:r>
        <w:rPr>
          <w:rFonts w:eastAsiaTheme="minorEastAsia"/>
        </w:rPr>
        <w:t xml:space="preserve"> : on prend </w:t>
      </w:r>
      <w:r w:rsidR="004A0FEB">
        <w:rPr>
          <w:rFonts w:eastAsiaTheme="minorEastAsia"/>
        </w:rPr>
        <w:t>toujours la valeur inférieure.</w:t>
      </w:r>
    </w:p>
    <w:p w:rsidR="00D2793A" w:rsidRDefault="00D2793A" w:rsidP="00D2793A">
      <w:pPr>
        <w:pStyle w:val="Titre1"/>
        <w:rPr>
          <w:rFonts w:eastAsiaTheme="minorEastAsia"/>
        </w:rPr>
      </w:pPr>
      <w:r>
        <w:rPr>
          <w:rFonts w:eastAsiaTheme="minorEastAsia"/>
        </w:rPr>
        <w:t>Statistique</w:t>
      </w:r>
    </w:p>
    <w:p w:rsidR="00D2793A" w:rsidRDefault="00D2793A" w:rsidP="00D2793A">
      <w:r>
        <w:t xml:space="preserve">Échantillon </w:t>
      </w:r>
      <w:r w:rsidR="00B60443">
        <w:t>réalisation</w:t>
      </w:r>
      <w:r>
        <w:t xml:space="preserve"> n fois indépendamment d’une variable aléatoire </w:t>
      </w:r>
      <m:oMath>
        <m:r>
          <w:rPr>
            <w:rFonts w:ascii="Cambria Math" w:hAnsi="Cambria Math"/>
          </w:rPr>
          <m:t>X</m:t>
        </m:r>
      </m:oMath>
      <w:r>
        <w:t xml:space="preserve"> de la loi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et de fonction de répart</w:t>
      </w:r>
      <w:r w:rsidR="00372E32">
        <w:t>it</w:t>
      </w:r>
      <w:r>
        <w:t xml:space="preserve">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on note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:rsidR="00331DB1" w:rsidRDefault="00331DB1" w:rsidP="00331DB1">
      <w:pPr>
        <w:pStyle w:val="Titre2"/>
      </w:pPr>
      <w:r>
        <w:lastRenderedPageBreak/>
        <w:t>Estimateurs des indicateurs</w:t>
      </w:r>
      <w:r w:rsidR="0044682F">
        <w:t xml:space="preserve"> et théorie des grands nombres</w:t>
      </w:r>
    </w:p>
    <w:p w:rsidR="0044682F" w:rsidRPr="0044682F" w:rsidRDefault="0044682F" w:rsidP="0044682F">
      <w:r>
        <w:t>La moyenne empirique convergent vers l’espérance de la loi lorsque l’échantillon augmente.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331DB1" w:rsidTr="000B3478">
        <w:tc>
          <w:tcPr>
            <w:tcW w:w="3667" w:type="dxa"/>
          </w:tcPr>
          <w:p w:rsidR="00331DB1" w:rsidRDefault="00331DB1" w:rsidP="00D2793A">
            <w:r>
              <w:t>Espérance (appelé moyenne)</w:t>
            </w:r>
          </w:p>
        </w:tc>
        <w:tc>
          <w:tcPr>
            <w:tcW w:w="3668" w:type="dxa"/>
          </w:tcPr>
          <w:p w:rsidR="00331DB1" w:rsidRDefault="00331DB1" w:rsidP="00D2793A">
            <w:r>
              <w:t>Variance</w:t>
            </w:r>
          </w:p>
        </w:tc>
        <w:bookmarkStart w:id="0" w:name="_GoBack"/>
        <w:bookmarkEnd w:id="0"/>
      </w:tr>
      <w:tr w:rsidR="00331DB1" w:rsidTr="000B3478">
        <w:trPr>
          <w:trHeight w:val="524"/>
        </w:trPr>
        <w:tc>
          <w:tcPr>
            <w:tcW w:w="3667" w:type="dxa"/>
          </w:tcPr>
          <w:p w:rsidR="00331DB1" w:rsidRDefault="00331DB1" w:rsidP="00D2793A">
            <m:oMathPara>
              <m:oMath>
                <m:r>
                  <w:rPr>
                    <w:rFonts w:ascii="Cambria Math" w:eastAsiaTheme="minorEastAsia" w:hAnsi="Cambria Math"/>
                  </w:rPr>
                  <m:t>Ê=</m:t>
                </m:r>
                <m:r>
                  <w:rPr>
                    <w:rFonts w:ascii="Cambria Math" w:hAnsi="Cambria Math"/>
                  </w:rPr>
                  <m:t>moyenne</m:t>
                </m:r>
              </m:oMath>
            </m:oMathPara>
          </w:p>
        </w:tc>
        <w:tc>
          <w:tcPr>
            <w:tcW w:w="3668" w:type="dxa"/>
          </w:tcPr>
          <w:p w:rsidR="00331DB1" w:rsidRDefault="00FC732E" w:rsidP="00D2793A">
            <m:oMathPara>
              <m:oMath>
                <m:r>
                  <w:rPr>
                    <w:rFonts w:ascii="Cambria Math" w:eastAsiaTheme="minorEastAsia" w:hAnsi="Cambria Math"/>
                  </w:rPr>
                  <m:t>s²=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Var(x)</m:t>
                </m:r>
              </m:oMath>
            </m:oMathPara>
          </w:p>
        </w:tc>
      </w:tr>
    </w:tbl>
    <w:p w:rsidR="00BF382A" w:rsidRDefault="00892683" w:rsidP="00645C80">
      <w:pPr>
        <w:pStyle w:val="Titre3"/>
      </w:pPr>
      <w:r>
        <w:t>Théorème central limite</w:t>
      </w:r>
    </w:p>
    <w:p w:rsidR="00AD4D19" w:rsidRDefault="00892683" w:rsidP="00D2793A">
      <w:r>
        <w:t>La somme de variable</w:t>
      </w:r>
      <w:r w:rsidR="0044682F">
        <w:t>s</w:t>
      </w:r>
      <w:r>
        <w:t xml:space="preserve"> aléatoire</w:t>
      </w:r>
      <w:r w:rsidR="0044682F">
        <w:t>s</w:t>
      </w:r>
      <w:r>
        <w:t xml:space="preserve"> converge vers une loi normale </w:t>
      </w:r>
    </w:p>
    <w:p w:rsidR="00AD4D19" w:rsidRDefault="001054F0" w:rsidP="00D2793A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→N(nμ,n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4682F" w:rsidRPr="00C822A7" w:rsidRDefault="0044682F" w:rsidP="0044682F">
      <w:pPr>
        <w:rPr>
          <w:rFonts w:eastAsiaTheme="minorEastAsia"/>
        </w:rPr>
      </w:pPr>
      <w:r>
        <w:t xml:space="preserve">L’application directe de la loi permet de déduire </w:t>
      </w:r>
      <w:r w:rsidR="00C822A7">
        <w:t>un intervalle de confiance pour la moyenne 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E^∈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=[m-1.95×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;m-1.95×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:rsidR="00C822A7" w:rsidRPr="0044682F" w:rsidRDefault="00C822A7" w:rsidP="0044682F">
      <w:pPr>
        <w:rPr>
          <w:rFonts w:eastAsiaTheme="minorEastAsia"/>
        </w:rPr>
      </w:pPr>
      <w:r>
        <w:rPr>
          <w:rFonts w:eastAsiaTheme="minorEastAsia"/>
        </w:rPr>
        <w:t>Avec m la moyenne et s l’écart type de l’échantillon.</w:t>
      </w:r>
    </w:p>
    <w:sectPr w:rsidR="00C822A7" w:rsidRPr="0044682F" w:rsidSect="00AB3B85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4F0" w:rsidRDefault="001054F0" w:rsidP="008F0CFE">
      <w:pPr>
        <w:spacing w:after="0" w:line="240" w:lineRule="auto"/>
      </w:pPr>
      <w:r>
        <w:separator/>
      </w:r>
    </w:p>
  </w:endnote>
  <w:endnote w:type="continuationSeparator" w:id="0">
    <w:p w:rsidR="001054F0" w:rsidRDefault="001054F0" w:rsidP="008F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CFE" w:rsidRDefault="008F0CFE">
    <w:pPr>
      <w:pStyle w:val="Pieddepage"/>
    </w:pPr>
    <w:r>
      <w:t>OB</w:t>
    </w:r>
    <w:r>
      <w:ptab w:relativeTo="margin" w:alignment="center" w:leader="none"/>
    </w:r>
    <w:r>
      <w:t>Statistique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4F0" w:rsidRDefault="001054F0" w:rsidP="008F0CFE">
      <w:pPr>
        <w:spacing w:after="0" w:line="240" w:lineRule="auto"/>
      </w:pPr>
      <w:r>
        <w:separator/>
      </w:r>
    </w:p>
  </w:footnote>
  <w:footnote w:type="continuationSeparator" w:id="0">
    <w:p w:rsidR="001054F0" w:rsidRDefault="001054F0" w:rsidP="008F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26595"/>
    <w:rsid w:val="00067B8E"/>
    <w:rsid w:val="0007620B"/>
    <w:rsid w:val="000A37A2"/>
    <w:rsid w:val="000A4A0E"/>
    <w:rsid w:val="000B3478"/>
    <w:rsid w:val="000B4982"/>
    <w:rsid w:val="000C7BAB"/>
    <w:rsid w:val="000F3DDC"/>
    <w:rsid w:val="001054F0"/>
    <w:rsid w:val="00133979"/>
    <w:rsid w:val="00147078"/>
    <w:rsid w:val="00165876"/>
    <w:rsid w:val="00185601"/>
    <w:rsid w:val="00186E8F"/>
    <w:rsid w:val="001B29F1"/>
    <w:rsid w:val="001B30A7"/>
    <w:rsid w:val="002177A4"/>
    <w:rsid w:val="0022036F"/>
    <w:rsid w:val="0028121A"/>
    <w:rsid w:val="002B6F2D"/>
    <w:rsid w:val="003171A9"/>
    <w:rsid w:val="003231B0"/>
    <w:rsid w:val="00331DB1"/>
    <w:rsid w:val="00372E32"/>
    <w:rsid w:val="0037389A"/>
    <w:rsid w:val="003747F9"/>
    <w:rsid w:val="003C65B3"/>
    <w:rsid w:val="0044682F"/>
    <w:rsid w:val="00451B48"/>
    <w:rsid w:val="00467361"/>
    <w:rsid w:val="004A0FEB"/>
    <w:rsid w:val="004A2425"/>
    <w:rsid w:val="004C5F96"/>
    <w:rsid w:val="005734FB"/>
    <w:rsid w:val="00586F02"/>
    <w:rsid w:val="005C27E7"/>
    <w:rsid w:val="005C2A4D"/>
    <w:rsid w:val="005C5E8C"/>
    <w:rsid w:val="00621BC2"/>
    <w:rsid w:val="00645C80"/>
    <w:rsid w:val="006821E4"/>
    <w:rsid w:val="006E487F"/>
    <w:rsid w:val="006E5548"/>
    <w:rsid w:val="00712E6C"/>
    <w:rsid w:val="00716524"/>
    <w:rsid w:val="00757761"/>
    <w:rsid w:val="007A6D97"/>
    <w:rsid w:val="00812C21"/>
    <w:rsid w:val="00853AEE"/>
    <w:rsid w:val="00891167"/>
    <w:rsid w:val="00892683"/>
    <w:rsid w:val="008A28C7"/>
    <w:rsid w:val="008F0837"/>
    <w:rsid w:val="008F0CFE"/>
    <w:rsid w:val="008F42F9"/>
    <w:rsid w:val="0091108A"/>
    <w:rsid w:val="00984915"/>
    <w:rsid w:val="009A3016"/>
    <w:rsid w:val="009C6A27"/>
    <w:rsid w:val="009F6BD2"/>
    <w:rsid w:val="00A11BD4"/>
    <w:rsid w:val="00A2202A"/>
    <w:rsid w:val="00A256D3"/>
    <w:rsid w:val="00A25B61"/>
    <w:rsid w:val="00A34368"/>
    <w:rsid w:val="00A567CA"/>
    <w:rsid w:val="00A96A87"/>
    <w:rsid w:val="00AB3B85"/>
    <w:rsid w:val="00AD4D19"/>
    <w:rsid w:val="00B54FB0"/>
    <w:rsid w:val="00B559C4"/>
    <w:rsid w:val="00B60443"/>
    <w:rsid w:val="00B77271"/>
    <w:rsid w:val="00B939A1"/>
    <w:rsid w:val="00B9657A"/>
    <w:rsid w:val="00BA2A6C"/>
    <w:rsid w:val="00BB22C0"/>
    <w:rsid w:val="00BC5EA0"/>
    <w:rsid w:val="00BF382A"/>
    <w:rsid w:val="00C14019"/>
    <w:rsid w:val="00C31539"/>
    <w:rsid w:val="00C44D4D"/>
    <w:rsid w:val="00C700B1"/>
    <w:rsid w:val="00C822A7"/>
    <w:rsid w:val="00D2793A"/>
    <w:rsid w:val="00D92BFD"/>
    <w:rsid w:val="00DB020B"/>
    <w:rsid w:val="00DC6F0A"/>
    <w:rsid w:val="00DE120C"/>
    <w:rsid w:val="00E007BF"/>
    <w:rsid w:val="00E41239"/>
    <w:rsid w:val="00E74CCC"/>
    <w:rsid w:val="00E8141F"/>
    <w:rsid w:val="00F72E3B"/>
    <w:rsid w:val="00FC732E"/>
    <w:rsid w:val="00FF0FDE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DCC7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78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0B3478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0B3478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478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0B3478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0B3478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0B3478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0B3478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8F0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CFE"/>
  </w:style>
  <w:style w:type="paragraph" w:styleId="Pieddepage">
    <w:name w:val="footer"/>
    <w:basedOn w:val="Normal"/>
    <w:link w:val="PieddepageCar"/>
    <w:uiPriority w:val="99"/>
    <w:unhideWhenUsed/>
    <w:rsid w:val="008F0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CFE"/>
  </w:style>
  <w:style w:type="character" w:customStyle="1" w:styleId="Titre3Car">
    <w:name w:val="Titre 3 Car"/>
    <w:basedOn w:val="Policepardfaut"/>
    <w:link w:val="Titre3"/>
    <w:uiPriority w:val="9"/>
    <w:rsid w:val="000B3478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B3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0B3478"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sid w:val="000B3478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B3478"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rsid w:val="000B34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rsid w:val="000B3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B34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0174-712A-4457-A479-A8E665E8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33</cp:revision>
  <cp:lastPrinted>2020-12-12T10:54:00Z</cp:lastPrinted>
  <dcterms:created xsi:type="dcterms:W3CDTF">2020-09-08T20:41:00Z</dcterms:created>
  <dcterms:modified xsi:type="dcterms:W3CDTF">2020-12-14T12:59:00Z</dcterms:modified>
</cp:coreProperties>
</file>