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897" w:rsidRDefault="00B30897" w:rsidP="00B30897">
      <w:pPr>
        <w:pStyle w:val="Titre1"/>
      </w:pPr>
      <w:r>
        <w:t xml:space="preserve">Les 9 pictogramme </w:t>
      </w:r>
      <w:r w:rsidR="00AE70A8">
        <w:t>SGH : dangers…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081"/>
        <w:gridCol w:w="2521"/>
        <w:gridCol w:w="1733"/>
      </w:tblGrid>
      <w:tr w:rsidR="00B30897" w:rsidTr="00731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:rsidR="00B30897" w:rsidRDefault="00B30897" w:rsidP="00B30897">
            <w:r>
              <w:t>P</w:t>
            </w:r>
            <w:r w:rsidRPr="00B30897">
              <w:t>hysico chimique</w:t>
            </w:r>
            <w:r w:rsidR="00AB0AFB">
              <w:t xml:space="preserve"> (</w:t>
            </w:r>
            <w:r w:rsidR="003E4AD4">
              <w:t>5)</w:t>
            </w:r>
          </w:p>
        </w:tc>
        <w:tc>
          <w:tcPr>
            <w:tcW w:w="2551" w:type="dxa"/>
          </w:tcPr>
          <w:p w:rsidR="00B30897" w:rsidRDefault="00B30897" w:rsidP="007E7E25">
            <w:r>
              <w:t>Pour la santé</w:t>
            </w:r>
            <w:r w:rsidR="003E4AD4">
              <w:t xml:space="preserve"> (4)</w:t>
            </w:r>
          </w:p>
        </w:tc>
        <w:tc>
          <w:tcPr>
            <w:tcW w:w="1670" w:type="dxa"/>
          </w:tcPr>
          <w:p w:rsidR="00B30897" w:rsidRDefault="00AE70A8" w:rsidP="007E7E25">
            <w:r>
              <w:t>E</w:t>
            </w:r>
            <w:r w:rsidR="00B30897" w:rsidRPr="00B30897">
              <w:t>nvironnement</w:t>
            </w:r>
          </w:p>
        </w:tc>
      </w:tr>
      <w:tr w:rsidR="00B30897" w:rsidTr="00731666">
        <w:tc>
          <w:tcPr>
            <w:tcW w:w="3114" w:type="dxa"/>
          </w:tcPr>
          <w:p w:rsidR="00B30897" w:rsidRDefault="00AE70A8" w:rsidP="00B30897">
            <w:r>
              <w:t>Comburant</w:t>
            </w:r>
            <w:r w:rsidR="00B30897" w:rsidRPr="00B30897">
              <w:t xml:space="preserve">, </w:t>
            </w:r>
            <w:r w:rsidR="003044BB" w:rsidRPr="00B30897">
              <w:t>explosif, gaz</w:t>
            </w:r>
            <w:r w:rsidR="00B30897">
              <w:t xml:space="preserve"> </w:t>
            </w:r>
            <w:r w:rsidR="00B30897" w:rsidRPr="00B30897">
              <w:t>s</w:t>
            </w:r>
            <w:r>
              <w:t>ou</w:t>
            </w:r>
            <w:r w:rsidR="00B30897" w:rsidRPr="00B30897">
              <w:t>s pression,</w:t>
            </w:r>
            <w:r w:rsidR="00B30897">
              <w:t xml:space="preserve"> inflammable,</w:t>
            </w:r>
            <w:r w:rsidR="00B30897" w:rsidRPr="00B30897">
              <w:t xml:space="preserve"> corrosif</w:t>
            </w:r>
          </w:p>
        </w:tc>
        <w:tc>
          <w:tcPr>
            <w:tcW w:w="2551" w:type="dxa"/>
          </w:tcPr>
          <w:p w:rsidR="00B30897" w:rsidRDefault="00B30897" w:rsidP="007E7E25">
            <w:r w:rsidRPr="00B30897">
              <w:t>Corrosif, toxicité</w:t>
            </w:r>
            <w:r>
              <w:t xml:space="preserve"> aigu</w:t>
            </w:r>
            <w:r w:rsidRPr="00B30897">
              <w:t xml:space="preserve">, </w:t>
            </w:r>
            <w:r>
              <w:t xml:space="preserve">nocif ou irritant, </w:t>
            </w:r>
            <w:r w:rsidRPr="00B30897">
              <w:t>C</w:t>
            </w:r>
            <w:r>
              <w:t>MR</w:t>
            </w:r>
          </w:p>
        </w:tc>
        <w:tc>
          <w:tcPr>
            <w:tcW w:w="1670" w:type="dxa"/>
          </w:tcPr>
          <w:p w:rsidR="00B30897" w:rsidRDefault="00AE70A8" w:rsidP="007E7E25">
            <w:r>
              <w:t>E</w:t>
            </w:r>
            <w:r w:rsidR="00B30897">
              <w:t>nvironnement</w:t>
            </w:r>
          </w:p>
        </w:tc>
      </w:tr>
    </w:tbl>
    <w:p w:rsidR="00B30897" w:rsidRDefault="00B30897" w:rsidP="001D3AA8">
      <w:pPr>
        <w:pStyle w:val="Titre1"/>
        <w:rPr>
          <w:rFonts w:eastAsiaTheme="minorEastAsia"/>
        </w:rPr>
      </w:pPr>
      <w:r w:rsidRPr="00B30897">
        <w:rPr>
          <w:rFonts w:eastAsiaTheme="minorEastAsia"/>
        </w:rPr>
        <w:t>Matériel de chimie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390"/>
        <w:gridCol w:w="2945"/>
      </w:tblGrid>
      <w:tr w:rsidR="00CD073E" w:rsidTr="00CD0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0" w:type="dxa"/>
          </w:tcPr>
          <w:p w:rsidR="00CD073E" w:rsidRDefault="00CD073E" w:rsidP="001D3A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Objectif</w:t>
            </w:r>
          </w:p>
        </w:tc>
        <w:tc>
          <w:tcPr>
            <w:tcW w:w="2945" w:type="dxa"/>
          </w:tcPr>
          <w:p w:rsidR="00CD073E" w:rsidRPr="00B30897" w:rsidRDefault="00CD073E" w:rsidP="001D3A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Matériels</w:t>
            </w:r>
          </w:p>
        </w:tc>
      </w:tr>
      <w:tr w:rsidR="001D3AA8" w:rsidTr="00CD073E">
        <w:tc>
          <w:tcPr>
            <w:tcW w:w="4390" w:type="dxa"/>
          </w:tcPr>
          <w:p w:rsidR="001D3AA8" w:rsidRPr="001D3AA8" w:rsidRDefault="001D3AA8" w:rsidP="001D3A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Pr="00B30897">
              <w:rPr>
                <w:rFonts w:eastAsiaTheme="minorEastAsia"/>
              </w:rPr>
              <w:t>ontenir des liquides et réaliser des mélanges.</w:t>
            </w:r>
          </w:p>
        </w:tc>
        <w:tc>
          <w:tcPr>
            <w:tcW w:w="2945" w:type="dxa"/>
          </w:tcPr>
          <w:p w:rsidR="001D3AA8" w:rsidRPr="00AE70A8" w:rsidRDefault="001D3AA8" w:rsidP="001D3AA8">
            <w:pPr>
              <w:rPr>
                <w:rFonts w:eastAsiaTheme="minorEastAsia"/>
              </w:rPr>
            </w:pPr>
            <w:r w:rsidRPr="00B30897">
              <w:rPr>
                <w:rFonts w:eastAsiaTheme="minorEastAsia"/>
              </w:rPr>
              <w:t>Becher</w:t>
            </w:r>
            <w:r>
              <w:rPr>
                <w:rFonts w:eastAsiaTheme="minorEastAsia"/>
              </w:rPr>
              <w:t xml:space="preserve">, </w:t>
            </w:r>
            <w:r w:rsidRPr="00B30897">
              <w:rPr>
                <w:rFonts w:eastAsiaTheme="minorEastAsia"/>
              </w:rPr>
              <w:t>erlenmeyer</w:t>
            </w:r>
          </w:p>
        </w:tc>
      </w:tr>
      <w:tr w:rsidR="001D3AA8" w:rsidTr="00CD073E">
        <w:tc>
          <w:tcPr>
            <w:tcW w:w="4390" w:type="dxa"/>
          </w:tcPr>
          <w:p w:rsidR="001D3AA8" w:rsidRDefault="001D3AA8" w:rsidP="001D3AA8">
            <w:r>
              <w:rPr>
                <w:rFonts w:eastAsiaTheme="minorEastAsia"/>
              </w:rPr>
              <w:t>S</w:t>
            </w:r>
            <w:r w:rsidRPr="00B30897">
              <w:rPr>
                <w:rFonts w:eastAsiaTheme="minorEastAsia"/>
              </w:rPr>
              <w:t>tocker un volume exact</w:t>
            </w:r>
          </w:p>
        </w:tc>
        <w:tc>
          <w:tcPr>
            <w:tcW w:w="2945" w:type="dxa"/>
          </w:tcPr>
          <w:p w:rsidR="001D3AA8" w:rsidRPr="001D3AA8" w:rsidRDefault="001D3AA8" w:rsidP="001D3AA8">
            <w:pPr>
              <w:rPr>
                <w:rFonts w:eastAsiaTheme="minorEastAsia"/>
              </w:rPr>
            </w:pPr>
            <w:r w:rsidRPr="00B30897">
              <w:rPr>
                <w:rFonts w:eastAsiaTheme="minorEastAsia"/>
              </w:rPr>
              <w:t>Fiole jaugée</w:t>
            </w:r>
          </w:p>
        </w:tc>
      </w:tr>
      <w:tr w:rsidR="001D3AA8" w:rsidTr="00CD073E">
        <w:tc>
          <w:tcPr>
            <w:tcW w:w="4390" w:type="dxa"/>
          </w:tcPr>
          <w:p w:rsidR="001D3AA8" w:rsidRDefault="001D3AA8" w:rsidP="001D3AA8">
            <w:r>
              <w:rPr>
                <w:rFonts w:eastAsiaTheme="minorEastAsia"/>
              </w:rPr>
              <w:t>Mesurer un volume grossier</w:t>
            </w:r>
          </w:p>
        </w:tc>
        <w:tc>
          <w:tcPr>
            <w:tcW w:w="2945" w:type="dxa"/>
          </w:tcPr>
          <w:p w:rsidR="001D3AA8" w:rsidRPr="001D3AA8" w:rsidRDefault="00CA690D" w:rsidP="001D3A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Éprouvette</w:t>
            </w:r>
          </w:p>
        </w:tc>
      </w:tr>
      <w:tr w:rsidR="001D3AA8" w:rsidTr="00CD073E">
        <w:tc>
          <w:tcPr>
            <w:tcW w:w="4390" w:type="dxa"/>
          </w:tcPr>
          <w:p w:rsidR="00AE70A8" w:rsidRDefault="001D3AA8" w:rsidP="001D3A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Pr="00B30897">
              <w:rPr>
                <w:rFonts w:eastAsiaTheme="minorEastAsia"/>
              </w:rPr>
              <w:t>rélever une quantité d'une solution</w:t>
            </w:r>
          </w:p>
          <w:p w:rsidR="001D3AA8" w:rsidRDefault="00AE70A8" w:rsidP="001D3AA8">
            <w:r>
              <w:rPr>
                <w:rFonts w:eastAsiaTheme="minorEastAsia"/>
              </w:rPr>
              <w:t>(*</w:t>
            </w:r>
            <w:r w:rsidRPr="001D3AA8">
              <w:rPr>
                <w:rFonts w:eastAsiaTheme="minorEastAsia"/>
              </w:rPr>
              <w:t>régler la quantité à prélever</w:t>
            </w:r>
            <w:r>
              <w:rPr>
                <w:rFonts w:eastAsiaTheme="minorEastAsia"/>
              </w:rPr>
              <w:t>)</w:t>
            </w:r>
            <w:r w:rsidR="001D3AA8">
              <w:rPr>
                <w:rFonts w:eastAsiaTheme="minorEastAsia"/>
              </w:rPr>
              <w:t> </w:t>
            </w:r>
          </w:p>
        </w:tc>
        <w:tc>
          <w:tcPr>
            <w:tcW w:w="2945" w:type="dxa"/>
          </w:tcPr>
          <w:p w:rsidR="001D3AA8" w:rsidRDefault="001D3AA8" w:rsidP="00AE70A8">
            <w:r>
              <w:t>Pipette</w:t>
            </w:r>
            <w:r w:rsidR="00AE70A8">
              <w:t xml:space="preserve">, </w:t>
            </w:r>
            <w:r>
              <w:t>p</w:t>
            </w:r>
            <w:r w:rsidRPr="00AE70A8">
              <w:rPr>
                <w:rFonts w:eastAsiaTheme="minorEastAsia"/>
              </w:rPr>
              <w:t>ipe</w:t>
            </w:r>
            <w:r w:rsidR="00AB0AFB">
              <w:rPr>
                <w:rFonts w:eastAsiaTheme="minorEastAsia"/>
              </w:rPr>
              <w:t>tte automatique</w:t>
            </w:r>
          </w:p>
        </w:tc>
      </w:tr>
    </w:tbl>
    <w:p w:rsidR="00AB0AFB" w:rsidRDefault="00AB0AFB" w:rsidP="00AB0AFB">
      <w:r>
        <w:t>Utilisation de la pipette automatique</w:t>
      </w:r>
      <w:r w:rsidR="007049E7">
        <w:t> : Elle s’utilise entre 10% et 100% de sa capacité.</w:t>
      </w:r>
    </w:p>
    <w:p w:rsidR="007049E7" w:rsidRDefault="007049E7" w:rsidP="00AB0AFB">
      <w:r>
        <w:rPr>
          <w:noProof/>
        </w:rPr>
        <w:drawing>
          <wp:inline distT="0" distB="0" distL="0" distR="0" wp14:anchorId="2E4943F6">
            <wp:extent cx="3316605" cy="1326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A8" w:rsidRDefault="001E0856" w:rsidP="0037452C">
      <w:pPr>
        <w:pStyle w:val="Titre1"/>
        <w:jc w:val="left"/>
      </w:pPr>
      <w:r>
        <w:t>Mesurer le pH (potentiel Hydrogène)</w:t>
      </w:r>
    </w:p>
    <w:p w:rsidR="001E0856" w:rsidRDefault="00CA690D" w:rsidP="001E0856">
      <m:oMathPara>
        <m:oMath>
          <m:r>
            <w:rPr>
              <w:rFonts w:ascii="Cambria Math" w:eastAsiaTheme="majorEastAsia" w:hAnsi="Cambria Math" w:cstheme="majorBidi"/>
            </w:rPr>
            <m:t>pH=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 xml:space="preserve">(concentation en mol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9473A" w:rsidRDefault="0099473A" w:rsidP="0099473A">
      <w:pPr>
        <w:pStyle w:val="Titre1"/>
      </w:pPr>
      <w:r>
        <w:t>Dilution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67"/>
        <w:gridCol w:w="3668"/>
      </w:tblGrid>
      <w:tr w:rsidR="00E14A5D" w:rsidTr="00376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E14A5D" w:rsidRDefault="00E14A5D" w:rsidP="00E14A5D">
            <w:r w:rsidRPr="00E14A5D">
              <w:t xml:space="preserve">Facteur de </w:t>
            </w:r>
            <w:r>
              <w:t>dilution X</w:t>
            </w:r>
          </w:p>
        </w:tc>
        <w:tc>
          <w:tcPr>
            <w:tcW w:w="3668" w:type="dxa"/>
          </w:tcPr>
          <w:p w:rsidR="00E14A5D" w:rsidRDefault="00E14A5D" w:rsidP="00E1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Dilution X fois </w:t>
            </w:r>
            <w:r>
              <w:sym w:font="Wingdings" w:char="F0F3"/>
            </w:r>
            <w:r>
              <w:t xml:space="preserve"> 1 de solution et X-1 de diluant. </w:t>
            </w:r>
          </w:p>
        </w:tc>
      </w:tr>
      <w:tr w:rsidR="00E14A5D" w:rsidTr="00376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E14A5D" w:rsidRDefault="00E14A5D" w:rsidP="00E14A5D">
            <w:r>
              <w:t>Pourcentage massique </w:t>
            </w:r>
          </w:p>
        </w:tc>
        <w:tc>
          <w:tcPr>
            <w:tcW w:w="3668" w:type="dxa"/>
          </w:tcPr>
          <w:p w:rsidR="00E14A5D" w:rsidRDefault="00E14A5D" w:rsidP="00E1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solution à 30% </w:t>
            </w:r>
            <w:r>
              <w:sym w:font="Wingdings" w:char="F0F3"/>
            </w:r>
            <w:r>
              <w:t xml:space="preserve"> 30g/ 100mL</w:t>
            </w:r>
          </w:p>
        </w:tc>
      </w:tr>
      <w:tr w:rsidR="00E14A5D" w:rsidTr="00376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E14A5D" w:rsidRDefault="00E14A5D" w:rsidP="00E14A5D"/>
        </w:tc>
        <w:tc>
          <w:tcPr>
            <w:tcW w:w="3668" w:type="dxa"/>
          </w:tcPr>
          <w:p w:rsidR="00E14A5D" w:rsidRDefault="00E14A5D" w:rsidP="00E1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Degré d'acidité 7° </w:t>
            </w:r>
            <w:r>
              <w:sym w:font="Wingdings" w:char="F0F3"/>
            </w:r>
            <w:r>
              <w:t xml:space="preserve"> 7g/100</w:t>
            </w:r>
            <w:r w:rsidR="007049E7">
              <w:t>L</w:t>
            </w:r>
            <w:r>
              <w:t>.</w:t>
            </w:r>
          </w:p>
        </w:tc>
      </w:tr>
    </w:tbl>
    <w:p w:rsidR="006C0EC8" w:rsidRDefault="00E14A5D" w:rsidP="006C0EC8">
      <w:pPr>
        <w:rPr>
          <w:rFonts w:eastAsiaTheme="minorEastAsia"/>
        </w:rPr>
      </w:pPr>
      <w:r>
        <w:t xml:space="preserve">La dilution D est l’inverse du facteur de dilution soit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:rsidR="00D82FD0" w:rsidRDefault="00D82FD0" w:rsidP="006C0EC8">
      <w:r w:rsidRPr="005E5078">
        <w:rPr>
          <w:rFonts w:eastAsiaTheme="minorEastAsia"/>
          <w:u w:val="single"/>
        </w:rPr>
        <w:t>Exemple :</w:t>
      </w:r>
      <w:r>
        <w:rPr>
          <w:rFonts w:eastAsiaTheme="minorEastAsia"/>
        </w:rPr>
        <w:t xml:space="preserve"> Facteur 10 = 1/10 dilution</w:t>
      </w:r>
      <w:r w:rsidR="005E5078">
        <w:rPr>
          <w:rFonts w:eastAsiaTheme="minorEastAsia"/>
        </w:rPr>
        <w:t xml:space="preserve"> = 9 </w:t>
      </w:r>
      <w:proofErr w:type="gramStart"/>
      <w:r w:rsidR="005E5078">
        <w:rPr>
          <w:rFonts w:eastAsiaTheme="minorEastAsia"/>
        </w:rPr>
        <w:t>diluant</w:t>
      </w:r>
      <w:proofErr w:type="gramEnd"/>
      <w:r w:rsidR="005E5078">
        <w:rPr>
          <w:rFonts w:eastAsiaTheme="minorEastAsia"/>
        </w:rPr>
        <w:t xml:space="preserve"> + 1 solution </w:t>
      </w:r>
    </w:p>
    <w:p w:rsidR="00E14A5D" w:rsidRDefault="006C0EC8" w:rsidP="006C0EC8">
      <w:r>
        <w:t xml:space="preserve">Méthode pour réaliser une </w:t>
      </w:r>
      <w:r w:rsidR="00E14A5D">
        <w:t>dilution en série</w:t>
      </w:r>
      <w:r w:rsidR="003E4AD4">
        <w:t xml:space="preserve"> (ou en cascade)</w:t>
      </w:r>
      <w:r w:rsidR="00E14A5D">
        <w:t xml:space="preserve"> :</w:t>
      </w:r>
    </w:p>
    <w:p w:rsidR="006C0EC8" w:rsidRDefault="007049E7" w:rsidP="006C0EC8">
      <w:pPr>
        <w:pStyle w:val="Paragraphedeliste"/>
        <w:numPr>
          <w:ilvl w:val="0"/>
          <w:numId w:val="11"/>
        </w:numPr>
      </w:pPr>
      <w:r>
        <w:t xml:space="preserve">Construire le tableau suivant </w:t>
      </w:r>
      <w:r w:rsidR="006C0EC8">
        <w:t>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20"/>
        <w:gridCol w:w="1834"/>
      </w:tblGrid>
      <w:tr w:rsidR="00D82FD0" w:rsidTr="00D82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82FD0" w:rsidRDefault="00D82FD0" w:rsidP="00D82FD0">
            <w:r>
              <w:t>N° du tube</w:t>
            </w:r>
          </w:p>
        </w:tc>
        <w:tc>
          <w:tcPr>
            <w:tcW w:w="2268" w:type="dxa"/>
          </w:tcPr>
          <w:p w:rsidR="00D82FD0" w:rsidRDefault="00D82FD0" w:rsidP="00D82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Facteur cumulé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20" w:type="dxa"/>
          </w:tcPr>
          <w:p w:rsidR="00D82FD0" w:rsidRDefault="00D82FD0" w:rsidP="00D82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 solution</w:t>
            </w:r>
          </w:p>
        </w:tc>
        <w:tc>
          <w:tcPr>
            <w:tcW w:w="1834" w:type="dxa"/>
          </w:tcPr>
          <w:p w:rsidR="00D82FD0" w:rsidRDefault="00D82FD0" w:rsidP="00D82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 diluant</w:t>
            </w:r>
          </w:p>
        </w:tc>
      </w:tr>
    </w:tbl>
    <w:p w:rsidR="003E4AD4" w:rsidRDefault="003E4AD4" w:rsidP="003E4AD4">
      <w:r>
        <w:t xml:space="preserve">Le facteur de dilution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 Diluant</m:t>
            </m:r>
          </m:num>
          <m:den>
            <m:r>
              <w:rPr>
                <w:rFonts w:ascii="Cambria Math" w:hAnsi="Cambria Math"/>
              </w:rPr>
              <m:t>V mère</m:t>
            </m:r>
          </m:den>
        </m:f>
      </m:oMath>
    </w:p>
    <w:p w:rsidR="006C0EC8" w:rsidRDefault="00E14A5D" w:rsidP="00E14A5D">
      <w:pPr>
        <w:pStyle w:val="Paragraphedeliste"/>
        <w:numPr>
          <w:ilvl w:val="0"/>
          <w:numId w:val="11"/>
        </w:numPr>
      </w:pPr>
      <w:r>
        <w:t>Étiqueter les tubes</w:t>
      </w:r>
    </w:p>
    <w:p w:rsidR="00E14A5D" w:rsidRDefault="00E14A5D" w:rsidP="00E14A5D">
      <w:pPr>
        <w:pStyle w:val="Paragraphedeliste"/>
        <w:numPr>
          <w:ilvl w:val="0"/>
          <w:numId w:val="11"/>
        </w:numPr>
      </w:pPr>
      <w:r>
        <w:t>Mettre le volume de diluant</w:t>
      </w:r>
    </w:p>
    <w:p w:rsidR="00E14A5D" w:rsidRPr="006C0EC8" w:rsidRDefault="00E14A5D" w:rsidP="00E14A5D">
      <w:pPr>
        <w:pStyle w:val="Paragraphedeliste"/>
        <w:numPr>
          <w:ilvl w:val="0"/>
          <w:numId w:val="11"/>
        </w:numPr>
      </w:pPr>
      <w:r>
        <w:t>Ajouter le volume de solvant en homogénéisant la solution pour chaque tube.</w:t>
      </w:r>
    </w:p>
    <w:p w:rsidR="00E14A5D" w:rsidRDefault="00E14A5D" w:rsidP="0099473A">
      <w:r>
        <w:t xml:space="preserve">Remarque : on parfois besoin d’obtenir un volume </w:t>
      </w:r>
      <w:r w:rsidR="007049E7">
        <w:t xml:space="preserve">final </w:t>
      </w:r>
      <w:r>
        <w:t>identique dans cha</w:t>
      </w:r>
      <w:r w:rsidR="007049E7">
        <w:t>cun</w:t>
      </w:r>
      <w:r>
        <w:t xml:space="preserve"> </w:t>
      </w:r>
      <w:r w:rsidR="007049E7">
        <w:t xml:space="preserve">des </w:t>
      </w:r>
      <w:r>
        <w:t>tube</w:t>
      </w:r>
      <w:r w:rsidR="007049E7">
        <w:t>s, p</w:t>
      </w:r>
      <w:r>
        <w:t>ar exemple</w:t>
      </w:r>
      <w:r w:rsidR="007049E7">
        <w:t> ;</w:t>
      </w:r>
      <w:r>
        <w:t xml:space="preserve"> </w:t>
      </w:r>
      <w:r w:rsidR="007049E7">
        <w:t xml:space="preserve">pour </w:t>
      </w:r>
      <w:r>
        <w:t xml:space="preserve">réaliser une spectrométrie. </w:t>
      </w:r>
    </w:p>
    <w:p w:rsidR="00D82FD0" w:rsidRDefault="00D82FD0" w:rsidP="0099473A">
      <w:pPr>
        <w:rPr>
          <w:rFonts w:eastAsiaTheme="minorEastAsia"/>
        </w:rPr>
      </w:pPr>
      <w:r>
        <w:t>Pour calculer le v</w:t>
      </w:r>
      <w:r w:rsidR="002805D9">
        <w:t>olume</w:t>
      </w:r>
      <w:r>
        <w:t xml:space="preserve"> de diluant dans l</w:t>
      </w:r>
      <w:r w:rsidR="002805D9">
        <w:t xml:space="preserve">es tubes avant </w:t>
      </w:r>
      <w:r>
        <w:t>l’ajout de la solution</w:t>
      </w:r>
      <w:r w:rsidR="002805D9">
        <w:t xml:space="preserve"> sera 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den>
        </m:f>
      </m:oMath>
    </w:p>
    <w:p w:rsidR="002805D9" w:rsidRDefault="00D82FD0" w:rsidP="0099473A">
      <w:pPr>
        <w:rPr>
          <w:rFonts w:eastAsiaTheme="minorEastAsia"/>
        </w:rPr>
      </w:pPr>
      <w:r>
        <w:rPr>
          <w:rFonts w:eastAsiaTheme="minorEastAsia"/>
        </w:rPr>
        <w:t xml:space="preserve">Ce calcul n’est pas valable pour le tube final. Pour celui ce sera </w:t>
      </w:r>
      <m:oMath>
        <m:r>
          <w:rPr>
            <w:rFonts w:ascii="Cambria Math" w:eastAsiaTheme="minorEastAsia" w:hAnsi="Cambria Math"/>
          </w:rPr>
          <m:t>vol à obtenir-vol mère</m:t>
        </m:r>
      </m:oMath>
    </w:p>
    <w:p w:rsidR="004D4B9B" w:rsidRDefault="004D4B9B" w:rsidP="004D4B9B">
      <w:pPr>
        <w:pStyle w:val="Titre1"/>
      </w:pPr>
      <w:r>
        <w:rPr>
          <w:rFonts w:eastAsiaTheme="minorEastAsia"/>
        </w:rPr>
        <w:t>Spectrométrie</w:t>
      </w:r>
    </w:p>
    <w:p w:rsidR="00AB0AFB" w:rsidRPr="00AB0AFB" w:rsidRDefault="00AB0AFB" w:rsidP="00AB0AFB">
      <w:r>
        <w:t>La spectrométrie permet de :</w:t>
      </w:r>
    </w:p>
    <w:p w:rsidR="004D4B9B" w:rsidRDefault="004D4B9B" w:rsidP="00721808">
      <w:pPr>
        <w:pStyle w:val="Paragraphedeliste"/>
        <w:numPr>
          <w:ilvl w:val="0"/>
          <w:numId w:val="10"/>
        </w:numPr>
      </w:pPr>
      <w:r>
        <w:t>Déterminer la concentration d’une molécule</w:t>
      </w:r>
    </w:p>
    <w:p w:rsidR="004D4B9B" w:rsidRDefault="004D4B9B" w:rsidP="00721808">
      <w:pPr>
        <w:pStyle w:val="Paragraphedeliste"/>
        <w:numPr>
          <w:ilvl w:val="0"/>
          <w:numId w:val="10"/>
        </w:numPr>
      </w:pPr>
      <w:r>
        <w:t>Suivre la cinétique de formation d’un produit lors d’une réaction enzymatique</w:t>
      </w:r>
    </w:p>
    <w:p w:rsidR="004D4B9B" w:rsidRDefault="004D4B9B" w:rsidP="00721808">
      <w:pPr>
        <w:pStyle w:val="Paragraphedeliste"/>
        <w:numPr>
          <w:ilvl w:val="0"/>
          <w:numId w:val="10"/>
        </w:numPr>
      </w:pPr>
      <w:r>
        <w:t>Suivre l’élution de molécules lors de la séparation d’un mélange par chromatographie</w:t>
      </w:r>
    </w:p>
    <w:p w:rsidR="004D4B9B" w:rsidRDefault="004D4B9B" w:rsidP="00721808">
      <w:pPr>
        <w:pStyle w:val="Paragraphedeliste"/>
        <w:numPr>
          <w:ilvl w:val="0"/>
          <w:numId w:val="10"/>
        </w:numPr>
      </w:pPr>
      <w:r>
        <w:t>Analyser le degré de pureté d’une molécule</w:t>
      </w:r>
    </w:p>
    <w:p w:rsidR="00AB0AFB" w:rsidRDefault="00AB0AFB" w:rsidP="00AB0AFB">
      <w:r w:rsidRPr="006C0EC8">
        <w:rPr>
          <w:rStyle w:val="Accentuation"/>
        </w:rPr>
        <w:lastRenderedPageBreak/>
        <w:t>Élution</w:t>
      </w:r>
      <w:r>
        <w:t xml:space="preserve"> séparation de deux substances. Le produit utilisé </w:t>
      </w:r>
      <w:r w:rsidR="006C0EC8">
        <w:t xml:space="preserve">comme solvant </w:t>
      </w:r>
      <w:r>
        <w:t xml:space="preserve">est appelé </w:t>
      </w:r>
      <w:r w:rsidR="006C0EC8">
        <w:t>éluant</w:t>
      </w:r>
      <w:r>
        <w:t>.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5213"/>
      </w:tblGrid>
      <w:tr w:rsidR="00AD64F2" w:rsidTr="00731666">
        <w:tc>
          <w:tcPr>
            <w:tcW w:w="2122" w:type="dxa"/>
          </w:tcPr>
          <w:p w:rsidR="00AD64F2" w:rsidRDefault="00AD64F2" w:rsidP="004D4B9B">
            <w:pPr>
              <w:rPr>
                <w:rFonts w:ascii="Calibri" w:eastAsia="Times New Roman" w:hAnsi="Calibri" w:cs="Times New Roman"/>
              </w:rPr>
            </w:pPr>
            <w:r>
              <w:t>L</w:t>
            </w:r>
            <w:r w:rsidRPr="004D4B9B">
              <w:t>oi de Beer-Lambert</w:t>
            </w:r>
          </w:p>
        </w:tc>
        <w:tc>
          <w:tcPr>
            <w:tcW w:w="5213" w:type="dxa"/>
            <w:vMerge w:val="restart"/>
          </w:tcPr>
          <w:p w:rsidR="00AD64F2" w:rsidRDefault="00AD64F2" w:rsidP="00AD64F2">
            <w:proofErr w:type="gramStart"/>
            <w:r>
              <w:rPr>
                <w:i/>
                <w:iCs/>
              </w:rPr>
              <w:t>e</w:t>
            </w:r>
            <w:proofErr w:type="gramEnd"/>
            <w:r>
              <w:t> : Coeff d'extinction molaire, spécifique de la substance absorbante</w:t>
            </w:r>
            <w:r w:rsidR="00AB0AFB">
              <w:t xml:space="preserve"> (</w:t>
            </w:r>
            <w:r>
              <w:t>en M-1 cm-1</w:t>
            </w:r>
            <w:r w:rsidR="00AB0AFB">
              <w:t>).</w:t>
            </w:r>
          </w:p>
          <w:p w:rsidR="00AD64F2" w:rsidRDefault="00AD64F2" w:rsidP="00AD64F2">
            <w:proofErr w:type="gramStart"/>
            <w:r w:rsidRPr="00AD64F2">
              <w:rPr>
                <w:i/>
                <w:iCs/>
              </w:rPr>
              <w:t>l</w:t>
            </w:r>
            <w:proofErr w:type="gramEnd"/>
            <w:r>
              <w:rPr>
                <w:i/>
                <w:iCs/>
              </w:rPr>
              <w:t> </w:t>
            </w:r>
            <w:r>
              <w:t>: épaisseur de la cuve (en cm)</w:t>
            </w:r>
            <w:r w:rsidR="00AB0AFB">
              <w:t>.</w:t>
            </w:r>
          </w:p>
          <w:p w:rsidR="00AD64F2" w:rsidRDefault="00AD64F2" w:rsidP="004D4B9B">
            <w:proofErr w:type="gramStart"/>
            <w:r w:rsidRPr="00AD64F2">
              <w:rPr>
                <w:i/>
                <w:iCs/>
              </w:rPr>
              <w:t>c</w:t>
            </w:r>
            <w:proofErr w:type="gramEnd"/>
            <w:r>
              <w:t xml:space="preserve"> : Concentration de la substance absorbante (en </w:t>
            </w:r>
            <w:proofErr w:type="spellStart"/>
            <w:r>
              <w:t>mole</w:t>
            </w:r>
            <w:proofErr w:type="spellEnd"/>
            <w:r>
              <w:t>/L)</w:t>
            </w:r>
            <w:r w:rsidR="00AB0AFB">
              <w:t>.</w:t>
            </w:r>
          </w:p>
          <w:p w:rsidR="00FB7B29" w:rsidRDefault="00FB7B29" w:rsidP="004D4B9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 w:rsidRPr="00223D77">
              <w:t xml:space="preserve">absorbance ou densité optique </w:t>
            </w:r>
            <w:r w:rsidR="00AB0AFB">
              <w:t>(</w:t>
            </w:r>
            <w:r w:rsidRPr="00223D77">
              <w:t>sans unité</w:t>
            </w:r>
            <w:r w:rsidR="00AB0AFB">
              <w:t>)</w:t>
            </w:r>
            <w:r w:rsidRPr="00223D77">
              <w:t>.</w:t>
            </w:r>
          </w:p>
        </w:tc>
      </w:tr>
      <w:tr w:rsidR="00AD64F2" w:rsidTr="00731666">
        <w:tc>
          <w:tcPr>
            <w:tcW w:w="2122" w:type="dxa"/>
          </w:tcPr>
          <w:p w:rsidR="00AD64F2" w:rsidRDefault="00AD64F2" w:rsidP="004D4B9B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=e.l.c</m:t>
                </m:r>
              </m:oMath>
            </m:oMathPara>
          </w:p>
        </w:tc>
        <w:tc>
          <w:tcPr>
            <w:tcW w:w="5213" w:type="dxa"/>
            <w:vMerge/>
          </w:tcPr>
          <w:p w:rsidR="00AD64F2" w:rsidRDefault="00AD64F2" w:rsidP="004D4B9B"/>
        </w:tc>
      </w:tr>
    </w:tbl>
    <w:p w:rsidR="00AD64F2" w:rsidRDefault="008A5D44" w:rsidP="00AB0AFB">
      <w:pPr>
        <w:pStyle w:val="Titre2"/>
      </w:pPr>
      <w:r>
        <w:t>Choix du contenant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AD64F2" w:rsidTr="00731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AD64F2" w:rsidRDefault="00AD64F2" w:rsidP="004D4B9B">
            <w:r>
              <w:t>Longueur d’ondes</w:t>
            </w:r>
          </w:p>
        </w:tc>
        <w:tc>
          <w:tcPr>
            <w:tcW w:w="3668" w:type="dxa"/>
          </w:tcPr>
          <w:p w:rsidR="00AD64F2" w:rsidRDefault="00AD64F2" w:rsidP="004D4B9B">
            <w:r>
              <w:t>Cuve</w:t>
            </w:r>
          </w:p>
        </w:tc>
      </w:tr>
      <w:tr w:rsidR="00AD64F2" w:rsidTr="00731666">
        <w:tc>
          <w:tcPr>
            <w:tcW w:w="3667" w:type="dxa"/>
          </w:tcPr>
          <w:p w:rsidR="00AD64F2" w:rsidRDefault="00AD64F2" w:rsidP="004D4B9B">
            <w:r w:rsidRPr="004D4B9B">
              <w:t>190-400 nm</w:t>
            </w:r>
          </w:p>
        </w:tc>
        <w:tc>
          <w:tcPr>
            <w:tcW w:w="3668" w:type="dxa"/>
          </w:tcPr>
          <w:p w:rsidR="00AD64F2" w:rsidRDefault="00721808" w:rsidP="004D4B9B">
            <w:r w:rsidRPr="004D4B9B">
              <w:t>Quartz</w:t>
            </w:r>
          </w:p>
        </w:tc>
      </w:tr>
      <w:tr w:rsidR="00AD64F2" w:rsidTr="00731666">
        <w:tc>
          <w:tcPr>
            <w:tcW w:w="3667" w:type="dxa"/>
          </w:tcPr>
          <w:p w:rsidR="00AD64F2" w:rsidRDefault="00AD64F2" w:rsidP="004D4B9B">
            <w:r w:rsidRPr="004D4B9B">
              <w:t xml:space="preserve">400-800 nm </w:t>
            </w:r>
            <w:r>
              <w:t xml:space="preserve"> </w:t>
            </w:r>
          </w:p>
        </w:tc>
        <w:tc>
          <w:tcPr>
            <w:tcW w:w="3668" w:type="dxa"/>
          </w:tcPr>
          <w:p w:rsidR="00AD64F2" w:rsidRDefault="00AD64F2" w:rsidP="004D4B9B">
            <w:r w:rsidRPr="004D4B9B">
              <w:t>Plastique</w:t>
            </w:r>
            <w:r>
              <w:t>, verre</w:t>
            </w:r>
          </w:p>
        </w:tc>
      </w:tr>
    </w:tbl>
    <w:p w:rsidR="008A5D44" w:rsidRDefault="008A5D44" w:rsidP="004D4B9B">
      <w:r>
        <w:t>Les étapes pour réaliser une spectrométrie :</w:t>
      </w:r>
    </w:p>
    <w:p w:rsidR="00D82FD0" w:rsidRDefault="008A5D44" w:rsidP="004D4B9B">
      <w:pPr>
        <w:pStyle w:val="Paragraphedeliste"/>
        <w:numPr>
          <w:ilvl w:val="0"/>
          <w:numId w:val="12"/>
        </w:numPr>
      </w:pPr>
      <w:r>
        <w:t>Réglé l’</w:t>
      </w:r>
      <w:r w:rsidR="004D4B9B">
        <w:t xml:space="preserve">absorbance </w:t>
      </w:r>
      <w:r>
        <w:t>avec l’échantillon de solvant pur.</w:t>
      </w:r>
    </w:p>
    <w:p w:rsidR="004D4B9B" w:rsidRDefault="008A5D44" w:rsidP="004D4B9B">
      <w:pPr>
        <w:pStyle w:val="Paragraphedeliste"/>
        <w:numPr>
          <w:ilvl w:val="0"/>
          <w:numId w:val="12"/>
        </w:numPr>
      </w:pPr>
      <w:r>
        <w:t xml:space="preserve">Réaliser les mesures. Elles ne sont valables que pour </w:t>
      </w:r>
      <w:r w:rsidR="004D4B9B" w:rsidRPr="004D4B9B">
        <w:t>0,1&lt;A&lt;1</w:t>
      </w:r>
      <w:r>
        <w:t>.</w:t>
      </w:r>
    </w:p>
    <w:p w:rsidR="008A5D44" w:rsidRDefault="00BD4AE2" w:rsidP="004D4B9B">
      <w:r w:rsidRPr="00D82FD0">
        <w:rPr>
          <w:u w:val="single"/>
        </w:rPr>
        <w:t>Remarque :</w:t>
      </w:r>
      <w:r>
        <w:t xml:space="preserve"> A chaque fois que l’on modifie la longueur d’onde</w:t>
      </w:r>
      <w:r w:rsidR="00AB0AFB">
        <w:t>,</w:t>
      </w:r>
      <w:r>
        <w:t xml:space="preserve"> il faut régler l’absorbance pour le solvant pur ou utiliser un s</w:t>
      </w:r>
      <w:r w:rsidRPr="008A5D44">
        <w:t>pectrophotomètre bi-faisceau</w:t>
      </w:r>
      <w:r>
        <w:t>.</w:t>
      </w:r>
    </w:p>
    <w:p w:rsidR="009D109D" w:rsidRDefault="009D109D" w:rsidP="009D109D">
      <w:pPr>
        <w:pStyle w:val="Titre2"/>
      </w:pPr>
      <w:r>
        <w:t>Couleur d’un objet</w:t>
      </w:r>
    </w:p>
    <w:p w:rsidR="009D109D" w:rsidRDefault="009D109D" w:rsidP="009D109D">
      <w:r>
        <w:t>La couleur d’un objet est celle de toutes les longueurs d’ondes non absorbées.</w:t>
      </w:r>
      <w:r w:rsidR="0034443A">
        <w:t xml:space="preserve"> </w:t>
      </w:r>
      <w:bookmarkStart w:id="0" w:name="_GoBack"/>
      <w:bookmarkEnd w:id="0"/>
    </w:p>
    <w:p w:rsidR="0034443A" w:rsidRPr="009D109D" w:rsidRDefault="0034443A" w:rsidP="009D109D">
      <w:r>
        <w:t>Exemple : les carottes absorbent la partie de lumière entre le violet et le vert. Elles apparaissent donc orangées.</w:t>
      </w:r>
    </w:p>
    <w:sectPr w:rsidR="0034443A" w:rsidRPr="009D109D" w:rsidSect="00AB3B85"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11A" w:rsidRDefault="0023611A" w:rsidP="001E0856">
      <w:pPr>
        <w:spacing w:after="0" w:line="240" w:lineRule="auto"/>
      </w:pPr>
      <w:r>
        <w:separator/>
      </w:r>
    </w:p>
  </w:endnote>
  <w:endnote w:type="continuationSeparator" w:id="0">
    <w:p w:rsidR="0023611A" w:rsidRDefault="0023611A" w:rsidP="001E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856" w:rsidRDefault="001E0856">
    <w:pPr>
      <w:pStyle w:val="Pieddepage"/>
    </w:pPr>
    <w:r>
      <w:t>OB</w:t>
    </w:r>
    <w:r>
      <w:ptab w:relativeTo="margin" w:alignment="center" w:leader="none"/>
    </w:r>
    <w:r>
      <w:t>Biologie expérimentale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11A" w:rsidRDefault="0023611A" w:rsidP="001E0856">
      <w:pPr>
        <w:spacing w:after="0" w:line="240" w:lineRule="auto"/>
      </w:pPr>
      <w:r>
        <w:separator/>
      </w:r>
    </w:p>
  </w:footnote>
  <w:footnote w:type="continuationSeparator" w:id="0">
    <w:p w:rsidR="0023611A" w:rsidRDefault="0023611A" w:rsidP="001E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827"/>
    <w:multiLevelType w:val="hybridMultilevel"/>
    <w:tmpl w:val="24866F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231EE"/>
    <w:multiLevelType w:val="hybridMultilevel"/>
    <w:tmpl w:val="8A5C56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4297E"/>
    <w:multiLevelType w:val="hybridMultilevel"/>
    <w:tmpl w:val="1644A5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F7712"/>
    <w:multiLevelType w:val="hybridMultilevel"/>
    <w:tmpl w:val="8676B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2DA3"/>
    <w:multiLevelType w:val="hybridMultilevel"/>
    <w:tmpl w:val="1B0614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8C6558"/>
    <w:multiLevelType w:val="hybridMultilevel"/>
    <w:tmpl w:val="5F76BB92"/>
    <w:lvl w:ilvl="0" w:tplc="040C000F">
      <w:start w:val="1"/>
      <w:numFmt w:val="decimal"/>
      <w:lvlText w:val="%1."/>
      <w:lvlJc w:val="left"/>
      <w:pPr>
        <w:ind w:left="775" w:hanging="360"/>
      </w:pPr>
    </w:lvl>
    <w:lvl w:ilvl="1" w:tplc="040C0019" w:tentative="1">
      <w:start w:val="1"/>
      <w:numFmt w:val="lowerLetter"/>
      <w:lvlText w:val="%2."/>
      <w:lvlJc w:val="left"/>
      <w:pPr>
        <w:ind w:left="1495" w:hanging="360"/>
      </w:pPr>
    </w:lvl>
    <w:lvl w:ilvl="2" w:tplc="040C001B" w:tentative="1">
      <w:start w:val="1"/>
      <w:numFmt w:val="lowerRoman"/>
      <w:lvlText w:val="%3."/>
      <w:lvlJc w:val="right"/>
      <w:pPr>
        <w:ind w:left="2215" w:hanging="180"/>
      </w:pPr>
    </w:lvl>
    <w:lvl w:ilvl="3" w:tplc="040C000F" w:tentative="1">
      <w:start w:val="1"/>
      <w:numFmt w:val="decimal"/>
      <w:lvlText w:val="%4."/>
      <w:lvlJc w:val="left"/>
      <w:pPr>
        <w:ind w:left="2935" w:hanging="360"/>
      </w:pPr>
    </w:lvl>
    <w:lvl w:ilvl="4" w:tplc="040C0019" w:tentative="1">
      <w:start w:val="1"/>
      <w:numFmt w:val="lowerLetter"/>
      <w:lvlText w:val="%5."/>
      <w:lvlJc w:val="left"/>
      <w:pPr>
        <w:ind w:left="3655" w:hanging="360"/>
      </w:pPr>
    </w:lvl>
    <w:lvl w:ilvl="5" w:tplc="040C001B" w:tentative="1">
      <w:start w:val="1"/>
      <w:numFmt w:val="lowerRoman"/>
      <w:lvlText w:val="%6."/>
      <w:lvlJc w:val="right"/>
      <w:pPr>
        <w:ind w:left="4375" w:hanging="180"/>
      </w:pPr>
    </w:lvl>
    <w:lvl w:ilvl="6" w:tplc="040C000F" w:tentative="1">
      <w:start w:val="1"/>
      <w:numFmt w:val="decimal"/>
      <w:lvlText w:val="%7."/>
      <w:lvlJc w:val="left"/>
      <w:pPr>
        <w:ind w:left="5095" w:hanging="360"/>
      </w:pPr>
    </w:lvl>
    <w:lvl w:ilvl="7" w:tplc="040C0019" w:tentative="1">
      <w:start w:val="1"/>
      <w:numFmt w:val="lowerLetter"/>
      <w:lvlText w:val="%8."/>
      <w:lvlJc w:val="left"/>
      <w:pPr>
        <w:ind w:left="5815" w:hanging="360"/>
      </w:pPr>
    </w:lvl>
    <w:lvl w:ilvl="8" w:tplc="040C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26595"/>
    <w:rsid w:val="000302EC"/>
    <w:rsid w:val="00032109"/>
    <w:rsid w:val="00067B8E"/>
    <w:rsid w:val="0007620B"/>
    <w:rsid w:val="000A37A2"/>
    <w:rsid w:val="000A4A0E"/>
    <w:rsid w:val="000A7FFC"/>
    <w:rsid w:val="000D4644"/>
    <w:rsid w:val="000F3DDC"/>
    <w:rsid w:val="00133979"/>
    <w:rsid w:val="00165876"/>
    <w:rsid w:val="00185601"/>
    <w:rsid w:val="00186E8F"/>
    <w:rsid w:val="001B30A7"/>
    <w:rsid w:val="001D3AA8"/>
    <w:rsid w:val="001E0856"/>
    <w:rsid w:val="00205A1D"/>
    <w:rsid w:val="002177A4"/>
    <w:rsid w:val="00223D77"/>
    <w:rsid w:val="00234A12"/>
    <w:rsid w:val="0023611A"/>
    <w:rsid w:val="00256032"/>
    <w:rsid w:val="002805D9"/>
    <w:rsid w:val="00295893"/>
    <w:rsid w:val="002B1FC9"/>
    <w:rsid w:val="003044BB"/>
    <w:rsid w:val="003407EE"/>
    <w:rsid w:val="0034443A"/>
    <w:rsid w:val="0037452C"/>
    <w:rsid w:val="00376FBC"/>
    <w:rsid w:val="003C65B3"/>
    <w:rsid w:val="003E4AD4"/>
    <w:rsid w:val="00426AD2"/>
    <w:rsid w:val="004B5588"/>
    <w:rsid w:val="004C5F96"/>
    <w:rsid w:val="004D4B9B"/>
    <w:rsid w:val="004D6C72"/>
    <w:rsid w:val="005064A2"/>
    <w:rsid w:val="005C5E8C"/>
    <w:rsid w:val="005E5078"/>
    <w:rsid w:val="00655F9F"/>
    <w:rsid w:val="006C0EC8"/>
    <w:rsid w:val="007049E7"/>
    <w:rsid w:val="00712E6C"/>
    <w:rsid w:val="00716524"/>
    <w:rsid w:val="00721808"/>
    <w:rsid w:val="00731666"/>
    <w:rsid w:val="00757761"/>
    <w:rsid w:val="00791749"/>
    <w:rsid w:val="007A03F5"/>
    <w:rsid w:val="007D2EA8"/>
    <w:rsid w:val="007E264F"/>
    <w:rsid w:val="007E7E25"/>
    <w:rsid w:val="007F1DCB"/>
    <w:rsid w:val="00805E7D"/>
    <w:rsid w:val="008705FB"/>
    <w:rsid w:val="00891167"/>
    <w:rsid w:val="008A5D44"/>
    <w:rsid w:val="008A722C"/>
    <w:rsid w:val="008E5619"/>
    <w:rsid w:val="008F42F9"/>
    <w:rsid w:val="0091108A"/>
    <w:rsid w:val="0099473A"/>
    <w:rsid w:val="009951B2"/>
    <w:rsid w:val="009B306A"/>
    <w:rsid w:val="009C6A27"/>
    <w:rsid w:val="009D109D"/>
    <w:rsid w:val="00A21372"/>
    <w:rsid w:val="00A2202A"/>
    <w:rsid w:val="00A25B61"/>
    <w:rsid w:val="00A34368"/>
    <w:rsid w:val="00A96A87"/>
    <w:rsid w:val="00AB0AFB"/>
    <w:rsid w:val="00AB0CA5"/>
    <w:rsid w:val="00AB3B85"/>
    <w:rsid w:val="00AD64F2"/>
    <w:rsid w:val="00AE70A8"/>
    <w:rsid w:val="00B12944"/>
    <w:rsid w:val="00B30897"/>
    <w:rsid w:val="00B559C4"/>
    <w:rsid w:val="00B646E2"/>
    <w:rsid w:val="00B9568A"/>
    <w:rsid w:val="00BA0417"/>
    <w:rsid w:val="00BA2A6C"/>
    <w:rsid w:val="00BD4AE2"/>
    <w:rsid w:val="00C14019"/>
    <w:rsid w:val="00C44D4D"/>
    <w:rsid w:val="00CA690D"/>
    <w:rsid w:val="00CD073E"/>
    <w:rsid w:val="00CD1BB8"/>
    <w:rsid w:val="00CF6CDD"/>
    <w:rsid w:val="00D82FD0"/>
    <w:rsid w:val="00D832A6"/>
    <w:rsid w:val="00D92BFD"/>
    <w:rsid w:val="00DB020B"/>
    <w:rsid w:val="00E007BF"/>
    <w:rsid w:val="00E14A5D"/>
    <w:rsid w:val="00E74CCC"/>
    <w:rsid w:val="00ED20D0"/>
    <w:rsid w:val="00EE0DBB"/>
    <w:rsid w:val="00EF54A9"/>
    <w:rsid w:val="00F2059E"/>
    <w:rsid w:val="00F263EE"/>
    <w:rsid w:val="00FB7B29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668B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08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721808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721808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808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721808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721808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721808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721808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1E0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0856"/>
  </w:style>
  <w:style w:type="paragraph" w:styleId="Pieddepage">
    <w:name w:val="footer"/>
    <w:basedOn w:val="Normal"/>
    <w:link w:val="PieddepageCar"/>
    <w:uiPriority w:val="99"/>
    <w:unhideWhenUsed/>
    <w:rsid w:val="001E0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0856"/>
  </w:style>
  <w:style w:type="character" w:customStyle="1" w:styleId="Titre3Car">
    <w:name w:val="Titre 3 Car"/>
    <w:basedOn w:val="Policepardfaut"/>
    <w:link w:val="Titre3"/>
    <w:uiPriority w:val="9"/>
    <w:semiHidden/>
    <w:rsid w:val="00721808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721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721808"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sid w:val="00721808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721808"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rsid w:val="007316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rsid w:val="007316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ev">
    <w:name w:val="Strong"/>
    <w:basedOn w:val="Policepardfaut"/>
    <w:uiPriority w:val="22"/>
    <w:qFormat/>
    <w:rsid w:val="009D1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3733-1FA4-4B88-A4A3-13E61D76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40</cp:revision>
  <dcterms:created xsi:type="dcterms:W3CDTF">2020-09-08T20:41:00Z</dcterms:created>
  <dcterms:modified xsi:type="dcterms:W3CDTF">2021-01-07T15:43:00Z</dcterms:modified>
</cp:coreProperties>
</file>