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 ;</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molécule former par un glucose et une base.</w:t>
      </w:r>
    </w:p>
    <w:p>
      <w:r>
        <w:rPr>
          <w:rStyle w:val="Accentuation"/>
        </w:rPr>
        <w:t xml:space="preserve">Nucléotide mono/di/triphosphate </w:t>
      </w:r>
      <w:r>
        <w:t>molécule formée d’un nucléoside et de n groupe phosphate.</w:t>
      </w:r>
    </w:p>
    <w:p>
      <w:r>
        <w:t>L’ADN et l’ARN sont des polymères de nucléotides.</w:t>
      </w:r>
    </w:p>
    <w:p>
      <w:r>
        <w:t>La séquence d’acides aminées qui compose les protéines est programmée par des gènes. Ceux sont eux qui contiennent les informations nécessaires à de la transcription en ARNm qui sera traduite enfin en une chaine peptidique (protéine).</w:t>
      </w:r>
    </w:p>
    <w:p>
      <w:r>
        <w:t>Les principales différences entre l’ADN et l’ARN sont les suivantes :</w:t>
      </w:r>
    </w:p>
    <w:tbl>
      <w:tblPr>
        <w:tblStyle w:val="Grilledetableauclaire"/>
        <w:tblW w:w="0" w:type="auto"/>
        <w:tblLook w:val="04A0" w:firstRow="1" w:lastRow="0" w:firstColumn="1" w:lastColumn="0" w:noHBand="0" w:noVBand="1"/>
      </w:tblPr>
      <w:tblGrid>
        <w:gridCol w:w="2195"/>
        <w:gridCol w:w="2723"/>
        <w:gridCol w:w="241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tc>
        <w:tc>
          <w:tcPr>
            <w:tcW w:w="3021" w:type="dxa"/>
          </w:tcPr>
          <w:p>
            <w:pPr>
              <w:cnfStyle w:val="100000000000" w:firstRow="1" w:lastRow="0" w:firstColumn="0" w:lastColumn="0" w:oddVBand="0" w:evenVBand="0" w:oddHBand="0" w:evenHBand="0" w:firstRowFirstColumn="0" w:firstRowLastColumn="0" w:lastRowFirstColumn="0" w:lastRowLastColumn="0"/>
            </w:pPr>
            <w:r>
              <w:t>ADN</w:t>
            </w:r>
          </w:p>
        </w:tc>
        <w:tc>
          <w:tcPr>
            <w:tcW w:w="3021"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3020" w:type="dxa"/>
          </w:tcPr>
          <w:p>
            <w:r>
              <w:t>Glucose</w:t>
            </w:r>
          </w:p>
        </w:tc>
        <w:tc>
          <w:tcPr>
            <w:tcW w:w="302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021" w:type="dxa"/>
          </w:tcPr>
          <w:p>
            <w:pPr>
              <w:cnfStyle w:val="000000000000" w:firstRow="0" w:lastRow="0" w:firstColumn="0" w:lastColumn="0" w:oddVBand="0" w:evenVBand="0" w:oddHBand="0" w:evenHBand="0" w:firstRowFirstColumn="0" w:firstRowLastColumn="0" w:lastRowFirstColumn="0" w:lastRowLastColumn="0"/>
            </w:pPr>
            <w:r>
              <w:t>Ribose</w:t>
            </w:r>
          </w:p>
          <w:p>
            <w:pPr>
              <w:cnfStyle w:val="000000000000" w:firstRow="0" w:lastRow="0" w:firstColumn="0" w:lastColumn="0" w:oddVBand="0" w:evenVBand="0" w:oddHBand="0" w:evenHBand="0" w:firstRowFirstColumn="0" w:firstRowLastColumn="0" w:lastRowFirstColumn="0" w:lastRowLastColumn="0"/>
            </w:pPr>
            <w:r>
              <w:t>(Groupement OH très réactif)</w:t>
            </w:r>
          </w:p>
        </w:tc>
      </w:tr>
      <w:tr>
        <w:tc>
          <w:tcPr>
            <w:cnfStyle w:val="001000000000" w:firstRow="0" w:lastRow="0" w:firstColumn="1" w:lastColumn="0" w:oddVBand="0" w:evenVBand="0" w:oddHBand="0" w:evenHBand="0" w:firstRowFirstColumn="0" w:firstRowLastColumn="0" w:lastRowFirstColumn="0" w:lastRowLastColumn="0"/>
            <w:tcW w:w="3020" w:type="dxa"/>
          </w:tcPr>
          <w:p>
            <w:r>
              <w:t>Base</w:t>
            </w:r>
          </w:p>
        </w:tc>
        <w:tc>
          <w:tcPr>
            <w:tcW w:w="302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021"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3020" w:type="dxa"/>
          </w:tcPr>
          <w:p>
            <w:r>
              <w:t>Nbre de brins</w:t>
            </w:r>
          </w:p>
        </w:tc>
        <w:tc>
          <w:tcPr>
            <w:tcW w:w="3021" w:type="dxa"/>
          </w:tcPr>
          <w:p>
            <w:pPr>
              <w:cnfStyle w:val="000000000000" w:firstRow="0" w:lastRow="0" w:firstColumn="0" w:lastColumn="0" w:oddVBand="0" w:evenVBand="0" w:oddHBand="0" w:evenHBand="0" w:firstRowFirstColumn="0" w:firstRowLastColumn="0" w:lastRowFirstColumn="0" w:lastRowLastColumn="0"/>
            </w:pPr>
            <w:r>
              <w:t>Double</w:t>
            </w:r>
          </w:p>
        </w:tc>
        <w:tc>
          <w:tcPr>
            <w:tcW w:w="3021" w:type="dxa"/>
          </w:tcPr>
          <w:p>
            <w:pPr>
              <w:cnfStyle w:val="000000000000" w:firstRow="0" w:lastRow="0" w:firstColumn="0" w:lastColumn="0" w:oddVBand="0" w:evenVBand="0" w:oddHBand="0" w:evenHBand="0" w:firstRowFirstColumn="0" w:firstRowLastColumn="0" w:lastRowFirstColumn="0" w:lastRowLastColumn="0"/>
            </w:pPr>
            <w:r>
              <w:t>Simple</w:t>
            </w:r>
          </w:p>
        </w:tc>
      </w:tr>
    </w:tbl>
    <w:p>
      <w:pPr>
        <w:pStyle w:val="Titre2"/>
      </w:pPr>
      <w:r>
        <w:rPr>
          <w:rStyle w:val="lev"/>
        </w:rPr>
        <w:t>Nucléoside monophosphate</w:t>
      </w:r>
    </w:p>
    <w:p>
      <w:r>
        <w:t>Phosphate + sucre b-désoxyribose + base azotée</w:t>
      </w:r>
    </w:p>
    <w:p>
      <w:r>
        <w:t>Les sucres sont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Ribonucléotide (ADN)</w:t>
            </w:r>
          </w:p>
        </w:tc>
        <w:tc>
          <w:tcPr>
            <w:tcW w:w="3668" w:type="dxa"/>
          </w:tcPr>
          <w:p>
            <w:pPr>
              <w:cnfStyle w:val="100000000000" w:firstRow="1" w:lastRow="0" w:firstColumn="0" w:lastColumn="0" w:oddVBand="0" w:evenVBand="0" w:oddHBand="0" w:evenHBand="0" w:firstRowFirstColumn="0" w:firstRowLastColumn="0" w:lastRowFirstColumn="0" w:lastRowLastColumn="0"/>
            </w:pPr>
            <w:r>
              <w:t>Désoxyribonucléique (ARN)</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p>
      <w:r>
        <w:t>Les bases sont des dérivées de :</w:t>
      </w:r>
    </w:p>
    <w:p>
      <w:r>
        <w:rPr>
          <w:noProof/>
        </w:rPr>
        <w:drawing>
          <wp:inline distT="0" distB="0" distL="0" distR="0">
            <wp:extent cx="2533018" cy="1351915"/>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537067" cy="1354076"/>
                    </a:xfrm>
                    <a:prstGeom prst="rect">
                      <a:avLst/>
                    </a:prstGeom>
                    <a:noFill/>
                    <a:ln>
                      <a:noFill/>
                    </a:ln>
                    <a:extLst>
                      <a:ext uri="{53640926-AAD7-44D8-BBD7-CCE9431645EC}">
                        <a14:shadowObscured xmlns:a14="http://schemas.microsoft.com/office/drawing/2010/main"/>
                      </a:ext>
                    </a:extLst>
                  </pic:spPr>
                </pic:pic>
              </a:graphicData>
            </a:graphic>
          </wp:inline>
        </w:drawing>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 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Pour l’ARN la thymine est remplacée par l’uracile.</w:t>
      </w:r>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t>La température</w:t>
      </w:r>
    </w:p>
    <w:p>
      <w:r>
        <w:t>Lorsque l’on augmente la température, les deux molécules d’ADN se séparent. La résistance des deux brins directement est liée à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r>
        <w:t>Les agents chaotropiques</w:t>
      </w:r>
    </w:p>
    <w:p>
      <w:r>
        <w:t>Certains agents chaotropiques comme l'urée dénature l’ADN.</w:t>
      </w:r>
    </w:p>
    <w:p>
      <w:pPr>
        <w:pStyle w:val="Titre3"/>
      </w:pPr>
      <w:r>
        <w:t>Absorbance de l’ADN</w:t>
      </w:r>
    </w:p>
    <w:p>
      <w:r>
        <w:t xml:space="preserve">On déduit la concentration d’ADN dans une solution grâce à l’absorbance </w:t>
      </w:r>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t>-1)</w:t>
            </w:r>
          </w:p>
          <w:p>
            <m:oMath>
              <m:r>
                <w:rPr>
                  <w:rFonts w:ascii="Cambria Math" w:hAnsi="Cambria Math"/>
                </w:rPr>
                <m:t>l</m:t>
              </m:r>
            </m:oMath>
            <w:r>
              <w:t xml:space="preserve"> Largeur de la cuve.</w:t>
            </w:r>
          </w:p>
        </w:tc>
      </w:tr>
    </w:tbl>
    <w:p>
      <w:r>
        <w:t xml:space="preserve">La longueur d’ondes d’absorption pour les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rPr>
          <w:rStyle w:val="Accentuation"/>
        </w:rPr>
        <w:lastRenderedPageBreak/>
        <w:t>Hyperchrome</w:t>
      </w:r>
      <w:r>
        <w:t xml:space="preserve"> augmentation de l’absorption de l’ADN lorsque qu’il est sous la forme d’un simple brin.</w:t>
      </w:r>
    </w:p>
    <w:p>
      <w:pPr>
        <w:pStyle w:val="Titre3"/>
      </w:pPr>
      <w:r>
        <w:t>Électrophorèse des acides nucléiques</w:t>
      </w:r>
    </w:p>
    <w:p>
      <w:r>
        <w:t xml:space="preserve">L’électrophorèse permet de séparer les fragments d’ADN en fonction de leur taille. </w:t>
      </w:r>
    </w:p>
    <w:p>
      <w:pPr>
        <w:pStyle w:val="Paragraphedeliste"/>
        <w:numPr>
          <w:ilvl w:val="0"/>
          <w:numId w:val="26"/>
        </w:numPr>
      </w:pPr>
      <w:r>
        <w:t>L’ADN étudié et étalon sont posés dans un gel.</w:t>
      </w:r>
    </w:p>
    <w:p>
      <w:pPr>
        <w:pStyle w:val="Paragraphedeliste"/>
        <w:numPr>
          <w:ilvl w:val="0"/>
          <w:numId w:val="26"/>
        </w:numPr>
      </w:pPr>
      <w:r>
        <w:t>On applique un courant électrique traverse le gel vers la borne + à cause de la charge des groupes phosphates.</w:t>
      </w:r>
    </w:p>
    <w:p>
      <w:pPr>
        <w:pStyle w:val="Paragraphedeliste"/>
        <w:numPr>
          <w:ilvl w:val="0"/>
          <w:numId w:val="26"/>
        </w:numPr>
      </w:pPr>
      <w:r>
        <w:t>Ensuite, les fragments d’ADN sont rendus visibles grâce au BET (bromure d’éthidium), une substance qui s’intercale entre les brins d’ADN.</w:t>
      </w:r>
    </w:p>
    <w:p>
      <w:r>
        <w:t>La distance parcourue par un morceau d’ADN dépend de sa taille que l’on déterminer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de son génome (par exemple, le poisson rouge a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est impliquée dans le transfère horizontale de gènes.</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t>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lastRenderedPageBreak/>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t>Génome extra chromosomique</w:t>
      </w:r>
      <w:r>
        <w:t xml:space="preserve"> génome situé en dehors du chromosome</w:t>
      </w:r>
    </w:p>
    <w:p>
      <w:pPr>
        <w:pStyle w:val="Titre1"/>
      </w:pPr>
      <w:r>
        <w:t>Réplication de l’ADN</w:t>
      </w:r>
    </w:p>
    <w:p>
      <w:pPr>
        <w:pStyle w:val="Titre2"/>
      </w:pPr>
      <w:r>
        <w:t>Flux d’information génétique</w:t>
      </w:r>
    </w:p>
    <w:p>
      <w:r>
        <w:t>Le passage de l’ADN à la synthèse de la protéine se fait en deux étapes :</w:t>
      </w:r>
    </w:p>
    <w:tbl>
      <w:tblPr>
        <w:tblStyle w:val="Grilledetableauclaire"/>
        <w:tblW w:w="0" w:type="auto"/>
        <w:tblLook w:val="0400" w:firstRow="0" w:lastRow="0" w:firstColumn="0" w:lastColumn="0" w:noHBand="0" w:noVBand="1"/>
      </w:tblPr>
      <w:tblGrid>
        <w:gridCol w:w="3667"/>
        <w:gridCol w:w="3668"/>
      </w:tblGrid>
      <w:tr>
        <w:tc>
          <w:tcPr>
            <w:tcW w:w="3667" w:type="dxa"/>
          </w:tcPr>
          <w:p>
            <w:r>
              <w:t>Transcription ADN en ARN</w:t>
            </w:r>
          </w:p>
        </w:tc>
        <w:tc>
          <w:tcPr>
            <w:tcW w:w="3668" w:type="dxa"/>
          </w:tcPr>
          <w:p>
            <w:r>
              <w:t>Traduction ARN en protéines</w:t>
            </w:r>
          </w:p>
        </w:tc>
      </w:tr>
    </w:tbl>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en cassant un brin et en reformant en déroulant le brin.</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une/des zones riches en paire de bases AT qui sont plus faciles à séparés.</w:t>
      </w:r>
    </w:p>
    <w:p>
      <w:r>
        <w:t>La séparation des brins forme un œil de réplication.</w:t>
      </w:r>
    </w:p>
    <w:p>
      <w:r>
        <w:rPr>
          <w:rStyle w:val="Accentuation"/>
        </w:rPr>
        <w:t>Hélicase</w:t>
      </w:r>
      <w:r>
        <w:t xml:space="preserve"> spécialiser dans l’ouverture de la double hélice. Elle hydrolyse de l’ATP rompre les liaisons pour ouvrir.</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 de réplication.</w:t>
      </w:r>
    </w:p>
    <w:p>
      <w:r>
        <w:t>Comme la polymérisation se fait toujours de l’extrémité 5’ vers le 3’ de manière successive et de manière antiparallèle, chaque fourche possède un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Brin précoce</w:t>
            </w:r>
          </w:p>
        </w:tc>
        <w:tc>
          <w:tcPr>
            <w:tcW w:w="3668" w:type="dxa"/>
          </w:tcPr>
          <w:p>
            <w:pPr>
              <w:cnfStyle w:val="100000000000" w:firstRow="1" w:lastRow="0" w:firstColumn="0" w:lastColumn="0" w:oddVBand="0" w:evenVBand="0" w:oddHBand="0" w:evenHBand="0" w:firstRowFirstColumn="0" w:firstRowLastColumn="0" w:lastRowFirstColumn="0" w:lastRowLastColumn="0"/>
            </w:pPr>
            <w:r>
              <w:t>Brin tardif ou retardé</w:t>
            </w:r>
          </w:p>
        </w:tc>
      </w:tr>
      <w:t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000000000000" w:firstRow="0" w:lastRow="0" w:firstColumn="0" w:lastColumn="0" w:oddVBand="0" w:evenVBand="0" w:oddHBand="0" w:evenHBand="0" w:firstRowFirstColumn="0" w:firstRowLastColumn="0" w:lastRowFirstColumn="0" w:lastRowLastColumn="0"/>
            </w:pPr>
            <w:r>
              <w:t>Incrémentation en plusieurs parties discontinues</w:t>
            </w:r>
          </w:p>
        </w:tc>
      </w:tr>
    </w:tbl>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w:t>
      </w:r>
    </w:p>
    <w:p>
      <w:r>
        <w:lastRenderedPageBreak/>
        <w:t>Pour pouvoir ajouter des bases l’ADN polymérase a besoin d’une extrémité 5’ par où elle puisse commencer la réplication.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que la réplication est lieu. </w:t>
      </w:r>
    </w:p>
    <w:p>
      <w:r>
        <w:t xml:space="preserve">Remarque : On parle de l’extrémité 5’ de la copie ou 3’ du modèle. </w:t>
      </w:r>
    </w:p>
    <w:p>
      <w:pPr>
        <w:pStyle w:val="Titre3"/>
      </w:pPr>
      <w:r>
        <w:t>Les étapes de l’ajout de bases</w:t>
      </w:r>
    </w:p>
    <w:p>
      <w:r>
        <w:t>Les étapes de l’ajout de nouvelles bases :</w:t>
      </w:r>
    </w:p>
    <w:p>
      <w:pPr>
        <w:pStyle w:val="Paragraphedeliste"/>
        <w:numPr>
          <w:ilvl w:val="0"/>
          <w:numId w:val="13"/>
        </w:numPr>
      </w:pPr>
      <w:r>
        <w:t>Ajout d’un précurseur N-triphosphate (3 phosphates - dNTP) avec la base complémentaire.</w:t>
      </w:r>
    </w:p>
    <w:p>
      <w:pPr>
        <w:pStyle w:val="Paragraphedeliste"/>
        <w:numPr>
          <w:ilvl w:val="0"/>
          <w:numId w:val="13"/>
        </w:numPr>
      </w:pPr>
      <w:r>
        <w:t>Fission de la liaison entre les deux phosphates pour former libérer l’énergie pour en créer une nouvelle.</w:t>
      </w:r>
    </w:p>
    <w:p>
      <w:r>
        <w:t xml:space="preserve">Cas du brin tardif </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bonne base. Ensuite une ligase relira les morceaux d’ADN entre eux.</w:t>
      </w:r>
    </w:p>
    <w:p>
      <w:r>
        <w:rPr>
          <w:rStyle w:val="Accentuation"/>
        </w:rPr>
        <w:t>Ligase</w:t>
      </w:r>
      <w:r>
        <w:t xml:space="preserve"> protéine qui va relier les morceaux d’ADN entre eux.</w:t>
      </w:r>
    </w:p>
    <w:p>
      <w:pPr>
        <w:pStyle w:val="Titre3"/>
      </w:pPr>
      <w:r>
        <w:t>L’extrémité 5’</w:t>
      </w:r>
    </w:p>
    <w:p>
      <w:r>
        <w:t>L’ADN polymérase est incapable de répliquer l’extrémité 3‘.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à son 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proofErr w:type="spellStart"/>
            <w:r>
              <w:t>A</w:t>
            </w:r>
            <w:proofErr w:type="spellEnd"/>
            <w:r>
              <w:t xml:space="preserve">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proofErr w:type="spellStart"/>
      <w:r>
        <w:lastRenderedPageBreak/>
        <w:t>MutS</w:t>
      </w:r>
      <w:proofErr w:type="spellEnd"/>
      <w:r>
        <w:t>, une enzyme parcourt la double hélice d’ADN. Lorsqu’elle détecte un mésappariement des bases, elle ci fixe.</w:t>
      </w:r>
    </w:p>
    <w:p>
      <w:pPr>
        <w:pStyle w:val="Paragraphedeliste"/>
        <w:numPr>
          <w:ilvl w:val="0"/>
          <w:numId w:val="18"/>
        </w:numPr>
      </w:pPr>
      <w:proofErr w:type="spellStart"/>
      <w:r>
        <w:t>MutL</w:t>
      </w:r>
      <w:proofErr w:type="spellEnd"/>
      <w:r>
        <w:t xml:space="preserve"> et </w:t>
      </w:r>
      <w:proofErr w:type="spellStart"/>
      <w:r>
        <w:t>MutH</w:t>
      </w:r>
      <w:proofErr w:type="spellEnd"/>
      <w:r>
        <w:t xml:space="preserve">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remplacer par un uracile.</w:t>
      </w:r>
    </w:p>
    <w:p>
      <w:r>
        <w:t>Les radiations provoquent des cassures du squelette sucre phosphate et provoque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r>
        <w:t>Des altérations aux mutations</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t>L’ARN d’une partie de l’ADN et toutes les séquences d’ARN ne sont pas traduite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w:t>
      </w:r>
    </w:p>
    <w:tbl>
      <w:tblPr>
        <w:tblStyle w:val="Grilledetableauclaire"/>
        <w:tblW w:w="0" w:type="auto"/>
        <w:tblLook w:val="04A0" w:firstRow="1" w:lastRow="0" w:firstColumn="1" w:lastColumn="0" w:noHBand="0" w:noVBand="1"/>
      </w:tblPr>
      <w:tblGrid>
        <w:gridCol w:w="3059"/>
        <w:gridCol w:w="1904"/>
        <w:gridCol w:w="237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tc>
        <w:tc>
          <w:tcPr>
            <w:tcW w:w="1878" w:type="dxa"/>
          </w:tcPr>
          <w:p>
            <w:pPr>
              <w:cnfStyle w:val="100000000000" w:firstRow="1" w:lastRow="0" w:firstColumn="0" w:lastColumn="0" w:oddVBand="0" w:evenVBand="0" w:oddHBand="0" w:evenHBand="0" w:firstRowFirstColumn="0" w:firstRowLastColumn="0" w:lastRowFirstColumn="0" w:lastRowLastColumn="0"/>
            </w:pPr>
            <w:r>
              <w:t>Eucaryote</w:t>
            </w:r>
          </w:p>
        </w:tc>
        <w:tc>
          <w:tcPr>
            <w:tcW w:w="2378" w:type="dxa"/>
          </w:tcPr>
          <w:p>
            <w:pPr>
              <w:cnfStyle w:val="100000000000" w:firstRow="1" w:lastRow="0" w:firstColumn="0" w:lastColumn="0" w:oddVBand="0" w:evenVBand="0" w:oddHBand="0" w:evenHBand="0" w:firstRowFirstColumn="0" w:firstRowLastColumn="0" w:lastRowFirstColumn="0" w:lastRowLastColumn="0"/>
            </w:pPr>
            <w:r>
              <w:t>Procaryote</w:t>
            </w:r>
          </w:p>
        </w:tc>
      </w:tr>
      <w:tr>
        <w:tc>
          <w:tcPr>
            <w:cnfStyle w:val="001000000000" w:firstRow="0" w:lastRow="0" w:firstColumn="1" w:lastColumn="0" w:oddVBand="0" w:evenVBand="0" w:oddHBand="0" w:evenHBand="0" w:firstRowFirstColumn="0" w:firstRowLastColumn="0" w:lastRowFirstColumn="0" w:lastRowLastColumn="0"/>
            <w:tcW w:w="3079" w:type="dxa"/>
          </w:tcPr>
          <w:p>
            <w:r>
              <w:t>Nombre de protéines codée par une molécule d’ARN</w:t>
            </w:r>
          </w:p>
        </w:tc>
        <w:tc>
          <w:tcPr>
            <w:tcW w:w="1878" w:type="dxa"/>
          </w:tcPr>
          <w:p>
            <w:pPr>
              <w:cnfStyle w:val="000000000000" w:firstRow="0" w:lastRow="0" w:firstColumn="0" w:lastColumn="0" w:oddVBand="0" w:evenVBand="0" w:oddHBand="0" w:evenHBand="0" w:firstRowFirstColumn="0" w:firstRowLastColumn="0" w:lastRowFirstColumn="0" w:lastRowLastColumn="0"/>
            </w:pPr>
            <w:r>
              <w:t xml:space="preserve">1  </w:t>
            </w:r>
          </w:p>
        </w:tc>
        <w:tc>
          <w:tcPr>
            <w:tcW w:w="2378"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3079" w:type="dxa"/>
          </w:tcPr>
          <w:p/>
        </w:tc>
        <w:tc>
          <w:tcPr>
            <w:tcW w:w="1878" w:type="dxa"/>
          </w:tcPr>
          <w:p>
            <w:pPr>
              <w:cnfStyle w:val="000000000000" w:firstRow="0" w:lastRow="0" w:firstColumn="0" w:lastColumn="0" w:oddVBand="0" w:evenVBand="0" w:oddHBand="0" w:evenHBand="0" w:firstRowFirstColumn="0" w:firstRowLastColumn="0" w:lastRowFirstColumn="0" w:lastRowLastColumn="0"/>
            </w:pPr>
            <w:r>
              <w:t>Gène monocistronique</w:t>
            </w:r>
          </w:p>
        </w:tc>
        <w:tc>
          <w:tcPr>
            <w:tcW w:w="2378" w:type="dxa"/>
          </w:tcPr>
          <w:p>
            <w:pPr>
              <w:cnfStyle w:val="000000000000" w:firstRow="0" w:lastRow="0" w:firstColumn="0" w:lastColumn="0" w:oddVBand="0" w:evenVBand="0" w:oddHBand="0" w:evenHBand="0" w:firstRowFirstColumn="0" w:firstRowLastColumn="0" w:lastRowFirstColumn="0" w:lastRowLastColumn="0"/>
            </w:pPr>
            <w:r>
              <w:t>Gènes polycistroniques</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lastRenderedPageBreak/>
        <w:t>La structure secondaire est liée à un appariement local entre les bases. Certaines possèdent des zones complémentaires s’apparient automatiquement qui forment des zones d’hybridation locales.</w:t>
      </w:r>
    </w:p>
    <w:p>
      <w:r>
        <w:t>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1 ARNr (18S) + 21 protéines forment le complexe</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elle ouvre la double hélice.</w:t>
      </w:r>
    </w:p>
    <w:p>
      <w:pPr>
        <w:pStyle w:val="Paragraphedeliste"/>
        <w:numPr>
          <w:ilvl w:val="0"/>
          <w:numId w:val="19"/>
        </w:numPr>
      </w:pPr>
      <w:r>
        <w:t>Élongation progression de ARN. L’ARN sélectionne le brin ayant une orientation 3’</w:t>
      </w:r>
      <w:r>
        <w:rPr>
          <w:rFonts w:ascii="Arial" w:hAnsi="Arial" w:cs="Arial"/>
        </w:rPr>
        <w:t>→</w:t>
      </w:r>
      <w:r>
        <w:t>5’. Il est appelé brin transcrit.</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
      <w:pPr>
        <w:pStyle w:val="Titre3"/>
      </w:pPr>
      <w:r>
        <w:t>Initiation ou appareillage</w:t>
      </w:r>
    </w:p>
    <w:p>
      <w:r>
        <w:t xml:space="preserve">L’ADN possède des séquences signales qui </w:t>
      </w:r>
      <w:proofErr w:type="gramStart"/>
      <w:r>
        <w:t>indiquent</w:t>
      </w:r>
      <w:proofErr w:type="gramEnd"/>
      <w:r>
        <w:t xml:space="preserve">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A partir du promoteur, on peut déterminer le premier nucléotide codant qui est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r>
        <w:rPr>
          <w:rStyle w:val="Accentuation"/>
        </w:rPr>
        <w:t>Brin codant</w:t>
      </w:r>
      <w:r>
        <w:t xml:space="preserve"> brin d’ADN qui contient la même séquence que celle transcrite en ARN.</w:t>
      </w:r>
    </w:p>
    <w:p>
      <w:r>
        <w:rPr>
          <w:rStyle w:val="Accentuation"/>
        </w:rPr>
        <w:t>ARN codant</w:t>
      </w:r>
      <w:r>
        <w:t xml:space="preserve"> les séquences à l’intérieur de l’ARN qui seront traduite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lastRenderedPageBreak/>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t>Terminaison intrinsèque</w:t>
      </w:r>
    </w:p>
    <w:p>
      <w:r>
        <w:t>À la fin, l’ADN possède une séquence traduite en ARN qui va former une épingle à cheveux suivit d’une queue en UUUUUUU. Cette séquence s’appelle séquence terminateur de transcription. La faiblesse des liaisons hydrogène va provoquer le décrochement de l’ADN polymérase du brin d’ADN et l’arrêt de la transcription</w:t>
      </w:r>
    </w:p>
    <w:p>
      <w:pPr>
        <w:pStyle w:val="Titre3"/>
      </w:pPr>
      <w:r>
        <w:t>Terminaison Rho indépendante</w:t>
      </w:r>
    </w:p>
    <w:p>
      <w:r>
        <w:t>Une séquence d’ARN va provoquer l’appariement d’une protéine Rho. Celle-ci va remonter le brin d’ARN et couper le brin d’ARN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 xml:space="preserve">RNA </w:t>
            </w:r>
            <w:proofErr w:type="spellStart"/>
            <w:r>
              <w:t>pol</w:t>
            </w:r>
            <w:proofErr w:type="spellEnd"/>
            <w:r>
              <w:t xml:space="preserve">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w:t>
            </w:r>
            <w:proofErr w:type="spellStart"/>
            <w:r>
              <w:t>pol</w:t>
            </w:r>
            <w:proofErr w:type="spellEnd"/>
            <w:r>
              <w:t xml:space="preserve">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 et le cœur du promoteur recrute des facteurs généraux de la transcription (TGF) essentielle à appareillage de l’ARN polymérase.</w:t>
      </w:r>
    </w:p>
    <w:p>
      <w:r>
        <w:t>Ce dernier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ce que l’on appelle facteurs généraux de transcription.</w:t>
      </w:r>
    </w:p>
    <w:p>
      <w:pPr>
        <w:pStyle w:val="Titre3"/>
      </w:pPr>
      <w:r>
        <w:t>La maturation de l’ARN</w:t>
      </w:r>
    </w:p>
    <w:p>
      <w:r>
        <w:t>Avant d’être utilisé l’ARN subit un processus de maturation. Elle se déroule au fur et à mesure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lastRenderedPageBreak/>
        <w:t>L’épissage consiste à retirer les introns et lier les exons. Il est réalisé par le complexe spliceosome. Les introns sont délimités par une suite CU et AG.</w:t>
      </w:r>
    </w:p>
    <w:p>
      <w:r>
        <w:rPr>
          <w:rStyle w:val="Accentuation"/>
        </w:rPr>
        <w:t>Épissage</w:t>
      </w:r>
      <w:r>
        <w:t xml:space="preserve"> passage du pré ARN à la ARN mature entre retirant les introns et en liant les exons entre eux.</w:t>
      </w:r>
    </w:p>
    <w:p>
      <w:r>
        <w:rPr>
          <w:rStyle w:val="Accentuation"/>
        </w:rPr>
        <w:t>Complexe spliceosome</w:t>
      </w:r>
      <w:r>
        <w:t xml:space="preserve"> complexe ribonucléoprotéique (ARN + protéine) qui réalise l’épissage.</w:t>
      </w:r>
    </w:p>
    <w:p>
      <w:r>
        <w:t>Terminaison de la transcription</w:t>
      </w:r>
    </w:p>
    <w:p>
      <w:r>
        <w:t>La terminaison est une étape ou l’ARN :</w:t>
      </w:r>
    </w:p>
    <w:tbl>
      <w:tblPr>
        <w:tblStyle w:val="Grilledetableauclaire"/>
        <w:tblW w:w="0" w:type="auto"/>
        <w:tblLook w:val="0400" w:firstRow="0" w:lastRow="0" w:firstColumn="0" w:lastColumn="0" w:noHBand="0" w:noVBand="1"/>
      </w:tblPr>
      <w:tblGrid>
        <w:gridCol w:w="3667"/>
        <w:gridCol w:w="3668"/>
      </w:tblGrid>
      <w:tr>
        <w:tc>
          <w:tcPr>
            <w:tcW w:w="3667" w:type="dxa"/>
          </w:tcPr>
          <w:p>
            <w:r>
              <w:t>Cliver l’ARN</w:t>
            </w:r>
          </w:p>
        </w:tc>
        <w:tc>
          <w:tcPr>
            <w:tcW w:w="3668" w:type="dxa"/>
          </w:tcPr>
          <w:p>
            <w:r>
              <w:t>Ajouter un complexe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Le signal poly(A) va attirer des protéines qui vont couper le brin et ajouter environ 200 adénines. Cette séquence va attirer plusieurs protéines stabilisatrices qui viendront se fixer sur le brin d’ARN.</w:t>
      </w:r>
    </w:p>
    <w:p>
      <w:pPr>
        <w:pStyle w:val="Titre1"/>
      </w:pPr>
      <w:r>
        <w:t>Traduction de l’ARN</w:t>
      </w:r>
    </w:p>
    <w:p>
      <w:r>
        <w:t>L’ARN M est traduit en chaine peptidique ou protéine par un ribosome. Trois nucléotides codent un acide aminé. Cette séquence est appelée codon.</w:t>
      </w:r>
    </w:p>
    <w:p>
      <w:r>
        <w:rPr>
          <w:rStyle w:val="Accentuation"/>
        </w:rPr>
        <w:t>Codon</w:t>
      </w:r>
      <w:r>
        <w:t xml:space="preserve"> séquence de trois nucléotides qui codent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w:t>
            </w:r>
          </w:p>
        </w:tc>
        <w:tc>
          <w:tcPr>
            <w:tcW w:w="3668" w:type="dxa"/>
          </w:tcPr>
          <w:p>
            <w:r>
              <w:t>Redondants</w:t>
            </w:r>
          </w:p>
        </w:tc>
      </w:tr>
    </w:tbl>
    <w:p>
      <w:r>
        <w:t>Il en existe 61 codons codant. Seule la méthionine est codée par un unique codon. Il s’agit de AUG. C’est également le codon initiateur de la traduction.</w:t>
      </w:r>
    </w:p>
    <w:p>
      <w:pPr>
        <w:pStyle w:val="Titre2"/>
      </w:pPr>
      <w:r>
        <w:t xml:space="preserve">La traduction en chaine peptidique </w:t>
      </w:r>
    </w:p>
    <w:p>
      <w:r>
        <w:t xml:space="preserve">Le ribosome vient se fixer sur le ARM M grâce à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La coiffe chez les eucaryotes</w:t>
            </w:r>
          </w:p>
        </w:tc>
        <w:tc>
          <w:tcPr>
            <w:tcW w:w="3668" w:type="dxa"/>
          </w:tcPr>
          <w:p>
            <w:pPr>
              <w:cnfStyle w:val="100000000000" w:firstRow="1" w:lastRow="0" w:firstColumn="0" w:lastColumn="0" w:oddVBand="0" w:evenVBand="0" w:oddHBand="0" w:evenHBand="0" w:firstRowFirstColumn="0" w:firstRowLastColumn="0" w:lastRowFirstColumn="0" w:lastRowLastColumn="0"/>
            </w:pPr>
            <w:r>
              <w:t xml:space="preserve">La séquence d’ARN de </w:t>
            </w:r>
            <w:proofErr w:type="spellStart"/>
            <w:r>
              <w:t>Shine-Dalgarno</w:t>
            </w:r>
            <w:proofErr w:type="spellEnd"/>
            <w:r>
              <w:t xml:space="preserve"> chez </w:t>
            </w:r>
            <w:proofErr w:type="spellStart"/>
            <w:r>
              <w:t>procayote</w:t>
            </w:r>
            <w:proofErr w:type="spellEnd"/>
            <w:r>
              <w:t>.</w:t>
            </w:r>
          </w:p>
        </w:tc>
      </w:tr>
    </w:tbl>
    <w:p>
      <w:r>
        <w:t xml:space="preserve">Il parcourt ensuite l’ARM M du coté 5’ vers le coté 3’. La synthèse débute lorsque des protéines lorsqu’il y a détecté un codon initiateur. </w:t>
      </w:r>
    </w:p>
    <w:p>
      <w:r>
        <w:t>C’est à partir de se moment que débute la synthèse de la protéine. Les acides aminés sont ajoutés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Remarque :</w:t>
      </w:r>
      <w:r>
        <w:t xml:space="preserve"> il existe autant d’ARNt que de codons.</w:t>
      </w:r>
    </w:p>
    <w:p>
      <w:r>
        <w:t>L’</w:t>
      </w:r>
      <w:proofErr w:type="spellStart"/>
      <w:r>
        <w:t>aminoacyl</w:t>
      </w:r>
      <w:proofErr w:type="spellEnd"/>
      <w:r>
        <w:t>-ARNt synthétase vient fixer l’AA du coté 3’ de la chaine sur l’ARNt en hydrolysant de l’ATP.</w:t>
      </w:r>
    </w:p>
    <w:p>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anchor>
        </w:drawing>
      </w:r>
      <w:r>
        <w:t xml:space="preserve">Il est composé de quatre parties forme de trèfle. </w:t>
      </w:r>
    </w:p>
    <w:p>
      <w:pPr>
        <w:pStyle w:val="Paragraphedeliste"/>
        <w:numPr>
          <w:ilvl w:val="0"/>
          <w:numId w:val="29"/>
        </w:numPr>
      </w:pPr>
      <w:r>
        <w:t xml:space="preserve"> La boucle T interagit avec le ribosome.</w:t>
      </w:r>
    </w:p>
    <w:p>
      <w:pPr>
        <w:pStyle w:val="Paragraphedeliste"/>
        <w:numPr>
          <w:ilvl w:val="0"/>
          <w:numId w:val="29"/>
        </w:numPr>
      </w:pPr>
      <w:r>
        <w:t xml:space="preserve"> Anticodon</w:t>
      </w:r>
    </w:p>
    <w:p>
      <w:pPr>
        <w:pStyle w:val="Paragraphedeliste"/>
        <w:numPr>
          <w:ilvl w:val="0"/>
          <w:numId w:val="29"/>
        </w:numPr>
      </w:pPr>
      <w:r>
        <w:t xml:space="preserve"> La boucle D charge l’acide AA.</w:t>
      </w:r>
    </w:p>
    <w:p>
      <w:pPr>
        <w:pStyle w:val="Paragraphedeliste"/>
        <w:numPr>
          <w:ilvl w:val="0"/>
          <w:numId w:val="29"/>
        </w:numPr>
      </w:pPr>
      <w:r>
        <w:t xml:space="preserve"> L’anticodon s’apparie avec le codon qui code l’acide aminé. L’anticodon est la séquence complémentaire du codon de l’ARN.</w:t>
      </w:r>
    </w:p>
    <w:p/>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w:t>
            </w:r>
            <w:proofErr w:type="spellStart"/>
            <w:r>
              <w:t>xit</w:t>
            </w:r>
            <w:proofErr w:type="spellEnd"/>
            <w:r>
              <w: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est déterminé en soumettant les molécules à une force centrifuge. Il est non additif et dépend de la taille et la forme de la molécule.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La protéine EiF-4E et EiF-4G viennent se fixer sur la coiffe pour permettre le recrutement de la petite unité (18S). </w:t>
      </w:r>
    </w:p>
    <w:p>
      <w:pPr>
        <w:pStyle w:val="Paragraphedeliste"/>
        <w:numPr>
          <w:ilvl w:val="0"/>
          <w:numId w:val="30"/>
        </w:numPr>
      </w:pPr>
      <w:r>
        <w:t>Le complexe parcourt l’ARN jusqu’au détecter un codon initiateur. La synthèse de la chaine débute.</w:t>
      </w:r>
    </w:p>
    <w:p>
      <w:pPr>
        <w:pStyle w:val="Paragraphedeliste"/>
        <w:numPr>
          <w:ilvl w:val="0"/>
          <w:numId w:val="30"/>
        </w:numPr>
      </w:pPr>
      <w:r>
        <w:t>La grande unité ribosomique vient lorsque s’ajouter au complexe. La synthèse de la chaine peut alors continuer.</w:t>
      </w:r>
    </w:p>
    <w:p>
      <w:pPr>
        <w:pStyle w:val="Paragraphedeliste"/>
        <w:numPr>
          <w:ilvl w:val="0"/>
          <w:numId w:val="30"/>
        </w:numPr>
      </w:pPr>
      <w:r>
        <w:t>Une fois le codon stop atteint, les facteurs de largage (RF) sont recrutés et le ribosome est désengagé de la traduction.</w:t>
      </w:r>
    </w:p>
    <w:p>
      <w:pPr>
        <w:pStyle w:val="Titre3"/>
      </w:pPr>
      <w:r>
        <w:t>La traduction de l’ARN chez les procaryotes</w:t>
      </w:r>
    </w:p>
    <w:p>
      <w:r>
        <w:t xml:space="preserve">La traduction de l’ARN chez les procaryotes </w:t>
      </w:r>
      <w:proofErr w:type="gramStart"/>
      <w:r>
        <w:t>a</w:t>
      </w:r>
      <w:proofErr w:type="gramEnd"/>
      <w:r>
        <w:t xml:space="preserve"> lieu simultanément de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 xml:space="preserve">Silencieuse (la redondance des codons permet de conserver </w:t>
            </w:r>
            <w:proofErr w:type="spellStart"/>
            <w:r>
              <w:t>l’aa</w:t>
            </w:r>
            <w:proofErr w:type="spellEnd"/>
            <w:r>
              <w:t>)</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2"/>
  </w:num>
  <w:num w:numId="4">
    <w:abstractNumId w:val="3"/>
  </w:num>
  <w:num w:numId="5">
    <w:abstractNumId w:val="9"/>
  </w:num>
  <w:num w:numId="6">
    <w:abstractNumId w:val="6"/>
  </w:num>
  <w:num w:numId="7">
    <w:abstractNumId w:val="13"/>
  </w:num>
  <w:num w:numId="8">
    <w:abstractNumId w:val="16"/>
  </w:num>
  <w:num w:numId="9">
    <w:abstractNumId w:val="0"/>
  </w:num>
  <w:num w:numId="10">
    <w:abstractNumId w:val="20"/>
  </w:num>
  <w:num w:numId="11">
    <w:abstractNumId w:val="21"/>
  </w:num>
  <w:num w:numId="12">
    <w:abstractNumId w:val="2"/>
  </w:num>
  <w:num w:numId="13">
    <w:abstractNumId w:val="26"/>
  </w:num>
  <w:num w:numId="14">
    <w:abstractNumId w:val="25"/>
  </w:num>
  <w:num w:numId="15">
    <w:abstractNumId w:val="19"/>
  </w:num>
  <w:num w:numId="16">
    <w:abstractNumId w:val="15"/>
  </w:num>
  <w:num w:numId="17">
    <w:abstractNumId w:val="11"/>
  </w:num>
  <w:num w:numId="18">
    <w:abstractNumId w:val="7"/>
  </w:num>
  <w:num w:numId="19">
    <w:abstractNumId w:val="27"/>
  </w:num>
  <w:num w:numId="20">
    <w:abstractNumId w:val="4"/>
  </w:num>
  <w:num w:numId="21">
    <w:abstractNumId w:val="28"/>
  </w:num>
  <w:num w:numId="22">
    <w:abstractNumId w:val="10"/>
  </w:num>
  <w:num w:numId="23">
    <w:abstractNumId w:val="17"/>
  </w:num>
  <w:num w:numId="24">
    <w:abstractNumId w:val="29"/>
  </w:num>
  <w:num w:numId="25">
    <w:abstractNumId w:val="5"/>
  </w:num>
  <w:num w:numId="26">
    <w:abstractNumId w:val="23"/>
  </w:num>
  <w:num w:numId="27">
    <w:abstractNumId w:val="14"/>
  </w:num>
  <w:num w:numId="28">
    <w:abstractNumId w:val="8"/>
  </w:num>
  <w:num w:numId="29">
    <w:abstractNumId w:val="2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basedOn w:val="Normal"/>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1</Pages>
  <Words>3410</Words>
  <Characters>18761</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59</cp:revision>
  <cp:lastPrinted>2020-10-29T13:38:00Z</cp:lastPrinted>
  <dcterms:created xsi:type="dcterms:W3CDTF">2020-09-08T20:41:00Z</dcterms:created>
  <dcterms:modified xsi:type="dcterms:W3CDTF">2021-07-14T20:44:00Z</dcterms:modified>
</cp:coreProperties>
</file>