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 xml:space="preserve">La protéine adopte sa conformation fonctionnelle de </w:t>
      </w:r>
      <w:proofErr w:type="spellStart"/>
      <w:r>
        <w:t>facon</w:t>
      </w:r>
      <w:proofErr w:type="spellEnd"/>
      <w:r>
        <w:t xml:space="preserve"> </w:t>
      </w:r>
      <w:proofErr w:type="spellStart"/>
      <w:r>
        <w:t>spontannée</w:t>
      </w:r>
      <w:proofErr w:type="spellEnd"/>
      <w:r>
        <w:t xml:space="preserve"> ou avec l’aide 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t>-1)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attirées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spellStart"/>
            <w:r>
              <w:t>A</w:t>
            </w:r>
            <w:proofErr w:type="spellEnd"/>
            <w:r>
              <w:t xml:space="preserve">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proofErr w:type="spellStart"/>
      <w:r>
        <w:t>MutS</w:t>
      </w:r>
      <w:proofErr w:type="spellEnd"/>
      <w:r>
        <w:t>, une enzyme parcourt la double hélice d’ADN. Lorsqu’elle détecte un mésappariement des bases, elle ci fixe.</w:t>
      </w:r>
    </w:p>
    <w:p>
      <w:pPr>
        <w:pStyle w:val="Paragraphedeliste"/>
        <w:numPr>
          <w:ilvl w:val="0"/>
          <w:numId w:val="18"/>
        </w:numPr>
      </w:pPr>
      <w:proofErr w:type="spellStart"/>
      <w:r>
        <w:t>MutL</w:t>
      </w:r>
      <w:proofErr w:type="spellEnd"/>
      <w:r>
        <w:t xml:space="preserve"> et </w:t>
      </w:r>
      <w:proofErr w:type="spellStart"/>
      <w:r>
        <w:t>MutH</w:t>
      </w:r>
      <w:proofErr w:type="spellEnd"/>
      <w:r>
        <w:t xml:space="preserve">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lastRenderedPageBreak/>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 xml:space="preserve">La structure secondaire est liée à un appariement local entre les bases. Certaines zones complémentaires s’associent </w:t>
      </w:r>
      <w:proofErr w:type="spellStart"/>
      <w:r>
        <w:t>spontannément</w:t>
      </w:r>
      <w:proofErr w:type="spellEnd"/>
      <w:r>
        <w:t xml:space="preserve">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w:t>
      </w:r>
      <w:proofErr w:type="gramStart"/>
      <w:r>
        <w:t>formé</w:t>
      </w:r>
      <w:proofErr w:type="gramEnd"/>
      <w:r>
        <w:t xml:space="preserve">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rPr>
          <w:highlight w:val="yellow"/>
        </w:rPr>
      </w:pPr>
      <w:r>
        <w:t>Élongation : progression de ARN. L’ARN sélectionne et lie le brin avec les bases dans le sens d’orientation 5’</w:t>
      </w:r>
      <w:r>
        <w:rPr>
          <w:rFonts w:ascii="Arial" w:hAnsi="Arial" w:cs="Arial"/>
        </w:rPr>
        <w:t>→</w:t>
      </w:r>
      <w:r>
        <w:t xml:space="preserve">3’. </w:t>
      </w:r>
      <w:r>
        <w:rPr>
          <w:highlight w:val="yellow"/>
        </w:rPr>
        <w:t>Il est appelé brin transcrit ou sens.</w:t>
      </w:r>
    </w:p>
    <w:p>
      <w:pPr>
        <w:pStyle w:val="Paragraphedeliste"/>
        <w:numPr>
          <w:ilvl w:val="0"/>
          <w:numId w:val="19"/>
        </w:numPr>
        <w:rPr>
          <w:highlight w:val="yellow"/>
        </w:rPr>
      </w:pPr>
      <w:r>
        <w:rPr>
          <w:highlight w:val="yellow"/>
        </w:rPr>
        <w:t>Transcription : 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 xml:space="preserve">L’ADN possède des séquences signales qui </w:t>
      </w:r>
      <w:proofErr w:type="gramStart"/>
      <w:r>
        <w:t>indiquent</w:t>
      </w:r>
      <w:proofErr w:type="gramEnd"/>
      <w:r>
        <w:t xml:space="preserve">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t xml:space="preserve"> (ou sens) brin d’ADN qui contient la même séquence que celle transcrite en ARN. Par </w:t>
      </w:r>
      <w:proofErr w:type="spellStart"/>
      <w:r>
        <w:t>oppositon</w:t>
      </w:r>
      <w:proofErr w:type="spellEnd"/>
      <w:r>
        <w:t xml:space="preserve">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lastRenderedPageBreak/>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 xml:space="preserve">RNA </w:t>
            </w:r>
            <w:proofErr w:type="spellStart"/>
            <w:r>
              <w:t>pol</w:t>
            </w:r>
            <w:proofErr w:type="spellEnd"/>
            <w:r>
              <w:t xml:space="preserve">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w:t>
            </w:r>
            <w:proofErr w:type="spellStart"/>
            <w:r>
              <w:t>pol</w:t>
            </w:r>
            <w:proofErr w:type="spellEnd"/>
            <w:r>
              <w:t xml:space="preserve">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 xml:space="preserve">La boite TATA est reconnue par plusieurs protéines qui vont venir s’appareiller et recruter l’ARN polymérase. Ces protéines sont </w:t>
      </w:r>
      <w:proofErr w:type="spellStart"/>
      <w:r>
        <w:t>appellées</w:t>
      </w:r>
      <w:proofErr w:type="spellEnd"/>
      <w:r>
        <w:t xml:space="preserve">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L’ARN est cliver</w:t>
            </w:r>
          </w:p>
        </w:tc>
        <w:tc>
          <w:tcPr>
            <w:tcW w:w="3668" w:type="dxa"/>
          </w:tcPr>
          <w:p>
            <w:r>
              <w:t xml:space="preserve">Un complexe est </w:t>
            </w:r>
            <w:proofErr w:type="gramStart"/>
            <w:r>
              <w:t>ajouter</w:t>
            </w:r>
            <w:proofErr w:type="gramEnd"/>
            <w:r>
              <w:t xml:space="preserve">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 xml:space="preserve">Le signal poly(A) attire des protéines qui vont couper le brin et ajouter environ 200 adénines appelé queue AAA. </w:t>
      </w:r>
      <w:r>
        <w:rPr>
          <w:highlight w:val="yellow"/>
        </w:rPr>
        <w:t>Cette séquence est reconnue par des protéines se fixer sur le brin pour le stabiliser.</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 xml:space="preserve">La séquence d’ARN de </w:t>
            </w:r>
            <w:proofErr w:type="spellStart"/>
            <w:r>
              <w:t>Shine-Dalgarno</w:t>
            </w:r>
            <w:proofErr w:type="spellEnd"/>
            <w:r>
              <w:t xml:space="preserve"> chez les procaryotes.</w:t>
            </w:r>
          </w:p>
        </w:tc>
      </w:tr>
    </w:tbl>
    <w:p>
      <w:r>
        <w:rPr>
          <w:highlight w:val="yellow"/>
        </w:rPr>
        <w:t>Il parcourt ensuite l’ARM M du coté 5’ vers 3’. La synthèse des protéines débute lorsqu’un codon initiateur (AUG) a été détecté. Les acides aminés sont ajoutés successivement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w:t>
      </w:r>
      <w:proofErr w:type="spellStart"/>
      <w:r>
        <w:t>aminoacyl</w:t>
      </w:r>
      <w:proofErr w:type="spellEnd"/>
      <w:r>
        <w:t>-ARNt synthétase vient fixer l’AA du coté 3’ de la chaine sur l’ARNt en hydrolysant de l’ATP.</w:t>
      </w:r>
    </w:p>
    <w:p>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w:t>
            </w:r>
            <w:proofErr w:type="spellStart"/>
            <w:r>
              <w:t>xit</w:t>
            </w:r>
            <w:proofErr w:type="spellEnd"/>
            <w:r>
              <w: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vient s’ajouter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 xml:space="preserve">La traduction de l’ARN chez les procaryotes </w:t>
      </w:r>
      <w:proofErr w:type="gramStart"/>
      <w:r>
        <w:t>a</w:t>
      </w:r>
      <w:proofErr w:type="gramEnd"/>
      <w:r>
        <w:t xml:space="preserve">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 xml:space="preserve">Silencieuse (la redondance des codons permet de conserver </w:t>
            </w:r>
            <w:proofErr w:type="spellStart"/>
            <w:r>
              <w:t>l’aa</w:t>
            </w:r>
            <w:proofErr w:type="spellEnd"/>
            <w:r>
              <w:t>)</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13"/>
  </w:num>
  <w:num w:numId="4">
    <w:abstractNumId w:val="3"/>
  </w:num>
  <w:num w:numId="5">
    <w:abstractNumId w:val="10"/>
  </w:num>
  <w:num w:numId="6">
    <w:abstractNumId w:val="6"/>
  </w:num>
  <w:num w:numId="7">
    <w:abstractNumId w:val="14"/>
  </w:num>
  <w:num w:numId="8">
    <w:abstractNumId w:val="17"/>
  </w:num>
  <w:num w:numId="9">
    <w:abstractNumId w:val="0"/>
  </w:num>
  <w:num w:numId="10">
    <w:abstractNumId w:val="21"/>
  </w:num>
  <w:num w:numId="11">
    <w:abstractNumId w:val="22"/>
  </w:num>
  <w:num w:numId="12">
    <w:abstractNumId w:val="2"/>
  </w:num>
  <w:num w:numId="13">
    <w:abstractNumId w:val="27"/>
  </w:num>
  <w:num w:numId="14">
    <w:abstractNumId w:val="26"/>
  </w:num>
  <w:num w:numId="15">
    <w:abstractNumId w:val="20"/>
  </w:num>
  <w:num w:numId="16">
    <w:abstractNumId w:val="16"/>
  </w:num>
  <w:num w:numId="17">
    <w:abstractNumId w:val="12"/>
  </w:num>
  <w:num w:numId="18">
    <w:abstractNumId w:val="8"/>
  </w:num>
  <w:num w:numId="19">
    <w:abstractNumId w:val="28"/>
  </w:num>
  <w:num w:numId="20">
    <w:abstractNumId w:val="4"/>
  </w:num>
  <w:num w:numId="21">
    <w:abstractNumId w:val="29"/>
  </w:num>
  <w:num w:numId="22">
    <w:abstractNumId w:val="11"/>
  </w:num>
  <w:num w:numId="23">
    <w:abstractNumId w:val="18"/>
  </w:num>
  <w:num w:numId="24">
    <w:abstractNumId w:val="30"/>
  </w:num>
  <w:num w:numId="25">
    <w:abstractNumId w:val="5"/>
  </w:num>
  <w:num w:numId="26">
    <w:abstractNumId w:val="24"/>
  </w:num>
  <w:num w:numId="27">
    <w:abstractNumId w:val="15"/>
  </w:num>
  <w:num w:numId="28">
    <w:abstractNumId w:val="9"/>
  </w:num>
  <w:num w:numId="29">
    <w:abstractNumId w:val="25"/>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Pages>
  <Words>3440</Words>
  <Characters>18920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67</cp:revision>
  <cp:lastPrinted>2020-10-29T13:38:00Z</cp:lastPrinted>
  <dcterms:created xsi:type="dcterms:W3CDTF">2020-09-08T20:41:00Z</dcterms:created>
  <dcterms:modified xsi:type="dcterms:W3CDTF">2022-03-17T13:20:00Z</dcterms:modified>
</cp:coreProperties>
</file>