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La thermodynamique est un domaine de la chimie qui permet de prévoir si une transformation peut avoir lieu sans déterminer sa composition ou sa vitesse.</w:t>
      </w:r>
    </w:p>
    <w:p>
      <w:r>
        <w:rPr>
          <w:rStyle w:val="Accentuation"/>
        </w:rPr>
        <w:t>Variable intensive</w:t>
      </w:r>
      <w:r>
        <w:rPr>
          <w:shd w:val="clear" w:color="auto" w:fill="FFFFFF"/>
        </w:rPr>
        <w:t xml:space="preserve"> (par opposition à extensive) variable indépendante de la quantité de matière.</w:t>
      </w:r>
    </w:p>
    <w:p>
      <w:pPr>
        <w:rPr>
          <w:shd w:val="clear" w:color="auto" w:fill="FFFFFF"/>
        </w:rPr>
      </w:pPr>
      <w:r>
        <w:rPr>
          <w:color w:val="FF0000"/>
          <w:shd w:val="clear" w:color="auto" w:fill="FFFFFF"/>
        </w:rPr>
        <w:t xml:space="preserve">Capacité thermique </w:t>
      </w:r>
      <w:r>
        <w:rPr>
          <w:shd w:val="clear" w:color="auto" w:fill="FFFFFF"/>
        </w:rPr>
        <w:t>quantifie la quantité de chaleur qu’une matière est capable d’échanger.</w:t>
      </w:r>
    </w:p>
    <w:p>
      <w:r>
        <w:t xml:space="preserve">Par défaut, la température est de 298K et la pression de 1atm. </w:t>
      </w:r>
    </w:p>
    <w:p>
      <w:r>
        <w:rPr>
          <w:rStyle w:val="Accentuation"/>
        </w:rPr>
        <w:t>État standard</w:t>
      </w:r>
      <w:r>
        <w:t xml:space="preserve"> pression atmosphérique et température 298K.</w:t>
      </w:r>
    </w:p>
    <w:p>
      <w:r>
        <w:t>Rappel : Pour les gaz parfaits, on a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838"/>
        <w:gridCol w:w="5497"/>
      </w:tblGrid>
      <w:tr>
        <w:tc>
          <w:tcPr>
            <w:tcW w:w="1838" w:type="dxa"/>
          </w:tcPr>
          <w:p>
            <m:oMathPara>
              <m:oMath>
                <m:r>
                  <w:rPr>
                    <w:rFonts w:ascii="Cambria Math" w:hAnsi="Cambria Math"/>
                  </w:rPr>
                  <m:t>pV=nRT</m:t>
                </m:r>
              </m:oMath>
            </m:oMathPara>
          </w:p>
        </w:tc>
        <w:tc>
          <w:tcPr>
            <w:tcW w:w="549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 = 8, 314J.K</w:t>
            </w:r>
            <w:r>
              <w:rPr>
                <w:rFonts w:eastAsiaTheme="minorEastAsia"/>
                <w:vertAlign w:val="superscript"/>
              </w:rPr>
              <w:t>-1</w:t>
            </w:r>
            <w:r>
              <w:rPr>
                <w:rFonts w:eastAsiaTheme="minorEastAsia"/>
              </w:rPr>
              <w:t>.mol</w:t>
            </w:r>
            <w:r>
              <w:rPr>
                <w:rFonts w:eastAsiaTheme="minorEastAsia"/>
                <w:vertAlign w:val="superscript"/>
              </w:rPr>
              <w:t>-1</w:t>
            </w:r>
            <w:r>
              <w:rPr>
                <w:rFonts w:eastAsiaTheme="minorEastAsia"/>
              </w:rPr>
              <w:t>constante des gaz parfaits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 température en kelvin (0K = -273,15°C)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quantité de matière en mol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 volume en m</w:t>
            </w:r>
            <w:r>
              <w:rPr>
                <w:rFonts w:eastAsiaTheme="minorEastAsia"/>
                <w:vertAlign w:val="superscript"/>
              </w:rPr>
              <w:t>3</w:t>
            </w:r>
          </w:p>
        </w:tc>
      </w:tr>
    </w:tbl>
    <w:p>
      <w:r>
        <w:t xml:space="preserve">La masse molaire des principaux atomes est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Hydrogène 1g.mol</w:t>
            </w:r>
            <w:r>
              <w:rPr>
                <w:vertAlign w:val="superscript"/>
              </w:rPr>
              <w:t>-1</w:t>
            </w:r>
          </w:p>
        </w:tc>
        <w:tc>
          <w:tcPr>
            <w:tcW w:w="2445" w:type="dxa"/>
          </w:tcPr>
          <w:p>
            <w:r>
              <w:t>Carbone 14g.mol</w:t>
            </w:r>
            <w:r>
              <w:rPr>
                <w:vertAlign w:val="superscript"/>
              </w:rPr>
              <w:t>-1</w:t>
            </w:r>
          </w:p>
        </w:tc>
        <w:tc>
          <w:tcPr>
            <w:tcW w:w="2445" w:type="dxa"/>
          </w:tcPr>
          <w:p>
            <w:r>
              <w:t>Oxygène 16g.mol</w:t>
            </w:r>
            <w:r>
              <w:rPr>
                <w:vertAlign w:val="superscript"/>
              </w:rPr>
              <w:t>-1</w:t>
            </w:r>
          </w:p>
        </w:tc>
      </w:tr>
    </w:tbl>
    <w:p>
      <w:pPr>
        <w:pStyle w:val="Titre1"/>
        <w:rPr>
          <w:shd w:val="clear" w:color="auto" w:fill="FFFFFF"/>
        </w:rPr>
      </w:pPr>
      <w:r>
        <w:rPr>
          <w:shd w:val="clear" w:color="auto" w:fill="FFFFFF"/>
        </w:rPr>
        <w:t>1er principe de la thermodynamique : la conservation de l’énergie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t xml:space="preserve">L’énergie interne d’un système est notée U. Elle est dû à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L’énergie cinétique (mouvement)</w:t>
            </w:r>
          </w:p>
        </w:tc>
        <w:tc>
          <w:tcPr>
            <w:tcW w:w="3668" w:type="dxa"/>
          </w:tcPr>
          <w:p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Interactions entre les particules</w:t>
            </w:r>
          </w:p>
        </w:tc>
      </w:tr>
    </w:tbl>
    <w:p>
      <w:r>
        <w:t>Nous ne savons pas la déterminer. En revanche, il est possible de connaitre la différence d’énergie entre deux états.</w:t>
      </w:r>
    </w:p>
    <w:p>
      <w:r>
        <w:t>L’énergie d’un système peut être échangée sous deux formes :</w:t>
      </w:r>
    </w:p>
    <w:tbl>
      <w:tblPr>
        <w:tblStyle w:val="Grilledetableauclaire"/>
        <w:tblW w:w="5000" w:type="pct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Énergie thermique = Chaleur (Q)</w:t>
            </w:r>
          </w:p>
        </w:tc>
        <w:tc>
          <w:tcPr>
            <w:tcW w:w="3668" w:type="dxa"/>
          </w:tcPr>
          <w:p>
            <w:r>
              <w:t>Énergie mécanique = Travail (W)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On définit cette différent d’énergie : </w:t>
      </w:r>
      <w:bookmarkStart w:id="0" w:name="_Hlk65862839"/>
      <m:oMath>
        <m:r>
          <w:rPr>
            <w:rFonts w:ascii="Cambria Math" w:hAnsi="Cambria Math"/>
          </w:rPr>
          <m:t>∆</m:t>
        </m:r>
        <w:bookmarkEnd w:id="0"/>
        <m:r>
          <w:rPr>
            <w:rFonts w:ascii="Cambria Math" w:hAnsi="Cambria Math"/>
          </w:rPr>
          <m:t>U=</m:t>
        </m:r>
        <m:r>
          <m:rPr>
            <m:sty m:val="bi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Q+</m:t>
        </m:r>
        <m:r>
          <m:rPr>
            <m:sty m:val="bi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W</m:t>
        </m:r>
      </m:oMath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NB :</w:t>
      </w:r>
      <w:r>
        <w:rPr>
          <w:rFonts w:eastAsiaTheme="minorEastAsia"/>
        </w:rPr>
        <w:t xml:space="preserve"> L’unité de l’énergie est le Joule (J).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Dans le cas d’une réaction cyclique, on a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∆U</m:t>
            </m:r>
          </m:e>
        </m:nary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.</w:t>
      </w:r>
    </w:p>
    <w:p>
      <w:pPr>
        <w:pStyle w:val="Titre2"/>
      </w:pPr>
      <w:r>
        <w:t>La nature des transformations possibles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122"/>
        <w:gridCol w:w="1869"/>
        <w:gridCol w:w="1816"/>
        <w:gridCol w:w="1528"/>
      </w:tblGrid>
      <w:tr>
        <w:tc>
          <w:tcPr>
            <w:tcW w:w="2122" w:type="dxa"/>
          </w:tcPr>
          <w:p>
            <w:r>
              <w:t>Isotherme</w:t>
            </w:r>
          </w:p>
        </w:tc>
        <w:tc>
          <w:tcPr>
            <w:tcW w:w="1869" w:type="dxa"/>
          </w:tcPr>
          <w:p>
            <w:r>
              <w:t>Isochore</w:t>
            </w:r>
          </w:p>
        </w:tc>
        <w:tc>
          <w:tcPr>
            <w:tcW w:w="1816" w:type="dxa"/>
          </w:tcPr>
          <w:p>
            <w:r>
              <w:t>Adiabatique</w:t>
            </w:r>
          </w:p>
        </w:tc>
        <w:tc>
          <w:tcPr>
            <w:tcW w:w="1528" w:type="dxa"/>
          </w:tcPr>
          <w:p>
            <w:r>
              <w:t>Isobare</w:t>
            </w:r>
          </w:p>
        </w:tc>
      </w:tr>
      <w:tr>
        <w:tc>
          <w:tcPr>
            <w:tcW w:w="2122" w:type="dxa"/>
          </w:tcPr>
          <w:p>
            <w:r>
              <w:t>Pas de changement de T°</w:t>
            </w:r>
          </w:p>
        </w:tc>
        <w:tc>
          <w:tcPr>
            <w:tcW w:w="1869" w:type="dxa"/>
          </w:tcPr>
          <w:p>
            <w:r>
              <w:t>Volume constant</w:t>
            </w:r>
          </w:p>
        </w:tc>
        <w:tc>
          <w:tcPr>
            <w:tcW w:w="1816" w:type="dxa"/>
          </w:tcPr>
          <w:p>
            <w:r>
              <w:t>Pas d’échanges de chaleur</w:t>
            </w:r>
          </w:p>
        </w:tc>
        <w:tc>
          <w:tcPr>
            <w:tcW w:w="1528" w:type="dxa"/>
          </w:tcPr>
          <w:p>
            <w:r>
              <w:t>Pression constante</w:t>
            </w:r>
          </w:p>
        </w:tc>
      </w:tr>
      <w:tr>
        <w:tc>
          <w:tcPr>
            <w:tcW w:w="2122" w:type="dxa"/>
          </w:tcPr>
          <w:p>
            <w:pPr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T°=cste</m:t>
                </m:r>
              </m:oMath>
            </m:oMathPara>
          </w:p>
        </w:tc>
        <w:tc>
          <w:tcPr>
            <w:tcW w:w="1869" w:type="dxa"/>
          </w:tcPr>
          <w:p>
            <m:oMathPara>
              <m:oMath>
                <m:r>
                  <w:rPr>
                    <w:rFonts w:ascii="Cambria Math" w:hAnsi="Cambria Math"/>
                  </w:rPr>
                  <m:t>V=cste</m:t>
                </m:r>
              </m:oMath>
            </m:oMathPara>
          </w:p>
        </w:tc>
        <w:tc>
          <w:tcPr>
            <w:tcW w:w="1816" w:type="dxa"/>
          </w:tcPr>
          <w:p>
            <m:oMathPara>
              <m:oMath>
                <m:r>
                  <w:rPr>
                    <w:rFonts w:ascii="Cambria Math" w:hAnsi="Cambria Math"/>
                  </w:rPr>
                  <m:t>Q=0</m:t>
                </m:r>
              </m:oMath>
            </m:oMathPara>
          </w:p>
        </w:tc>
        <w:tc>
          <w:tcPr>
            <w:tcW w:w="1528" w:type="dxa"/>
          </w:tcPr>
          <w:p>
            <m:oMathPara>
              <m:oMath>
                <m:r>
                  <w:rPr>
                    <w:rFonts w:ascii="Cambria Math" w:hAnsi="Cambria Math"/>
                  </w:rPr>
                  <m:t>P=cste</m:t>
                </m:r>
              </m:oMath>
            </m:oMathPara>
          </w:p>
        </w:tc>
      </w:tr>
    </w:tbl>
    <w:p>
      <w:pPr>
        <w:pStyle w:val="Titre2"/>
      </w:pPr>
      <w:r>
        <w:t>Le travail (uniquement pour les gaz)</w:t>
      </w:r>
    </w:p>
    <w:p>
      <w:pPr>
        <w:rPr>
          <w:rFonts w:eastAsiaTheme="minorEastAsia"/>
        </w:rPr>
      </w:pPr>
      <w:r>
        <w:t>La notion de travail s’applique uniquement aux gaz car ceux sont les seuls à subir une variation importante de volume.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∆W=-PdV</m:t>
                </m:r>
              </m:oMath>
            </m:oMathPara>
          </w:p>
        </w:tc>
        <w:tc>
          <w:tcPr>
            <w:tcW w:w="3668" w:type="dxa"/>
          </w:tcPr>
          <w:p>
            <w:r>
              <w:t>P pression (Pa)</w:t>
            </w:r>
          </w:p>
        </w:tc>
      </w:tr>
    </w:tbl>
    <w:p>
      <w:pPr>
        <w:rPr>
          <w:i/>
          <w:iCs/>
        </w:rPr>
      </w:pPr>
      <w:r>
        <w:rPr>
          <w:i/>
          <w:iCs/>
        </w:rPr>
        <w:t>Par exemple, pour une réaction isobare, on aura :</w:t>
      </w:r>
      <m:oMath>
        <m:r>
          <w:rPr>
            <w:rFonts w:ascii="Cambria Math" w:hAnsi="Cambria Math"/>
          </w:rPr>
          <m:t xml:space="preserve"> ∆W=-PdV=-P×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iCs/>
                <w:sz w:val="24"/>
                <w:szCs w:val="26"/>
              </w:rPr>
            </m:ctrlPr>
          </m:fPr>
          <m:num>
            <m:r>
              <w:rPr>
                <w:rFonts w:ascii="Cambria Math" w:hAnsi="Cambria Math"/>
              </w:rPr>
              <m:t>nRT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=-nRT</m:t>
        </m:r>
      </m:oMath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La chaleur</w:t>
      </w:r>
    </w:p>
    <w:p>
      <w:pPr>
        <w:rPr>
          <w:rFonts w:eastAsiaTheme="minorEastAsia"/>
        </w:rPr>
      </w:pPr>
      <w:r>
        <w:rPr>
          <w:rFonts w:eastAsiaTheme="minorEastAsia"/>
        </w:rPr>
        <w:t>La chaleur est une énergie. C’est une notion différente de la température.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NB :</w:t>
      </w:r>
      <w:r>
        <w:rPr>
          <w:rFonts w:eastAsiaTheme="minorEastAsia"/>
        </w:rPr>
        <w:t xml:space="preserve"> un changement de T° implique nécessairement un échange de chaleur.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Point méthode :</w:t>
            </w:r>
            <w:r>
              <w:t xml:space="preserve"> Pour chaque réaction, il faut d’abord noter sa nature</w:t>
            </w:r>
            <w:r>
              <w:rPr>
                <w:b/>
              </w:rPr>
              <w:t xml:space="preserve"> </w:t>
            </w:r>
            <w:r>
              <w:t>(isotherme…)</w:t>
            </w:r>
          </w:p>
        </w:tc>
      </w:tr>
    </w:tbl>
    <w:p>
      <w:r>
        <w:t xml:space="preserve">La chaleur se calcule en utilisant une des formules suivantes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∆Q=n.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.dT+PdV</m:t>
                </m:r>
              </m:oMath>
            </m:oMathPara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∆Q=n.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.dT-VdP</m:t>
                </m:r>
              </m:oMath>
            </m:oMathPara>
          </w:p>
        </w:tc>
      </w:tr>
      <w:tr>
        <w:tc>
          <w:tcPr>
            <w:tcW w:w="7335" w:type="dxa"/>
            <w:gridSpan w:val="2"/>
          </w:tcPr>
          <w:p>
            <w:pPr>
              <w:pStyle w:val="Paragraphedeliste"/>
              <w:numPr>
                <w:ilvl w:val="0"/>
                <w:numId w:val="24"/>
              </w:numPr>
            </w:pPr>
            <m:oMath>
              <m:r>
                <w:rPr>
                  <w:rFonts w:ascii="Cambria Math" w:hAnsi="Cambria Math"/>
                </w:rPr>
                <m:t>∆Q</m:t>
              </m:r>
            </m:oMath>
            <w:r>
              <w:rPr>
                <w:rFonts w:eastAsiaTheme="minorEastAsia"/>
              </w:rPr>
              <w:t xml:space="preserve"> Différence de chaleur pour trouver la chaleur il est nécessaire d’intégrer. (J.mol</w:t>
            </w:r>
            <w:r>
              <w:rPr>
                <w:rFonts w:eastAsiaTheme="minorEastAsia"/>
                <w:vertAlign w:val="superscript"/>
              </w:rPr>
              <w:t>-1</w:t>
            </w:r>
            <w:r>
              <w:rPr>
                <w:rFonts w:eastAsiaTheme="minorEastAsia"/>
              </w:rPr>
              <w:t>)</w:t>
            </w:r>
          </w:p>
          <w:p>
            <w:pPr>
              <w:pStyle w:val="Paragraphedeliste"/>
              <w:numPr>
                <w:ilvl w:val="0"/>
                <w:numId w:val="24"/>
              </w:numPr>
              <w:rPr>
                <w:b/>
              </w:rPr>
            </w:pPr>
            <m:oMath>
              <m:r>
                <w:rPr>
                  <w:rFonts w:ascii="Cambria Math" w:hAnsi="Cambria Math"/>
                </w:rPr>
                <m:t>P</m:t>
              </m:r>
            </m:oMath>
            <w:r>
              <w:t xml:space="preserve"> Pression (Pa)</w:t>
            </w:r>
          </w:p>
          <w:p>
            <w:pPr>
              <w:pStyle w:val="Paragraphedeliste"/>
              <w:numPr>
                <w:ilvl w:val="0"/>
                <w:numId w:val="24"/>
              </w:numPr>
              <w:rPr>
                <w:b/>
              </w:rPr>
            </w:pPr>
            <m:oMath>
              <m:r>
                <w:rPr>
                  <w:rFonts w:ascii="Cambria Math" w:hAnsi="Cambria Math"/>
                </w:rPr>
                <m:t>V</m:t>
              </m:r>
            </m:oMath>
            <w:r>
              <w:t xml:space="preserve"> Volume (m</w:t>
            </w:r>
            <w:r>
              <w:rPr>
                <w:vertAlign w:val="superscript"/>
              </w:rPr>
              <w:t>3</w:t>
            </w:r>
            <w:r>
              <w:t>)</w:t>
            </w:r>
          </w:p>
          <w:p>
            <w:pPr>
              <w:pStyle w:val="Paragraphedeliste"/>
              <w:numPr>
                <w:ilvl w:val="0"/>
                <w:numId w:val="2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r>
              <w:t>Capacité thermique isobare</w:t>
            </w:r>
            <w:r>
              <w:rPr>
                <w:b/>
              </w:rPr>
              <w:t xml:space="preserve"> </w:t>
            </w:r>
            <w:r>
              <w:t>(J.K</w:t>
            </w:r>
            <w:r>
              <w:rPr>
                <w:vertAlign w:val="superscript"/>
              </w:rPr>
              <w:t>-1</w:t>
            </w:r>
            <w:r>
              <w:t xml:space="preserve">) </w:t>
            </w:r>
          </w:p>
          <w:p>
            <w:pPr>
              <w:pStyle w:val="Paragraphedeliste"/>
              <w:numPr>
                <w:ilvl w:val="0"/>
                <w:numId w:val="2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r>
              <w:t>Capacité thermique isochore (J.K</w:t>
            </w:r>
            <w:r>
              <w:rPr>
                <w:vertAlign w:val="superscript"/>
              </w:rPr>
              <w:t>-1</w:t>
            </w:r>
            <w:r>
              <w:t>)</w:t>
            </w:r>
          </w:p>
          <w:p>
            <w:pPr>
              <w:pStyle w:val="Paragraphedeliste"/>
              <w:numPr>
                <w:ilvl w:val="0"/>
                <w:numId w:val="24"/>
              </w:numPr>
              <w:rPr>
                <w:bCs/>
              </w:rPr>
            </w:pPr>
            <m:oMath>
              <m:r>
                <w:rPr>
                  <w:rFonts w:ascii="Cambria Math" w:hAnsi="Cambria Math"/>
                </w:rPr>
                <m:t>dT</m:t>
              </m:r>
            </m:oMath>
            <w:r>
              <w:rPr>
                <w:rFonts w:eastAsiaTheme="minorEastAsia"/>
                <w:bCs/>
              </w:rPr>
              <w:t xml:space="preserve"> différence de température.</w:t>
            </w:r>
          </w:p>
        </w:tc>
      </w:tr>
    </w:tbl>
    <w:p>
      <w:r>
        <w:rPr>
          <w:rFonts w:eastAsiaTheme="minorEastAsia"/>
          <w:u w:val="single"/>
        </w:rPr>
        <w:lastRenderedPageBreak/>
        <w:t>Rmq :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PdV</m:t>
        </m:r>
      </m:oMath>
      <w:r>
        <w:t xml:space="preserve"> et </w:t>
      </w:r>
      <m:oMath>
        <m:r>
          <m:rPr>
            <m:sty m:val="bi"/>
          </m:rPr>
          <w:rPr>
            <w:rFonts w:ascii="Cambria Math" w:hAnsi="Cambria Math"/>
          </w:rPr>
          <m:t>VdP</m:t>
        </m:r>
      </m:oMath>
      <w:r>
        <w:t xml:space="preserve"> sont nulles pour les formes de la matière autre que gazeux.</w:t>
      </w:r>
    </w:p>
    <w:p>
      <w:r>
        <w:rPr>
          <w:u w:val="single"/>
        </w:rPr>
        <w:t>Rmq :</w:t>
      </w:r>
      <w:r>
        <w:t xml:space="preserve"> </w:t>
      </w:r>
      <w:r>
        <w:rPr>
          <w:rFonts w:eastAsiaTheme="minorEastAsia"/>
        </w:rPr>
        <w:t xml:space="preserve">On a également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>
      <w:pPr>
        <w:pStyle w:val="Titre3"/>
      </w:pPr>
      <w:r>
        <w:t>Enthalpie</w:t>
      </w:r>
    </w:p>
    <w:p>
      <w:r>
        <w:t>La plupart des réactions se font à pression constante (transformation isobare).</w:t>
      </w:r>
    </w:p>
    <w:p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=∆H</m:t>
          </m:r>
        </m:oMath>
      </m:oMathPara>
    </w:p>
    <w:p>
      <w:pPr>
        <w:rPr>
          <w:rFonts w:eastAsiaTheme="minorEastAsia"/>
        </w:rPr>
      </w:pPr>
      <w:r>
        <w:rPr>
          <w:rStyle w:val="Accentuation"/>
        </w:rPr>
        <w:t>Enthalpie</w:t>
      </w:r>
      <w:r>
        <w:t xml:space="preserve"> chaleur échangée à pression constante (</w:t>
      </w:r>
      <m:oMath>
        <m:r>
          <w:rPr>
            <w:rFonts w:ascii="Cambria Math" w:hAnsi="Cambria Math"/>
          </w:rPr>
          <m:t>P=1 atm</m:t>
        </m:r>
      </m:oMath>
      <w:r>
        <w:t xml:space="preserve">). Elle est notée </w:t>
      </w:r>
      <m:oMath>
        <m:r>
          <w:rPr>
            <w:rFonts w:ascii="Cambria Math" w:hAnsi="Cambria Math"/>
          </w:rPr>
          <m:t>∆H</m:t>
        </m:r>
      </m:oMath>
      <w:r>
        <w:rPr>
          <w:rFonts w:eastAsiaTheme="minorEastAsia"/>
        </w:rPr>
        <w:t>.</w:t>
      </w:r>
    </w:p>
    <w:p>
      <w:r>
        <w:t>Une réaction est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Exotherme (</w:t>
            </w:r>
            <m:oMath>
              <m:r>
                <w:rPr>
                  <w:rFonts w:ascii="Cambria Math" w:hAnsi="Cambria Math"/>
                </w:rPr>
                <m:t>∆H&lt;</m:t>
              </m:r>
              <m:r>
                <w:rPr>
                  <w:rFonts w:ascii="Cambria Math" w:eastAsiaTheme="minorEastAsia" w:hAnsi="Cambria Math"/>
                </w:rPr>
                <m:t>0</m:t>
              </m:r>
            </m:oMath>
            <w:r>
              <w:rPr>
                <w:rFonts w:eastAsiaTheme="minorEastAsia"/>
              </w:rPr>
              <w:t>) elle libère de la chaleur</w:t>
            </w:r>
          </w:p>
        </w:tc>
        <w:tc>
          <w:tcPr>
            <w:tcW w:w="3668" w:type="dxa"/>
          </w:tcPr>
          <w:p>
            <w:r>
              <w:t>Endotherme (</w:t>
            </w:r>
            <m:oMath>
              <m:r>
                <w:rPr>
                  <w:rFonts w:ascii="Cambria Math" w:hAnsi="Cambria Math"/>
                </w:rPr>
                <m:t>∆H&gt;0</m:t>
              </m:r>
            </m:oMath>
            <w:r>
              <w:rPr>
                <w:rFonts w:eastAsiaTheme="minorEastAsia"/>
              </w:rPr>
              <w:t>) elle absorbe de la chaleur</w:t>
            </w:r>
          </w:p>
        </w:tc>
      </w:tr>
    </w:tbl>
    <w:p>
      <w:pPr>
        <w:pStyle w:val="Titre1"/>
        <w:rPr>
          <w:rFonts w:eastAsiaTheme="minorEastAsia"/>
        </w:rPr>
      </w:pPr>
      <w:r>
        <w:rPr>
          <w:rFonts w:eastAsiaTheme="minorEastAsia"/>
        </w:rPr>
        <w:t>Calculer l’énergie de formation d’une réaction</w:t>
      </w:r>
    </w:p>
    <w:p>
      <w:r>
        <w:t>Quatre méthodes pour déterminer l’enthalpie de réaction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547"/>
        <w:gridCol w:w="478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>
            <w:r>
              <w:t>Méthodes</w:t>
            </w:r>
          </w:p>
        </w:tc>
        <w:tc>
          <w:tcPr>
            <w:tcW w:w="4788" w:type="dxa"/>
          </w:tcPr>
          <w:p>
            <w:r>
              <w:t>Principe</w:t>
            </w:r>
          </w:p>
        </w:tc>
      </w:tr>
      <w:tr>
        <w:trPr>
          <w:trHeight w:val="206"/>
        </w:trPr>
        <w:tc>
          <w:tcPr>
            <w:tcW w:w="2547" w:type="dxa"/>
          </w:tcPr>
          <w:p>
            <w:r>
              <w:t>Enthalpie de formation</w:t>
            </w:r>
          </w:p>
        </w:tc>
        <w:tc>
          <w:tcPr>
            <w:tcW w:w="4788" w:type="dxa"/>
          </w:tcPr>
          <w:p>
            <w:r>
              <w:t>Énergie de formation des molécules</w:t>
            </w:r>
          </w:p>
        </w:tc>
      </w:tr>
      <w:tr>
        <w:tc>
          <w:tcPr>
            <w:tcW w:w="2547" w:type="dxa"/>
          </w:tcPr>
          <w:p>
            <w:r>
              <w:t xml:space="preserve">Énergie des liaisons </w:t>
            </w:r>
          </w:p>
        </w:tc>
        <w:tc>
          <w:tcPr>
            <w:tcW w:w="4788" w:type="dxa"/>
          </w:tcPr>
          <w:p>
            <w:r>
              <w:t>Somme des liaisons créées et dissociées</w:t>
            </w:r>
          </w:p>
        </w:tc>
      </w:tr>
      <w:tr>
        <w:tc>
          <w:tcPr>
            <w:tcW w:w="2547" w:type="dxa"/>
          </w:tcPr>
          <w:p>
            <w:r>
              <w:t>Combinaison de réactions</w:t>
            </w:r>
          </w:p>
        </w:tc>
        <w:tc>
          <w:tcPr>
            <w:tcW w:w="4788" w:type="dxa"/>
          </w:tcPr>
          <w:p>
            <w:r>
              <w:t>Combinaison linéaire de réactions intermédiaires.</w:t>
            </w:r>
          </w:p>
        </w:tc>
      </w:tr>
      <w:tr>
        <w:tc>
          <w:tcPr>
            <w:tcW w:w="2547" w:type="dxa"/>
          </w:tcPr>
          <w:p>
            <w:r>
              <w:t>Energie interne</w:t>
            </w:r>
          </w:p>
        </w:tc>
        <w:tc>
          <w:tcPr>
            <w:tcW w:w="4788" w:type="dxa"/>
          </w:tcPr>
          <w:p>
            <w:r>
              <w:t>Uniquement pour les gaz</w:t>
            </w:r>
          </w:p>
        </w:tc>
      </w:tr>
    </w:tbl>
    <w:p>
      <w:pPr>
        <w:pStyle w:val="Sansinterligne"/>
      </w:pP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>Point méthode : lorsque l’on parle de réaction de formation sans préciser la formule de réaction, il s’agit de faire réagir des corps simples pour obtenir la molécule désirée.</w:t>
            </w:r>
          </w:p>
        </w:tc>
      </w:tr>
    </w:tbl>
    <w:p>
      <w:pPr>
        <w:pStyle w:val="Titre2"/>
      </w:pPr>
      <w:r>
        <w:t>Enthalpie de formation</w:t>
      </w:r>
    </w:p>
    <w:p>
      <w:pPr>
        <w:rPr>
          <w:rFonts w:eastAsiaTheme="minorEastAsia"/>
        </w:rPr>
      </w:pPr>
      <w:r>
        <w:t xml:space="preserve">Loi de Hess : </w:t>
      </w:r>
      <w:r>
        <w:rPr>
          <w:rFonts w:eastAsiaTheme="minorEastAsia"/>
        </w:rPr>
        <w:t xml:space="preserve">L’enthalpie de réactions est égale à l’énergie nécessaire pour former les produits moins celles des réactifs 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733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5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 w:val="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 w:val="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b w:val="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produits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)-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 w:val="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b w:val="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é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actifs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5" w:type="dxa"/>
          </w:tcPr>
          <w:p>
            <w:pPr>
              <w:rPr>
                <w:rFonts w:eastAsiaTheme="minorEastAsia"/>
                <w:i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ν</m:t>
              </m:r>
            </m:oMath>
            <w:r>
              <w:rPr>
                <w:rFonts w:eastAsiaTheme="minorEastAsia"/>
                <w:b w:val="0"/>
                <w:iCs/>
              </w:rPr>
              <w:t xml:space="preserve"> </w:t>
            </w:r>
            <w:r>
              <w:rPr>
                <w:b w:val="0"/>
                <w:iCs/>
              </w:rPr>
              <w:t>coefficients stœchiométriques (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oMath>
            <w:r>
              <w:rPr>
                <w:rFonts w:eastAsiaTheme="minorEastAsia"/>
                <w:b w:val="0"/>
                <w:iCs/>
              </w:rPr>
              <w:t>)</w:t>
            </w:r>
          </w:p>
          <w:p>
            <w:pPr>
              <w:rPr>
                <w:rFonts w:eastAsiaTheme="minorEastAsia"/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 w:val="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</m:oMath>
            <w:r>
              <w:rPr>
                <w:rFonts w:eastAsiaTheme="minorEastAsia"/>
                <w:b w:val="0"/>
              </w:rPr>
              <w:t>enthalpie de réaction</w:t>
            </w:r>
          </w:p>
          <w:p>
            <w:pPr>
              <w:rPr>
                <w:rFonts w:eastAsiaTheme="minorEastAsia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b w:val="0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</m:oMath>
            <w:r>
              <w:rPr>
                <w:rFonts w:eastAsiaTheme="minorEastAsia"/>
                <w:b w:val="0"/>
              </w:rPr>
              <w:t xml:space="preserve"> enthalpie de formation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  <w:u w:val="single"/>
        </w:rPr>
        <w:t>Remarque :</w:t>
      </w:r>
      <w:r>
        <w:rPr>
          <w:rFonts w:eastAsiaTheme="minorEastAsia"/>
        </w:rPr>
        <w:t xml:space="preserve"> L’enthalpie de formation des corps simples c’est-à-dire de molécules constituées d’un seul type d’atomes est nul (0 KJ.mol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 xml:space="preserve">). </w:t>
      </w:r>
    </w:p>
    <w:p>
      <w:pPr>
        <w:rPr>
          <w:rFonts w:eastAsiaTheme="minorEastAsia"/>
        </w:rPr>
      </w:pPr>
      <w:r>
        <w:rPr>
          <w:rFonts w:eastAsiaTheme="minorEastAsia"/>
        </w:rPr>
        <w:t>Lorsqu’il y a un changement de température, il faut ajouter l’énergie nécessaire pour faire la transformation :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∆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b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+[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produits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é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actifs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](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>
        <w:t xml:space="preserve"> Capacité calorifique en mol</w:t>
      </w:r>
      <w:r>
        <w:rPr>
          <w:vertAlign w:val="superscript"/>
        </w:rPr>
        <w:t>-1</w:t>
      </w:r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Énergie de liaisons</w:t>
      </w:r>
    </w:p>
    <w:p>
      <w:r>
        <w:t>L’idée c’est de déterminer l’énergie de formation à partir de celle nécessaire pour créer ou détruire des liaisons moléculaires. Cette méthode nécessite de connaitre la structure des molécules c’est-à-dire les liaisons électroniques entre les atomes.</w:t>
      </w:r>
    </w:p>
    <w:p>
      <w:r>
        <w:t>NB : l’</w:t>
      </w:r>
      <w:r>
        <w:rPr>
          <w:rFonts w:eastAsiaTheme="minorEastAsia"/>
        </w:rPr>
        <w:t xml:space="preserve">énergie de dissociations est positive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eastAsiaTheme="minorEastAsia"/>
        </w:rPr>
        <w:t xml:space="preserve"> car on libère de l’énergie lorsque l’on brise une liaison. Elle est égale à l’opposé de </w:t>
      </w:r>
      <w:r>
        <w:t xml:space="preserve">l’énergie de formation de liaisons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eastAsiaTheme="minorEastAsia"/>
        </w:rPr>
        <w:t>.</w:t>
      </w:r>
    </w:p>
    <w:p>
      <w:r>
        <w:rPr>
          <w:rStyle w:val="Accentuation"/>
        </w:rPr>
        <w:t>Attention</w:t>
      </w:r>
      <w:r>
        <w:rPr>
          <w:rFonts w:eastAsiaTheme="minorEastAsia"/>
        </w:rPr>
        <w:t xml:space="preserve"> on a généralement l’enthalpie de dissociation des réactions pour les éléments gazeux. Il faut donc réaliser une étape supplémentaire de changement d’état pour les autres états de la matière (solide…).</w:t>
      </w:r>
      <w:r>
        <w:t xml:space="preserve"> Dans ce cas, il faut ajouter l’énergie de la transformation chimique. Il faudra donc additionner :</w:t>
      </w:r>
    </w:p>
    <w:p>
      <w:pPr>
        <w:pStyle w:val="Paragraphedeliste"/>
        <w:numPr>
          <w:ilvl w:val="0"/>
          <w:numId w:val="25"/>
        </w:numPr>
      </w:pPr>
      <w:r>
        <w:t>L’énergie à fournir pour atteindre à la température de changement d’état.</w:t>
      </w:r>
    </w:p>
    <w:p>
      <w:pPr>
        <w:pStyle w:val="Paragraphedeliste"/>
        <w:numPr>
          <w:ilvl w:val="0"/>
          <w:numId w:val="25"/>
        </w:numPr>
      </w:pPr>
      <w:r>
        <w:t>L’énergie de changement d’état.</w:t>
      </w:r>
    </w:p>
    <w:p>
      <w:pPr>
        <w:pStyle w:val="Paragraphedeliste"/>
        <w:numPr>
          <w:ilvl w:val="0"/>
          <w:numId w:val="25"/>
        </w:numPr>
      </w:pPr>
      <w:r>
        <w:t>L’énergie pour revenir à la température initiale.</w:t>
      </w:r>
    </w:p>
    <w:p>
      <w:pPr>
        <w:pStyle w:val="Titre2"/>
      </w:pPr>
      <w:r>
        <w:lastRenderedPageBreak/>
        <w:t>Combinaison de réactions</w:t>
      </w:r>
    </w:p>
    <w:p>
      <w:r>
        <w:t xml:space="preserve">On peut calculer l’enthalpie en réalisant des combinaisons linéaires de réactions chimiques intermédiaires. L’idée est de sommer des réactions pour obtenir celle désirée. </w:t>
      </w:r>
    </w:p>
    <w:p>
      <w:r>
        <w:t>Lorsqu’un élément est présent à la fois comme réactif et comme produit, il peut être supprimé.</w:t>
      </w:r>
    </w:p>
    <w:p>
      <w:r>
        <w:rPr>
          <w:u w:val="single"/>
        </w:rPr>
        <w:t>Rmq :</w:t>
      </w:r>
      <w:r>
        <w:t xml:space="preserve"> lorsque l’on inverse une réaction, l’enthalpie change de signe.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>Point méthode faire un tableau une colonne « réactif » et une autre « produit ».</w:t>
            </w:r>
          </w:p>
        </w:tc>
      </w:tr>
    </w:tbl>
    <w:p>
      <w:pPr>
        <w:pStyle w:val="Titre2"/>
      </w:pPr>
      <w:r>
        <w:t>Energie interne</w:t>
      </w:r>
    </w:p>
    <w:p>
      <w:r>
        <w:t>Pour les gaz, à pression constante, on a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830"/>
        <w:gridCol w:w="4505"/>
      </w:tblGrid>
      <w:tr>
        <w:tc>
          <w:tcPr>
            <w:tcW w:w="2830" w:type="dxa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=∆U+∆n.R.T</m:t>
                </m:r>
              </m:oMath>
            </m:oMathPara>
          </w:p>
        </w:tc>
        <w:tc>
          <w:tcPr>
            <w:tcW w:w="4505" w:type="dxa"/>
          </w:tcPr>
          <w:p>
            <m:oMath>
              <m:r>
                <m:rPr>
                  <m:sty m:val="bi"/>
                </m:rPr>
                <w:rPr>
                  <w:rFonts w:ascii="Cambria Math" w:hAnsi="Cambria Math"/>
                </w:rPr>
                <m:t>∆n</m:t>
              </m:r>
            </m:oMath>
            <w:r>
              <w:rPr>
                <w:rFonts w:eastAsiaTheme="minorEastAsia"/>
              </w:rPr>
              <w:t xml:space="preserve"> différence de quantité de matière.</w:t>
            </w:r>
          </w:p>
        </w:tc>
      </w:tr>
    </w:tbl>
    <w:p>
      <w:pPr>
        <w:pStyle w:val="Titre1"/>
      </w:pPr>
      <w:r>
        <w:t>2</w:t>
      </w:r>
      <w:r>
        <w:rPr>
          <w:vertAlign w:val="superscript"/>
        </w:rPr>
        <w:t>ème</w:t>
      </w:r>
      <w:r>
        <w:t xml:space="preserve"> principe de la thermodynamique : l’entropie</w:t>
      </w:r>
    </w:p>
    <w:p>
      <w:r>
        <w:t>Sans apport d’énergie extérieur, la matière se tend vers un état de désordre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La matière se désorganise</w:t>
            </w:r>
          </w:p>
        </w:tc>
        <w:tc>
          <w:tcPr>
            <w:tcW w:w="3668" w:type="dxa"/>
          </w:tcPr>
          <w:p>
            <w:r>
              <w:t>L’énergie se disperse</w:t>
            </w:r>
          </w:p>
        </w:tc>
      </w:tr>
    </w:tbl>
    <w:p>
      <w:r>
        <w:t>On appelle ce désordre, l’entropie et on le note S.</w:t>
      </w:r>
    </w:p>
    <w:p>
      <w:r>
        <w:t xml:space="preserve">L’entropie est une approche probabiliste du monde. Elle se définit comme l’état ayant la forte probabilité d’exister. Si un gaz contenu dans une bouteille est libérée, la probabilité qu’il rentre à nouveau dans la bouteille est nulle par rapport à l’ensemble des positions que peuvent acquérir les molécules dans l’espace. </w:t>
      </w:r>
    </w:p>
    <w:p>
      <w:r>
        <w:rPr>
          <w:u w:val="single"/>
        </w:rPr>
        <w:t>Rmq :</w:t>
      </w:r>
      <w:r>
        <w:t xml:space="preserve"> sur Terre, les rayons du soleil constituent un apport en énergie.</w:t>
      </w:r>
    </w:p>
    <w:p>
      <w:r>
        <w:t xml:space="preserve">Ainsi une réaction est spontanée seulement si l’entropie augmente c’est-à-dire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∆S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tot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&gt;0</m:t>
        </m:r>
      </m:oMath>
      <w:r>
        <w:t xml:space="preserve">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tot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sys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ext</m:t>
                    </m:r>
                  </m:sub>
                </m:sSub>
              </m:oMath>
            </m:oMathPara>
          </w:p>
        </w:tc>
        <w:tc>
          <w:tcPr>
            <w:tcW w:w="3668" w:type="dxa"/>
          </w:tcPr>
          <w:p>
            <w:r>
              <w:t>S entropie en J.K</w:t>
            </w:r>
            <w:r>
              <w:rPr>
                <w:vertAlign w:val="superscript"/>
              </w:rPr>
              <w:t>-1</w:t>
            </w:r>
          </w:p>
        </w:tc>
      </w:tr>
    </w:tbl>
    <w:p>
      <w:r>
        <w:t>Attention : l’entropie peut diminuer dans le système étudié mais augmenter à l’extérieur.</w:t>
      </w:r>
    </w:p>
    <w:p>
      <w:r>
        <w:t xml:space="preserve">Une réaction réversible </w:t>
      </w:r>
      <w:r>
        <w:rPr>
          <w:rFonts w:eastAsiaTheme="minorEastAsia"/>
        </w:rPr>
        <w:t xml:space="preserve">lorsque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∆S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tot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=0</m:t>
        </m:r>
      </m:oMath>
      <w:r>
        <w:t>.</w:t>
      </w:r>
    </w:p>
    <w:p>
      <w:r>
        <w:t xml:space="preserve">Si l’on considère le milieu externe est comme stable et qui n’échange pas de matière à le système étudié alors 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ext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den>
        </m:f>
      </m:oMath>
      <w:r>
        <w:t xml:space="preserve">  pour connaitre la variation d’entropie entre un état initial et un final il faut 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ext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</w:p>
    <w:p>
      <w:pPr>
        <w:rPr>
          <w:rFonts w:ascii="Open Sans" w:eastAsiaTheme="majorEastAsia" w:hAnsi="Open Sans" w:cstheme="majorBidi"/>
          <w:b/>
        </w:rPr>
      </w:pPr>
      <w:r>
        <w:rPr>
          <w:rFonts w:ascii="Open Sans" w:eastAsiaTheme="majorEastAsia" w:hAnsi="Open Sans" w:cstheme="majorBidi"/>
          <w:b/>
        </w:rPr>
        <w:t>Déterminer l’entropie du système étudié</w:t>
      </w:r>
    </w:p>
    <w:p>
      <w:r>
        <w:t>On peut déterminer l’entropie à partir des entropies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397"/>
        <w:gridCol w:w="3938"/>
      </w:tblGrid>
      <w:tr>
        <w:tc>
          <w:tcPr>
            <w:tcW w:w="3397" w:type="dxa"/>
          </w:tcPr>
          <w:p>
            <w:r>
              <w:t>Standards mesurées</w:t>
            </w:r>
          </w:p>
        </w:tc>
        <w:tc>
          <w:tcPr>
            <w:tcW w:w="3938" w:type="dxa"/>
          </w:tcPr>
          <w:p>
            <w:r>
              <w:t>De réactions intermédiaires</w:t>
            </w:r>
          </w:p>
        </w:tc>
      </w:tr>
    </w:tbl>
    <w:p>
      <w:pPr>
        <w:pStyle w:val="Titre3"/>
      </w:pPr>
      <w:r>
        <w:t>Entropie standard</w:t>
      </w:r>
    </w:p>
    <w:p>
      <w:r>
        <w:t>Pour une réaction à température et pression constante :</w:t>
      </w:r>
    </w:p>
    <w:p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∆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p>
          </m:sSubSup>
          <m:r>
            <m:rPr>
              <m:sty m:val="b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produits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é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actifs</m:t>
              </m:r>
            </m:e>
          </m:d>
        </m:oMath>
      </m:oMathPara>
    </w:p>
    <w:p>
      <w:r>
        <w:t>Lorsqu’il y a un changement de température, il faut ajouter une étape :</w:t>
      </w:r>
    </w:p>
    <w:p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T2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produits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nary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é</m:t>
                  </m:r>
                  <m:r>
                    <w:rPr>
                      <w:rFonts w:ascii="Cambria Math" w:hAnsi="Cambria Math"/>
                    </w:rPr>
                    <m:t>actifs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.ln(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>
      <w:pPr>
        <w:pStyle w:val="Titre3"/>
      </w:pPr>
      <w:r>
        <w:t>Réactions intermédiaires</w:t>
      </w:r>
    </w:p>
    <w:p>
      <w:r>
        <w:t>Par la combinaison linéaire de réactions. Cela revient à passer par des réactions intermédiaires.</w:t>
      </w:r>
    </w:p>
    <w:p>
      <w:pPr>
        <w:pStyle w:val="Titre2"/>
      </w:pPr>
      <w:r>
        <w:t>Enthalpie libre</w:t>
      </w:r>
    </w:p>
    <w:p>
      <w:pPr>
        <w:rPr>
          <w:rFonts w:eastAsiaTheme="minorEastAsia"/>
        </w:rPr>
      </w:pPr>
      <w:r>
        <w:t>À pression et à température constante, lorsqu’une réaction se déroule dans un milieu stable, l</w:t>
      </w:r>
      <w:r>
        <w:rPr>
          <w:rFonts w:eastAsiaTheme="minorEastAsia"/>
        </w:rPr>
        <w:t xml:space="preserve">a différence d’entropie du milieu extérieur égale à l’énergie reçu du système étudié c’est-à-dire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ext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den>
        </m:f>
      </m:oMath>
    </w:p>
    <w:p>
      <w:r>
        <w:t>Pour qu’une réaction soit spontanée, on aura :</w:t>
      </w:r>
    </w:p>
    <w:p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tot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sys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sys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&gt;0</m:t>
          </m:r>
        </m:oMath>
      </m:oMathPara>
    </w:p>
    <w:p>
      <w:r>
        <w:t>Ce qui revient à calculer l’enthalpie libre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∆G=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sys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sys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&lt;0</m:t>
                </m:r>
              </m:oMath>
            </m:oMathPara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∆G</m:t>
              </m:r>
            </m:oMath>
            <w:r>
              <w:rPr>
                <w:rFonts w:eastAsiaTheme="minorEastAsia"/>
                <w:b w:val="0"/>
              </w:rPr>
              <w:t xml:space="preserve"> enthalpie libre en J.mol</w:t>
            </w:r>
            <w:r>
              <w:rPr>
                <w:rFonts w:eastAsiaTheme="minorEastAsia"/>
                <w:b w:val="0"/>
                <w:vertAlign w:val="superscript"/>
              </w:rPr>
              <w:t>-1</w:t>
            </w:r>
          </w:p>
        </w:tc>
      </w:tr>
    </w:tbl>
    <w:p>
      <w:pPr>
        <w:rPr>
          <w:b/>
          <w:bCs/>
        </w:rPr>
      </w:pPr>
      <w:r>
        <w:rPr>
          <w:rFonts w:eastAsiaTheme="minorEastAsia"/>
        </w:rPr>
        <w:t xml:space="preserve">On a donc </w:t>
      </w:r>
      <m:oMath>
        <m:r>
          <w:rPr>
            <w:rFonts w:ascii="Cambria Math" w:hAnsi="Cambria Math"/>
          </w:rPr>
          <m:t>∆</m:t>
        </m:r>
        <m:r>
          <m:rPr>
            <m:sty m:val="bi"/>
          </m:rP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&lt;</m:t>
        </m:r>
        <m:r>
          <m:rPr>
            <m:sty m:val="bi"/>
          </m:rPr>
          <w:rPr>
            <w:rFonts w:ascii="Cambria Math" w:hAnsi="Cambria Math"/>
          </w:rPr>
          <m:t>0</m:t>
        </m:r>
      </m:oMath>
      <w:r>
        <w:t xml:space="preserve"> alors la réaction est spontanée autrement dit l’énergie va se dissiper.</w:t>
      </w:r>
    </w:p>
    <w:p>
      <w:pPr>
        <w:pStyle w:val="Titre1"/>
      </w:pPr>
      <w:r>
        <w:t>Équilibre chimique</w:t>
      </w:r>
    </w:p>
    <w:p>
      <w:r>
        <w:t>L’état d’équilibre (ou final) d’une réaction correspond à une enthalpie minimale. L’évolution de l’entalpie d’une réaction permet de connaitre son avancement.</w:t>
      </w:r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Potentiel chimique</w:t>
      </w:r>
    </w:p>
    <w:p>
      <w:r>
        <w:t>Le potentiel chimique d’un constituant permet d’étudier la stabilité d’une espèce chimique :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dG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>
      <w:r>
        <w:t xml:space="preserve">La mesure du potentiel chimique de chaque composant a été déterminée à T=298K et P=1Bar. Elle est notée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t>.</w:t>
      </w:r>
    </w:p>
    <w:p>
      <w:r>
        <w:t>La différence d’enthalpie libre correspond à la différence de potentiel chimique entre les produits et les réactifs :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G=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produits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réactifs</m:t>
              </m:r>
            </m:e>
          </m:d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 xml:space="preserve">Il vari en cas de changement de la pression du milieu 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+RT.ln⁡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>
      <w:pPr>
        <w:rPr>
          <w:rFonts w:eastAsiaTheme="minorEastAsia"/>
          <w:bCs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bCs/>
        </w:rPr>
        <w:t xml:space="preserve"> correspond à l’activité de l’espèce chimique. Il vaut</w:t>
      </w:r>
      <w:r>
        <w:t> si c’est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  <w:bCs/>
        </w:rPr>
        <w:t>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696"/>
        <w:gridCol w:w="3194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>
            <w:pPr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Solide</w:t>
            </w:r>
          </w:p>
        </w:tc>
        <w:tc>
          <w:tcPr>
            <w:tcW w:w="319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Liquide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Gaz</w:t>
            </w:r>
          </w:p>
        </w:tc>
      </w:tr>
      <w:tr>
        <w:trPr>
          <w:trHeight w:val="10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>
            <w:pPr>
              <w:rPr>
                <w:rFonts w:eastAsiaTheme="minorEastAsia"/>
                <w:b w:val="0"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3194" w:type="dxa"/>
          </w:tcPr>
          <w:tbl>
            <w:tblPr>
              <w:tblStyle w:val="Grilledetableauclaire"/>
              <w:tblW w:w="0" w:type="auto"/>
              <w:tblLook w:val="0420" w:firstRow="1" w:lastRow="0" w:firstColumn="0" w:lastColumn="0" w:noHBand="0" w:noVBand="1"/>
            </w:tblPr>
            <w:tblGrid>
              <w:gridCol w:w="1498"/>
              <w:gridCol w:w="147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498" w:type="dxa"/>
                </w:tcPr>
                <w:p>
                  <w:pPr>
                    <w:rPr>
                      <w:rFonts w:eastAsiaTheme="minorEastAsia"/>
                      <w:bCs/>
                    </w:rPr>
                  </w:pPr>
                  <w:r>
                    <w:rPr>
                      <w:rFonts w:eastAsiaTheme="minorEastAsia"/>
                      <w:bCs/>
                    </w:rPr>
                    <w:t>Solvant</w:t>
                  </w:r>
                </w:p>
              </w:tc>
              <w:tc>
                <w:tcPr>
                  <w:tcW w:w="1470" w:type="dxa"/>
                </w:tcPr>
                <w:p>
                  <w:pPr>
                    <w:rPr>
                      <w:rFonts w:eastAsiaTheme="minorEastAsia"/>
                      <w:bCs/>
                    </w:rPr>
                  </w:pPr>
                  <w:r>
                    <w:rPr>
                      <w:rFonts w:eastAsiaTheme="minorEastAsia"/>
                      <w:bCs/>
                    </w:rPr>
                    <w:t xml:space="preserve">Soluté </w:t>
                  </w:r>
                </w:p>
              </w:tc>
            </w:tr>
            <w:tr>
              <w:trPr>
                <w:trHeight w:val="608"/>
              </w:trPr>
              <w:tc>
                <w:tcPr>
                  <w:tcW w:w="1498" w:type="dxa"/>
                </w:tcPr>
                <w:p>
                  <w:pPr>
                    <w:rPr>
                      <w:rFonts w:eastAsiaTheme="minorEastAsia"/>
                      <w:bCs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=1</m:t>
                      </m:r>
                    </m:oMath>
                  </m:oMathPara>
                </w:p>
              </w:tc>
              <w:tc>
                <w:tcPr>
                  <w:tcW w:w="1470" w:type="dxa"/>
                </w:tcPr>
                <w:p>
                  <w:pPr>
                    <w:rPr>
                      <w:rFonts w:eastAsiaTheme="minorEastAsia"/>
                      <w:bCs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[i]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oMath>
                  </m:oMathPara>
                </w:p>
              </w:tc>
            </w:tr>
          </w:tbl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[i]</m:t>
              </m:r>
            </m:oMath>
            <w:r>
              <w:rPr>
                <w:rFonts w:eastAsiaTheme="minorEastAsia"/>
              </w:rPr>
              <w:t xml:space="preserve"> la concentration de l’espèce active.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  <w:bCs/>
              </w:rPr>
              <w:t xml:space="preserve"> = 1 mol/L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>
              <w:rPr>
                <w:rFonts w:eastAsiaTheme="minorEastAsia"/>
                <w:bCs/>
              </w:rPr>
              <w:t xml:space="preserve"> la pression partielle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  <w:bCs/>
              </w:rPr>
              <w:t xml:space="preserve"> = 1 Bar</w:t>
            </w:r>
          </w:p>
        </w:tc>
      </w:tr>
    </w:tbl>
    <w:p>
      <w:r>
        <w:rPr>
          <w:u w:val="single"/>
        </w:rPr>
        <w:t>Rmq :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bCs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bCs/>
        </w:rPr>
        <w:t xml:space="preserve"> permettent d’obtenir une valeur sans unité.</w:t>
      </w:r>
    </w:p>
    <w:p>
      <w:pPr>
        <w:pStyle w:val="Titre3"/>
      </w:pPr>
      <w:r>
        <w:t>La pression partielle</w:t>
      </w:r>
    </w:p>
    <w:p>
      <w:r>
        <w:t>La pression partielle d’un gaz se calcule de la manière suivante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696"/>
        <w:gridCol w:w="5639"/>
      </w:tblGrid>
      <w:tr>
        <w:trPr>
          <w:trHeight w:val="530"/>
        </w:trPr>
        <w:tc>
          <w:tcPr>
            <w:tcW w:w="1696" w:type="dxa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.p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</m:t>
                    </m:r>
                  </m:sub>
                </m:sSub>
              </m:oMath>
            </m:oMathPara>
          </w:p>
        </w:tc>
        <w:tc>
          <w:tcPr>
            <w:tcW w:w="5639" w:type="dxa"/>
          </w:tcPr>
          <w:p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eastAsiaTheme="minorEastAsia"/>
              </w:rPr>
              <w:t xml:space="preserve"> fraction molaire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tot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a</m:t>
              </m:r>
            </m:oMath>
            <w:r>
              <w:t xml:space="preserve">vec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le nombre de mol</w:t>
            </w:r>
          </w:p>
          <w:p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oMath>
            <w:r>
              <w:t xml:space="preserve"> est la pression totale du mélange (réactifs + inerte).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pour calculer les pressions partielles en utilisant la relation des gaz parfaits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ini</m:t>
                </m:r>
              </m:sub>
            </m:sSub>
            <m:r>
              <w:rPr>
                <w:rFonts w:ascii="Cambria Math" w:eastAsiaTheme="minorEastAsia" w:hAnsi="Cambria Math"/>
              </w:rPr>
              <m:t>V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eq</m:t>
                </m:r>
              </m:sub>
            </m:sSub>
            <m:r>
              <w:rPr>
                <w:rFonts w:ascii="Cambria Math" w:eastAsiaTheme="minorEastAsia" w:hAnsi="Cambria Math"/>
              </w:rPr>
              <m:t>V</m:t>
            </m:r>
          </m:den>
        </m:f>
      </m:oMath>
      <w:r>
        <w:rPr>
          <w:rFonts w:eastAsiaTheme="minorEastAsia"/>
        </w:rPr>
        <w:t>) à t</w:t>
      </w:r>
      <w:r>
        <w:rPr>
          <w:rFonts w:eastAsiaTheme="minorEastAsia"/>
          <w:vertAlign w:val="subscript"/>
        </w:rPr>
        <w:t>0 ou ini</w:t>
      </w:r>
      <w:r>
        <w:rPr>
          <w:rFonts w:eastAsiaTheme="minorEastAsia"/>
        </w:rPr>
        <w:t xml:space="preserve"> et t</w:t>
      </w:r>
      <w:r>
        <w:rPr>
          <w:rFonts w:eastAsiaTheme="minorEastAsia"/>
          <w:vertAlign w:val="subscript"/>
        </w:rPr>
        <w:t>final ou eq</w:t>
      </w:r>
      <w:r>
        <w:rPr>
          <w:rFonts w:eastAsiaTheme="minorEastAsia"/>
        </w:rPr>
        <w:t>. Pour cela, on a besoin de connaitre la quantité de matière à t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et t</w:t>
      </w:r>
      <w:r>
        <w:rPr>
          <w:rFonts w:eastAsiaTheme="minorEastAsia"/>
          <w:vertAlign w:val="subscript"/>
        </w:rPr>
        <w:t>final</w:t>
      </w:r>
      <w:r>
        <w:rPr>
          <w:rFonts w:eastAsiaTheme="minorEastAsia"/>
        </w:rPr>
        <w:t xml:space="preserve">, on aura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eq</m:t>
                </m:r>
              </m:sub>
            </m:sSub>
          </m:den>
        </m:f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ini</m:t>
            </m:r>
          </m:sub>
        </m:sSub>
      </m:oMath>
      <w:r>
        <w:rPr>
          <w:rFonts w:eastAsiaTheme="minorEastAsia"/>
        </w:rPr>
        <w:t xml:space="preserve">. </w:t>
      </w:r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Quotient réactionnel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Le quotient réactionnel permet de caractériser l’avancement de la réaction noté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G=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produits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réactifs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+RT.</m:t>
          </m:r>
          <m:r>
            <m:rPr>
              <m:sty m:val="p"/>
            </m:rPr>
            <w:rPr>
              <w:rFonts w:ascii="Cambria Math" w:eastAsiaTheme="minorEastAsia" w:hAnsi="Cambria Math"/>
            </w:rPr>
            <m:t>ln⁡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 xml:space="preserve">C’est le rapport entre les produits et les réactifs. 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∏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(produits)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num>
            <m:den>
              <m:nary>
                <m:naryPr>
                  <m:chr m:val="∏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(réactifs)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>Constante d’équilibre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L’équilibre d’une solution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G=0</m:t>
        </m:r>
      </m:oMath>
      <w:r>
        <w:rPr>
          <w:rFonts w:eastAsiaTheme="minorEastAsia"/>
        </w:rPr>
        <w:t xml:space="preserve"> lorsqu’il n’y a plus de variation de l’enthalpie. Le quotient réactionnel est noté : </w:t>
      </w:r>
      <m:oMath>
        <m:r>
          <w:rPr>
            <w:rFonts w:ascii="Cambria Math" w:eastAsiaTheme="minorEastAsia" w:hAnsi="Cambria Math"/>
          </w:rPr>
          <m:t>K=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.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=-RT.</m:t>
          </m:r>
          <m:r>
            <m:rPr>
              <m:sty m:val="p"/>
            </m:rPr>
            <w:rPr>
              <w:rFonts w:ascii="Cambria Math" w:eastAsiaTheme="minorEastAsia" w:hAnsi="Cambria Math"/>
            </w:rPr>
            <m:t>ln⁡</m:t>
          </m:r>
          <m:r>
            <w:rPr>
              <w:rFonts w:ascii="Cambria Math" w:eastAsiaTheme="minorEastAsia" w:hAnsi="Cambria Math"/>
            </w:rPr>
            <m:t>(K)</m:t>
          </m:r>
        </m:oMath>
      </m:oMathPara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NB :</w:t>
      </w:r>
      <w:r>
        <w:rPr>
          <w:rFonts w:eastAsiaTheme="minorEastAsia"/>
        </w:rPr>
        <w:t xml:space="preserve"> La constante d’équilibre K peut s’obtenir en passant par des réactions intermédiaires. Attention, la somme et la différence deviennent des puissances.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Le coefficient d’équilibre pour la réaction inverse est :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>
      <w:pPr>
        <w:rPr>
          <w:rFonts w:eastAsiaTheme="minorEastAsia"/>
        </w:rPr>
      </w:pPr>
      <w:r>
        <w:rPr>
          <w:rFonts w:eastAsiaTheme="minorEastAsia"/>
        </w:rPr>
        <w:t>Lorsque K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 xml:space="preserve">K&gt;1les produits majoritaires 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K&lt;1les réactifs majoritaires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La réaction est totale pour </w:t>
      </w:r>
      <m:oMath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>
        <w:rPr>
          <w:rFonts w:eastAsiaTheme="minorEastAsia"/>
        </w:rPr>
        <w:t xml:space="preserve"> ou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&gt;10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Modification des conditions de la réaction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L’équilibre est modifié lorsque l’on change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 température</w:t>
            </w:r>
          </w:p>
        </w:tc>
        <w:tc>
          <w:tcPr>
            <w:tcW w:w="2445" w:type="dxa"/>
          </w:tcPr>
          <w:p>
            <w:r>
              <w:rPr>
                <w:rFonts w:eastAsiaTheme="minorEastAsia"/>
              </w:rPr>
              <w:t xml:space="preserve">La concentration des réactifs/produits </w:t>
            </w:r>
          </w:p>
        </w:tc>
        <w:tc>
          <w:tcPr>
            <w:tcW w:w="2445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 pression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>Il se déplacera de manière à compenser l’augmentation ou la diminution.</w:t>
      </w:r>
    </w:p>
    <w:p>
      <w:pPr>
        <w:rPr>
          <w:i/>
          <w:iCs/>
        </w:rPr>
      </w:pPr>
      <w:r>
        <w:rPr>
          <w:i/>
          <w:iCs/>
        </w:rPr>
        <w:t>Par exemple, pour une augmentation de la pression, il faudra déterminer la réaction qui produit le moins de matière.</w:t>
      </w:r>
    </w:p>
    <w:p>
      <w:r>
        <w:t>La modification de pression peut se faire par trois moyens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Ajout d’un gaz inerte</w:t>
            </w:r>
          </w:p>
        </w:tc>
        <w:tc>
          <w:tcPr>
            <w:tcW w:w="2445" w:type="dxa"/>
          </w:tcPr>
          <w:p>
            <w:r>
              <w:t>Compression de volume</w:t>
            </w:r>
          </w:p>
        </w:tc>
        <w:tc>
          <w:tcPr>
            <w:tcW w:w="2445" w:type="dxa"/>
          </w:tcPr>
          <w:p>
            <w:r>
              <w:t>Ajout d’un constituant de la réaction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>Attention : L’ajout d’un gaz inerte à pression constante modifie les pressions partielles.</w:t>
      </w:r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>Tableau d’avancement</w:t>
      </w:r>
    </w:p>
    <w:p>
      <w:pPr>
        <w:rPr>
          <w:rFonts w:eastAsiaTheme="minorEastAsia"/>
        </w:rPr>
      </w:pPr>
      <w:r>
        <w:rPr>
          <w:rFonts w:eastAsiaTheme="minorEastAsia"/>
        </w:rPr>
        <w:t>Pour suivre une réaction, on utilise généralement un tableau d’avancement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Temps</w:t>
            </w:r>
          </w:p>
        </w:tc>
        <w:tc>
          <w:tcPr>
            <w:tcW w:w="3668" w:type="dxa"/>
          </w:tcPr>
          <w:p>
            <w:r>
              <w:t xml:space="preserve">Réactifs </w:t>
            </w:r>
            <w:r>
              <w:rPr>
                <w:rFonts w:ascii="Arial" w:hAnsi="Arial" w:cs="Arial"/>
              </w:rPr>
              <w:t xml:space="preserve">→ </w:t>
            </w:r>
            <w:r>
              <w:t>Produits</w:t>
            </w: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  <w:tc>
          <w:tcPr>
            <w:tcW w:w="3668" w:type="dxa"/>
            <w:vMerge w:val="restart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nbre de mol ou pression partielle</w:t>
            </w:r>
          </w:p>
        </w:tc>
      </w:tr>
      <w:tr>
        <w:tc>
          <w:tcPr>
            <w:tcW w:w="3667" w:type="dxa"/>
          </w:tcPr>
          <w:p>
            <w:pPr>
              <w:rPr>
                <w:rFonts w:ascii="Cambria Math" w:eastAsiaTheme="minorEastAsia" w:hAnsi="Cambria Math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t(x)</m:t>
                </m:r>
              </m:oMath>
            </m:oMathPara>
          </w:p>
        </w:tc>
        <w:tc>
          <w:tcPr>
            <w:tcW w:w="3668" w:type="dxa"/>
            <w:vMerge/>
          </w:tcPr>
          <w:p>
            <w:pPr>
              <w:rPr>
                <w:rFonts w:eastAsiaTheme="minorEastAsia"/>
              </w:rPr>
            </w:pP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final</m:t>
                    </m:r>
                  </m:sub>
                </m:sSub>
              </m:oMath>
            </m:oMathPara>
          </w:p>
        </w:tc>
        <w:tc>
          <w:tcPr>
            <w:tcW w:w="3668" w:type="dxa"/>
            <w:vMerge/>
          </w:tcPr>
          <w:p>
            <w:pPr>
              <w:rPr>
                <w:rFonts w:eastAsiaTheme="minorEastAsia"/>
              </w:rPr>
            </w:pP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>Le réactif limitant permet de déduire la quantité de matière obtenue.</w:t>
      </w:r>
    </w:p>
    <w:p>
      <w:pPr>
        <w:rPr>
          <w:rFonts w:eastAsiaTheme="minorEastAsia"/>
        </w:rPr>
      </w:pPr>
      <w:r>
        <w:rPr>
          <w:rFonts w:eastAsiaTheme="minorEastAsia"/>
        </w:rPr>
        <w:t>Taux d’avancement = coefficient de dissociation</w:t>
      </w:r>
    </w:p>
    <w:p>
      <w:pPr>
        <w:rPr>
          <w:rFonts w:eastAsiaTheme="minorEastAsia"/>
        </w:rPr>
      </w:pPr>
      <w:r>
        <w:rPr>
          <w:rFonts w:eastAsiaTheme="minorEastAsia"/>
        </w:rPr>
        <w:t>Effet de la température :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lnK-ln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>
      <w:pPr>
        <w:pStyle w:val="Titre1"/>
      </w:pPr>
      <w:r>
        <w:t>Équilibre acido-basique</w:t>
      </w:r>
    </w:p>
    <w:p>
      <w:r>
        <w:rPr>
          <w:rStyle w:val="Accentuation"/>
        </w:rPr>
        <w:t>Amphotère</w:t>
      </w:r>
      <w:r>
        <w:t xml:space="preserve"> espèce chimique capable de réagir avec elle-même.</w:t>
      </w:r>
    </w:p>
    <w:p>
      <w:r>
        <w:t xml:space="preserve">L’autoprotolyse de l’eau est une réaction spontanée de 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</m:t>
          </m:r>
          <m:r>
            <w:rPr>
              <w:rFonts w:ascii="Cambria Math" w:eastAsiaTheme="minorEastAsia" w:hAnsi="Cambria Math"/>
            </w:rPr>
            <m:t>⇌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+H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p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 xml:space="preserve">Son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O]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-14</m:t>
            </m:r>
          </m:sup>
        </m:sSup>
      </m:oMath>
      <w:r>
        <w:rPr>
          <w:rFonts w:eastAsiaTheme="minorEastAsia"/>
        </w:rPr>
        <w:t xml:space="preserve"> </w:t>
      </w:r>
      <w:r>
        <w:t>comme H</w:t>
      </w:r>
      <w:r>
        <w:rPr>
          <w:vertAlign w:val="subscript"/>
        </w:rPr>
        <w:t>2</w:t>
      </w:r>
      <w:r>
        <w:t xml:space="preserve">O est le soluté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H2O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</w:t>
      </w:r>
    </w:p>
    <w:p>
      <w:pPr>
        <w:pStyle w:val="Titre2"/>
      </w:pPr>
      <w:r>
        <w:rPr>
          <w:rFonts w:eastAsiaTheme="minorEastAsia"/>
        </w:rPr>
        <w:t>Acide Base</w:t>
      </w:r>
    </w:p>
    <w:p>
      <w:r>
        <w:t xml:space="preserve">Dans l’eau,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 xml:space="preserve">Un acide libère un proton donc apparition de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oMath>
          </w:p>
        </w:tc>
        <w:tc>
          <w:tcPr>
            <w:tcW w:w="3668" w:type="dxa"/>
          </w:tcPr>
          <w:p>
            <w:r>
              <w:t xml:space="preserve">Une base capte un proton donc apparition de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p>
            </m:oMath>
          </w:p>
        </w:tc>
      </w:tr>
      <w:tr>
        <w:tc>
          <w:tcPr>
            <w:tcW w:w="3667" w:type="dxa"/>
          </w:tcPr>
          <w:p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K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[H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].[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]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[AH]</m:t>
                    </m:r>
                  </m:den>
                </m:f>
              </m:oMath>
            </m:oMathPara>
          </w:p>
        </w:tc>
        <w:tc>
          <w:tcPr>
            <w:tcW w:w="3668" w:type="dxa"/>
          </w:tcPr>
          <w:p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K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[H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].[AH]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]</m:t>
                    </m:r>
                  </m:den>
                </m:f>
              </m:oMath>
            </m:oMathPara>
          </w:p>
        </w:tc>
      </w:tr>
    </w:tbl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K</m:t>
            </m:r>
          </m:e>
          <m:sub>
            <m:r>
              <w:rPr>
                <w:rFonts w:ascii="Cambria Math" w:eastAsiaTheme="majorEastAsia" w:hAnsi="Cambria Math" w:cstheme="majorBidi"/>
              </w:rPr>
              <m:t>a</m:t>
            </m:r>
          </m:sub>
        </m:sSub>
        <m:r>
          <w:rPr>
            <w:rFonts w:ascii="Cambria Math" w:eastAsiaTheme="majorEastAsia" w:hAnsi="Cambria Math" w:cstheme="majorBidi"/>
          </w:rPr>
          <m:t>.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K</m:t>
            </m:r>
          </m:e>
          <m:sub>
            <m:r>
              <w:rPr>
                <w:rFonts w:ascii="Cambria Math" w:eastAsiaTheme="majorEastAsia" w:hAnsi="Cambria Math" w:cstheme="majorBidi"/>
              </w:rPr>
              <m:t>b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-14</m:t>
            </m:r>
          </m:sup>
        </m:sSup>
      </m:oMath>
    </w:p>
    <w:p>
      <w:pPr>
        <w:rPr>
          <w:rFonts w:eastAsiaTheme="minorEastAsia"/>
        </w:rPr>
      </w:pPr>
      <w:r>
        <w:rPr>
          <w:rFonts w:eastAsiaTheme="minorEastAsia"/>
        </w:rPr>
        <w:t xml:space="preserve">La fonction </w:t>
      </w:r>
      <m:oMath>
        <m:r>
          <w:rPr>
            <w:rFonts w:ascii="Cambria Math" w:eastAsiaTheme="majorEastAsia" w:hAnsi="Cambria Math" w:cstheme="majorBidi"/>
          </w:rPr>
          <m:t>p=-log</m:t>
        </m:r>
      </m:oMath>
    </w:p>
    <w:p>
      <w:pPr>
        <w:rPr>
          <w:rFonts w:eastAsiaTheme="minorEastAsia"/>
        </w:rPr>
      </w:pPr>
      <w:r>
        <w:rPr>
          <w:rFonts w:eastAsiaTheme="minorEastAsia"/>
        </w:rPr>
        <w:t>On définit le pH :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pH=-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log⁡</m:t>
          </m:r>
          <m:r>
            <w:rPr>
              <w:rFonts w:ascii="Cambria Math" w:eastAsiaTheme="majorEastAsia" w:hAnsi="Cambria Math" w:cstheme="majorBidi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[H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]</m:t>
          </m:r>
          <m:r>
            <w:rPr>
              <w:rFonts w:ascii="Cambria Math" w:eastAsiaTheme="majorEastAsia" w:hAnsi="Cambria Math" w:cstheme="majorBidi"/>
            </w:rPr>
            <m:t>)=p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a</m:t>
              </m:r>
            </m:sub>
          </m:sSub>
          <m:r>
            <w:rPr>
              <w:rFonts w:ascii="Cambria Math" w:eastAsiaTheme="majorEastAsia" w:hAnsi="Cambria Math" w:cstheme="majorBidi"/>
            </w:rPr>
            <m:t>+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log⁡</m:t>
          </m:r>
          <m:r>
            <w:rPr>
              <w:rFonts w:ascii="Cambria Math" w:eastAsiaTheme="majorEastAsia" w:hAnsi="Cambria Math" w:cstheme="majorBidi"/>
            </w:rPr>
            <m:t>(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AH</m:t>
                  </m:r>
                </m:e>
              </m:d>
            </m:den>
          </m:f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  <w:i/>
                <w:iCs/>
              </w:rPr>
              <w:t>Exemple</w:t>
            </w:r>
            <w:r>
              <w:rPr>
                <w:rFonts w:eastAsiaTheme="minorEastAsia"/>
              </w:rPr>
              <w:t xml:space="preserve"> classique pour déterminer le pH d’une solution auquel on ajoute C d’une base</w:t>
            </w:r>
          </w:p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O↔AH+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HO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</m:sup>
                </m:sSup>
              </m:oMath>
            </m:oMathPara>
          </w:p>
          <w:tbl>
            <w:tblPr>
              <w:tblStyle w:val="Grilledetableauclaire"/>
              <w:tblW w:w="0" w:type="auto"/>
              <w:tblLook w:val="0480" w:firstRow="0" w:lastRow="0" w:firstColumn="1" w:lastColumn="0" w:noHBand="0" w:noVBand="1"/>
            </w:tblPr>
            <w:tblGrid>
              <w:gridCol w:w="1626"/>
              <w:gridCol w:w="1333"/>
              <w:gridCol w:w="1392"/>
              <w:gridCol w:w="1351"/>
              <w:gridCol w:w="1407"/>
            </w:tblGrid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5" w:type="dxa"/>
                </w:tcPr>
                <w:p>
                  <w:pPr>
                    <w:rPr>
                      <w:rFonts w:eastAsia="Calibri" w:cs="Times New Roman"/>
                    </w:rPr>
                  </w:pPr>
                  <w:r>
                    <w:rPr>
                      <w:rFonts w:eastAsia="Calibri" w:cs="Times New Roman"/>
                    </w:rPr>
                    <w:t>Espèces</w:t>
                  </w:r>
                </w:p>
              </w:tc>
              <w:tc>
                <w:tcPr>
                  <w:tcW w:w="1470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p>
                          </m:sSup>
                        </m:e>
                      </m:d>
                    </m:oMath>
                  </m:oMathPara>
                </w:p>
              </w:tc>
              <w:tc>
                <w:tcPr>
                  <w:tcW w:w="151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e>
                      </m:d>
                    </m:oMath>
                  </m:oMathPara>
                </w:p>
              </w:tc>
              <w:tc>
                <w:tcPr>
                  <w:tcW w:w="148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AH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e>
                      </m:d>
                    </m:oMath>
                  </m:oMathPara>
                </w:p>
              </w:tc>
              <w:tc>
                <w:tcPr>
                  <w:tcW w:w="152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[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HO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]</m:t>
                      </m:r>
                    </m:oMath>
                  </m:oMathPara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5" w:type="dxa"/>
                </w:tcPr>
                <w:p>
                  <w:pPr>
                    <w:rPr>
                      <w:rFonts w:eastAsia="Calibri" w:cs="Times New Roman"/>
                    </w:rPr>
                  </w:pPr>
                  <w:r>
                    <w:rPr>
                      <w:rFonts w:eastAsia="Calibri" w:cs="Times New Roman"/>
                    </w:rPr>
                    <w:lastRenderedPageBreak/>
                    <w:t>Concentration</w:t>
                  </w:r>
                </w:p>
              </w:tc>
              <w:tc>
                <w:tcPr>
                  <w:tcW w:w="1470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oMath>
                  </m:oMathPara>
                </w:p>
              </w:tc>
              <w:tc>
                <w:tcPr>
                  <w:tcW w:w="151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48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52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oMath>
                  </m:oMathPara>
                </w:p>
              </w:tc>
            </w:tr>
          </w:tbl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.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AH</m:t>
                        </m:r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²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oMath>
            </m:oMathPara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Calcul du pH avec autoprotolyse de l’eau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Dans le cas où l’autoprotolyse de l’eau n’est pas négligeable, il faut l’ajouter :</w:t>
            </w:r>
          </w:p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O↔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HO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  <w:tbl>
            <w:tblPr>
              <w:tblStyle w:val="Grilledetableauclaire"/>
              <w:tblW w:w="0" w:type="auto"/>
              <w:tblLook w:val="04A0" w:firstRow="1" w:lastRow="0" w:firstColumn="1" w:lastColumn="0" w:noHBand="0" w:noVBand="1"/>
            </w:tblPr>
            <w:tblGrid>
              <w:gridCol w:w="1777"/>
              <w:gridCol w:w="1777"/>
              <w:gridCol w:w="1777"/>
              <w:gridCol w:w="1778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77" w:type="dxa"/>
                </w:tcPr>
                <w:p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Espèces</w:t>
                  </w:r>
                </w:p>
              </w:tc>
              <w:tc>
                <w:tcPr>
                  <w:tcW w:w="1777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oMath>
                  </m:oMathPara>
                </w:p>
              </w:tc>
              <w:tc>
                <w:tcPr>
                  <w:tcW w:w="1777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HO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-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778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</m:oMath>
                  </m:oMathPara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77" w:type="dxa"/>
                </w:tcPr>
                <w:p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Concentration</w:t>
                  </w:r>
                </w:p>
              </w:tc>
              <w:tc>
                <w:tcPr>
                  <w:tcW w:w="1777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</w:p>
              </w:tc>
              <w:tc>
                <w:tcPr>
                  <w:tcW w:w="1777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oMath>
                  </m:oMathPara>
                </w:p>
              </w:tc>
              <w:tc>
                <w:tcPr>
                  <w:tcW w:w="1778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oMath>
                  </m:oMathPara>
                </w:p>
              </w:tc>
            </w:tr>
          </w:tbl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Ainsi, on doit résoudre 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HO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=y×(x+y)</m:t>
                </m:r>
              </m:oMath>
            </m:oMathPara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Dans le cas d’une base forte, on aurait :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HO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=y×(c+y)</m:t>
              </m:r>
            </m:oMath>
            <w:r>
              <w:rPr>
                <w:rFonts w:eastAsiaTheme="minorEastAsia"/>
              </w:rPr>
              <w:t xml:space="preserve"> ce qui équivaut un résoudre un polynôme du second degré.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 xml:space="preserve">Rmq : </w:t>
      </w:r>
      <w:r>
        <w:rPr>
          <w:rFonts w:eastAsiaTheme="minorEastAsia"/>
        </w:rPr>
        <w:t>Plus le pKa est grand plus l’acide est fort.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En considérant que pour les acides et bases : </w:t>
      </w:r>
    </w:p>
    <w:p>
      <w:pPr>
        <w:pStyle w:val="Paragraphedeliste"/>
        <w:numPr>
          <w:ilvl w:val="0"/>
          <w:numId w:val="37"/>
        </w:numPr>
        <w:rPr>
          <w:rFonts w:eastAsiaTheme="minorEastAsia"/>
        </w:rPr>
      </w:pPr>
      <w:r>
        <w:rPr>
          <w:rFonts w:eastAsiaTheme="minorEastAsia"/>
        </w:rPr>
        <w:t>Forts : ils réagissent à 100%.</w:t>
      </w:r>
    </w:p>
    <w:p>
      <w:pPr>
        <w:pStyle w:val="Paragraphedeliste"/>
        <w:numPr>
          <w:ilvl w:val="0"/>
          <w:numId w:val="37"/>
        </w:numPr>
        <w:rPr>
          <w:rFonts w:eastAsiaTheme="minorEastAsia"/>
        </w:rPr>
      </w:pPr>
      <w:r>
        <w:rPr>
          <w:rFonts w:eastAsiaTheme="minorEastAsia"/>
        </w:rPr>
        <w:t>Faible : la diminution de concentration de la base et l’acide est négligeable.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L’autoprotolyse de l’eau est négligeable lorsque la concentration des espèces est </w:t>
      </w:r>
      <m:oMath>
        <m:r>
          <w:rPr>
            <w:rFonts w:ascii="Cambria Math" w:eastAsiaTheme="majorEastAsia" w:hAnsi="Cambria Math" w:cstheme="majorBidi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&gt;10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rPr>
          <w:rFonts w:eastAsiaTheme="minorEastAsia"/>
        </w:rPr>
        <w:t xml:space="preserve"> mol/L, on a alors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35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/>
        </w:tc>
        <w:tc>
          <w:tcPr>
            <w:tcW w:w="283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Fort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&lt;0</m:t>
              </m:r>
            </m:oMath>
            <w:r>
              <w:t xml:space="preserve"> ou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&gt;</m:t>
              </m:r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14</m:t>
              </m:r>
            </m:oMath>
          </w:p>
        </w:tc>
        <w:tc>
          <w:tcPr>
            <w:tcW w:w="351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Faible 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>
            <w:r>
              <w:t>Acide</w:t>
            </w:r>
          </w:p>
        </w:tc>
        <w:tc>
          <w:tcPr>
            <w:tcW w:w="283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pH=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-log</m:t>
                    </m:r>
                  </m:fName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</m:func>
              </m:oMath>
            </m:oMathPara>
          </w:p>
        </w:tc>
        <w:tc>
          <w:tcPr>
            <w:tcW w:w="351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 xml:space="preserve"> pH=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GB"/>
                  </w:rPr>
                  <m:t>(p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</m:func>
                <m:r>
                  <w:rPr>
                    <w:rFonts w:ascii="Cambria Math" w:hAnsi="Cambria Math"/>
                    <w:lang w:val="en-GB"/>
                  </w:rPr>
                  <m:t>)</m:t>
                </m:r>
              </m:oMath>
            </m:oMathPara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>
            <w:r>
              <w:t>Base</w:t>
            </w:r>
          </w:p>
        </w:tc>
        <w:tc>
          <w:tcPr>
            <w:tcW w:w="283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pH=14+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</m:func>
              </m:oMath>
            </m:oMathPara>
          </w:p>
        </w:tc>
        <w:tc>
          <w:tcPr>
            <w:tcW w:w="351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pH=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GB"/>
                  </w:rPr>
                  <m:t>(14+p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</m:func>
                <m:r>
                  <w:rPr>
                    <w:rFonts w:ascii="Cambria Math" w:hAnsi="Cambria Math"/>
                    <w:lang w:val="en-GB"/>
                  </w:rPr>
                  <m:t>)</m:t>
                </m:r>
              </m:oMath>
            </m:oMathPara>
          </w:p>
        </w:tc>
      </w:tr>
    </w:tbl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GB"/>
          </w:rPr>
          <m:t>H</m:t>
        </m:r>
        <m:r>
          <w:rPr>
            <w:rFonts w:ascii="Cambria Math" w:hAnsi="Cambria Math"/>
          </w:rPr>
          <m:t>=[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  <w:lang w:val="en-GB"/>
              </w:rPr>
              <m:t>O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]=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e</m:t>
                </m:r>
              </m:sub>
            </m:sSub>
          </m:num>
          <m:den>
            <m:r>
              <w:rPr>
                <w:rFonts w:ascii="Cambria Math" w:hAnsi="Cambria Math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HO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  <m:r>
              <w:rPr>
                <w:rFonts w:ascii="Cambria Math" w:hAnsi="Cambria Math"/>
              </w:rPr>
              <m:t>]</m:t>
            </m:r>
          </m:den>
        </m:f>
      </m:oMath>
    </w:p>
    <w:p>
      <w:pPr>
        <w:rPr>
          <w:rFonts w:eastAsiaTheme="minorEastAsia"/>
        </w:rPr>
      </w:pPr>
      <w:r>
        <w:rPr>
          <w:rFonts w:eastAsiaTheme="minorEastAsia"/>
        </w:rPr>
        <w:t>Rmq : Pour un acide ou une base forte, le coefficient réactionnel n’a pas de sens à l’équilibre car il faudrait diviser par 0.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CTR</w:t>
    </w:r>
    <w:r>
      <w:ptab w:relativeTo="margin" w:alignment="center" w:leader="none"/>
    </w:r>
    <w:r>
      <w:t>Thermodynamique chimique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49.5pt;height:22.5pt;visibility:visible;mso-wrap-style:square" o:bullet="t">
        <v:imagedata r:id="rId1" o:title=""/>
      </v:shape>
    </w:pict>
  </w:numPicBullet>
  <w:abstractNum w:abstractNumId="0" w15:restartNumberingAfterBreak="0">
    <w:nsid w:val="004C0463"/>
    <w:multiLevelType w:val="hybridMultilevel"/>
    <w:tmpl w:val="FBB016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C5ED5"/>
    <w:multiLevelType w:val="hybridMultilevel"/>
    <w:tmpl w:val="C6E4D2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91BC8"/>
    <w:multiLevelType w:val="hybridMultilevel"/>
    <w:tmpl w:val="118CA5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734049"/>
    <w:multiLevelType w:val="hybridMultilevel"/>
    <w:tmpl w:val="5418B4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A70B04"/>
    <w:multiLevelType w:val="hybridMultilevel"/>
    <w:tmpl w:val="7F0EAE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37760B5"/>
    <w:multiLevelType w:val="hybridMultilevel"/>
    <w:tmpl w:val="8320D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647EA8"/>
    <w:multiLevelType w:val="hybridMultilevel"/>
    <w:tmpl w:val="A89A94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7D25D2"/>
    <w:multiLevelType w:val="hybridMultilevel"/>
    <w:tmpl w:val="488EF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06CC9"/>
    <w:multiLevelType w:val="hybridMultilevel"/>
    <w:tmpl w:val="54F247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7A006B5"/>
    <w:multiLevelType w:val="hybridMultilevel"/>
    <w:tmpl w:val="FAB6D2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C67310A"/>
    <w:multiLevelType w:val="hybridMultilevel"/>
    <w:tmpl w:val="164601E6"/>
    <w:lvl w:ilvl="0" w:tplc="DD28EA92">
      <w:numFmt w:val="bullet"/>
      <w:lvlText w:val="-"/>
      <w:lvlJc w:val="left"/>
      <w:pPr>
        <w:ind w:left="720" w:hanging="360"/>
      </w:pPr>
      <w:rPr>
        <w:rFonts w:ascii="Open Sans Light" w:eastAsiaTheme="minorEastAsia" w:hAnsi="Open Sans Light" w:cs="Open Sans Light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2C48DD"/>
    <w:multiLevelType w:val="hybridMultilevel"/>
    <w:tmpl w:val="030065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3" w15:restartNumberingAfterBreak="0">
    <w:nsid w:val="6A1E5AD4"/>
    <w:multiLevelType w:val="hybridMultilevel"/>
    <w:tmpl w:val="A40CE5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704E80"/>
    <w:multiLevelType w:val="hybridMultilevel"/>
    <w:tmpl w:val="9AF08B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AB4067"/>
    <w:multiLevelType w:val="hybridMultilevel"/>
    <w:tmpl w:val="0666D1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6"/>
  </w:num>
  <w:num w:numId="3">
    <w:abstractNumId w:val="13"/>
  </w:num>
  <w:num w:numId="4">
    <w:abstractNumId w:val="1"/>
  </w:num>
  <w:num w:numId="5">
    <w:abstractNumId w:val="12"/>
  </w:num>
  <w:num w:numId="6">
    <w:abstractNumId w:val="8"/>
  </w:num>
  <w:num w:numId="7">
    <w:abstractNumId w:val="14"/>
  </w:num>
  <w:num w:numId="8">
    <w:abstractNumId w:val="21"/>
  </w:num>
  <w:num w:numId="9">
    <w:abstractNumId w:val="29"/>
  </w:num>
  <w:num w:numId="10">
    <w:abstractNumId w:val="15"/>
  </w:num>
  <w:num w:numId="11">
    <w:abstractNumId w:val="16"/>
  </w:num>
  <w:num w:numId="12">
    <w:abstractNumId w:val="4"/>
  </w:num>
  <w:num w:numId="13">
    <w:abstractNumId w:val="32"/>
  </w:num>
  <w:num w:numId="14">
    <w:abstractNumId w:val="20"/>
  </w:num>
  <w:num w:numId="15">
    <w:abstractNumId w:val="23"/>
  </w:num>
  <w:num w:numId="16">
    <w:abstractNumId w:val="36"/>
  </w:num>
  <w:num w:numId="17">
    <w:abstractNumId w:val="5"/>
  </w:num>
  <w:num w:numId="18">
    <w:abstractNumId w:val="9"/>
  </w:num>
  <w:num w:numId="19">
    <w:abstractNumId w:val="22"/>
  </w:num>
  <w:num w:numId="20">
    <w:abstractNumId w:val="31"/>
  </w:num>
  <w:num w:numId="21">
    <w:abstractNumId w:val="17"/>
  </w:num>
  <w:num w:numId="22">
    <w:abstractNumId w:val="25"/>
  </w:num>
  <w:num w:numId="23">
    <w:abstractNumId w:val="24"/>
  </w:num>
  <w:num w:numId="24">
    <w:abstractNumId w:val="11"/>
  </w:num>
  <w:num w:numId="25">
    <w:abstractNumId w:val="10"/>
  </w:num>
  <w:num w:numId="26">
    <w:abstractNumId w:val="7"/>
  </w:num>
  <w:num w:numId="27">
    <w:abstractNumId w:val="34"/>
  </w:num>
  <w:num w:numId="28">
    <w:abstractNumId w:val="3"/>
  </w:num>
  <w:num w:numId="29">
    <w:abstractNumId w:val="33"/>
  </w:num>
  <w:num w:numId="30">
    <w:abstractNumId w:val="30"/>
  </w:num>
  <w:num w:numId="31">
    <w:abstractNumId w:val="28"/>
  </w:num>
  <w:num w:numId="32">
    <w:abstractNumId w:val="19"/>
  </w:num>
  <w:num w:numId="33">
    <w:abstractNumId w:val="35"/>
  </w:num>
  <w:num w:numId="34">
    <w:abstractNumId w:val="0"/>
  </w:num>
  <w:num w:numId="35">
    <w:abstractNumId w:val="2"/>
  </w:num>
  <w:num w:numId="36">
    <w:abstractNumId w:val="6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5391</TotalTime>
  <Pages>6</Pages>
  <Words>2073</Words>
  <Characters>11402</Characters>
  <Application>Microsoft Office Word</Application>
  <DocSecurity>0</DocSecurity>
  <Lines>95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60</cp:revision>
  <cp:lastPrinted>2021-03-26T14:43:00Z</cp:lastPrinted>
  <dcterms:created xsi:type="dcterms:W3CDTF">2021-02-10T22:25:00Z</dcterms:created>
  <dcterms:modified xsi:type="dcterms:W3CDTF">2022-01-09T14:39:00Z</dcterms:modified>
</cp:coreProperties>
</file>