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rPr>
          <w:rFonts w:eastAsiaTheme="minorEastAsia"/>
        </w:rPr>
      </w:pPr>
      <w:r>
        <w:rPr>
          <w:rFonts w:eastAsiaTheme="minorEastAsia"/>
        </w:rPr>
        <w:t>L’objectif du cours est de déterminer les zones riches ou pauvres en électron (c’est-à-dire chargées) car ce sont les sites réactionnels de la molécule.</w:t>
      </w:r>
    </w:p>
    <w:p>
      <w:pPr>
        <w:pStyle w:val="Titre1"/>
      </w:pPr>
      <w:r>
        <w:t>Effets électroniques</w:t>
      </w:r>
    </w:p>
    <w:p>
      <w:r>
        <w:t xml:space="preserve">La différence d’électronégativité génère une polarisation des liaisons </w:t>
      </w:r>
      <w:r>
        <w:rPr>
          <w:rFonts w:ascii="Arial" w:hAnsi="Arial" w:cs="Arial"/>
        </w:rPr>
        <w:t>σ</w:t>
      </w:r>
      <w:r>
        <w:t xml:space="preserve"> car certains atomes auront tendance à attirer les électrons à leur voisinage. Ces zones en surplus ou carence d’électrons provoque une diminution de la stabilité de la molécule là où elles ont lieu : ce sont les zones réactives de la molécule.</w:t>
      </w:r>
    </w:p>
    <w:p>
      <w:r>
        <w:t>On peut classer ces sites en deux catégories :</w:t>
      </w:r>
    </w:p>
    <w:tbl>
      <w:tblPr>
        <w:tblStyle w:val="Grilledetableauclaire"/>
        <w:tblW w:w="0" w:type="auto"/>
        <w:tblLook w:val="0400" w:firstRow="0" w:lastRow="0" w:firstColumn="0" w:lastColumn="0" w:noHBand="0" w:noVBand="1"/>
      </w:tblPr>
      <w:tblGrid>
        <w:gridCol w:w="3667"/>
        <w:gridCol w:w="3668"/>
      </w:tblGrid>
      <w:tr>
        <w:tc>
          <w:tcPr>
            <w:tcW w:w="3667" w:type="dxa"/>
          </w:tcPr>
          <w:p>
            <w:r>
              <w:t>Électrophile = déficitaire en électrons</w:t>
            </w:r>
          </w:p>
        </w:tc>
        <w:tc>
          <w:tcPr>
            <w:tcW w:w="3668" w:type="dxa"/>
          </w:tcPr>
          <w:p>
            <w:r>
              <w:t>Nucléophile = excédentaire en électrons</w:t>
            </w:r>
          </w:p>
        </w:tc>
      </w:tr>
    </w:tbl>
    <w:p>
      <w:r>
        <w:rPr>
          <w:rStyle w:val="Accentuation"/>
        </w:rPr>
        <w:t>Électrophile</w:t>
      </w:r>
      <w:r>
        <w:t xml:space="preserve"> espèce déficitaire en électron.</w:t>
      </w:r>
    </w:p>
    <w:p>
      <w:r>
        <w:rPr>
          <w:rStyle w:val="Accentuation"/>
        </w:rPr>
        <w:t>Nucléophile</w:t>
      </w:r>
      <w:r>
        <w:t xml:space="preserve"> espèce excédentaire en électron.</w:t>
      </w:r>
    </w:p>
    <w:p>
      <w:r>
        <w:t>Ces zones peuvent être compensées ou amplifiées :</w:t>
      </w:r>
    </w:p>
    <w:tbl>
      <w:tblPr>
        <w:tblStyle w:val="Grilledetableauclaire"/>
        <w:tblW w:w="0" w:type="auto"/>
        <w:tblLook w:val="0400" w:firstRow="0" w:lastRow="0" w:firstColumn="0" w:lastColumn="0" w:noHBand="0" w:noVBand="1"/>
      </w:tblPr>
      <w:tblGrid>
        <w:gridCol w:w="3667"/>
        <w:gridCol w:w="3668"/>
      </w:tblGrid>
      <w:tr>
        <w:tc>
          <w:tcPr>
            <w:tcW w:w="3667" w:type="dxa"/>
          </w:tcPr>
          <w:p>
            <w:r>
              <w:t>Atomes voisins (charge partiel)</w:t>
            </w:r>
          </w:p>
        </w:tc>
        <w:tc>
          <w:tcPr>
            <w:tcW w:w="3668" w:type="dxa"/>
          </w:tcPr>
          <w:p>
            <w:r>
              <w:t>L’effet mésomère (charge formelle)</w:t>
            </w:r>
          </w:p>
        </w:tc>
      </w:tr>
    </w:tbl>
    <w:p>
      <w:pPr>
        <w:rPr>
          <w:rFonts w:eastAsiaTheme="minorEastAsia"/>
        </w:rPr>
      </w:pPr>
      <w:r>
        <w:rPr>
          <w:u w:val="single"/>
        </w:rPr>
        <w:t>Rmq :</w:t>
      </w:r>
      <w:r>
        <w:t xml:space="preserve"> </w:t>
      </w:r>
      <w:r>
        <w:rPr>
          <w:rFonts w:eastAsiaTheme="minorEastAsia"/>
        </w:rPr>
        <w:t>L’effet mésomère est prioritaire sur l’effet inductif sauf pour les halogénures.</w:t>
      </w:r>
    </w:p>
    <w:tbl>
      <w:tblPr>
        <w:tblStyle w:val="Grilledetableauclaire"/>
        <w:tblW w:w="0" w:type="auto"/>
        <w:tblLook w:val="0600" w:firstRow="0" w:lastRow="0" w:firstColumn="0" w:lastColumn="0" w:noHBand="1" w:noVBand="1"/>
      </w:tblPr>
      <w:tblGrid>
        <w:gridCol w:w="7335"/>
      </w:tblGrid>
      <w:tr>
        <w:tc>
          <w:tcPr>
            <w:tcW w:w="7335" w:type="dxa"/>
          </w:tcPr>
          <w:p>
            <w:pPr>
              <w:rPr>
                <w:rFonts w:eastAsiaTheme="minorEastAsia"/>
                <w:b/>
              </w:rPr>
            </w:pPr>
            <w:r>
              <w:rPr>
                <w:rFonts w:eastAsiaTheme="minorEastAsia"/>
              </w:rPr>
              <w:t xml:space="preserve">Point méthode : </w:t>
            </w:r>
          </w:p>
          <w:p>
            <w:pPr>
              <w:pStyle w:val="Paragraphedeliste"/>
              <w:numPr>
                <w:ilvl w:val="0"/>
                <w:numId w:val="7"/>
              </w:numPr>
              <w:rPr>
                <w:rFonts w:eastAsiaTheme="minorEastAsia"/>
              </w:rPr>
            </w:pPr>
            <w:r>
              <w:rPr>
                <w:rFonts w:eastAsiaTheme="minorEastAsia"/>
              </w:rPr>
              <w:t>Identifier l’atomes électronégatifs </w:t>
            </w:r>
          </w:p>
          <w:p>
            <w:pPr>
              <w:pStyle w:val="Paragraphedeliste"/>
              <w:numPr>
                <w:ilvl w:val="0"/>
                <w:numId w:val="7"/>
              </w:numPr>
              <w:rPr>
                <w:rFonts w:eastAsiaTheme="minorEastAsia"/>
              </w:rPr>
            </w:pPr>
            <w:r>
              <w:rPr>
                <w:rFonts w:eastAsiaTheme="minorEastAsia"/>
              </w:rPr>
              <w:t>Rechercher les zones avec des effets mésomères.</w:t>
            </w:r>
          </w:p>
          <w:p>
            <w:pPr>
              <w:pStyle w:val="Paragraphedeliste"/>
              <w:numPr>
                <w:ilvl w:val="0"/>
                <w:numId w:val="7"/>
              </w:numPr>
              <w:rPr>
                <w:rFonts w:eastAsiaTheme="minorEastAsia"/>
              </w:rPr>
            </w:pPr>
            <w:r>
              <w:rPr>
                <w:rFonts w:eastAsiaTheme="minorEastAsia"/>
              </w:rPr>
              <w:t>Si 2 sans succès les effets inductifs</w:t>
            </w:r>
          </w:p>
        </w:tc>
      </w:tr>
    </w:tbl>
    <w:p>
      <w:pPr>
        <w:pStyle w:val="Titre2"/>
      </w:pPr>
      <w:r>
        <w:t>Les atomes voisins</w:t>
      </w:r>
    </w:p>
    <w:p>
      <w:r>
        <w:t xml:space="preserve">La polarisation des liaisons </w:t>
      </w:r>
      <w:r>
        <w:rPr>
          <w:rFonts w:ascii="Arial" w:hAnsi="Arial" w:cs="Arial"/>
        </w:rPr>
        <w:t>σ</w:t>
      </w:r>
      <w:r>
        <w:t> se propage aux atomes voisins :</w:t>
      </w:r>
    </w:p>
    <w:p>
      <w:pPr>
        <w:pStyle w:val="Paragraphedeliste"/>
        <w:numPr>
          <w:ilvl w:val="0"/>
          <w:numId w:val="6"/>
        </w:numPr>
      </w:pPr>
      <w:r>
        <w:t>À courte distance. Elle devient négligeable après 3 atomes.</w:t>
      </w:r>
    </w:p>
    <w:p>
      <w:pPr>
        <w:pStyle w:val="Paragraphedeliste"/>
        <w:numPr>
          <w:ilvl w:val="0"/>
          <w:numId w:val="6"/>
        </w:numPr>
      </w:pPr>
      <w:r>
        <w:t>Elle est additive.</w:t>
      </w:r>
    </w:p>
    <w:p>
      <w:pPr>
        <w:pStyle w:val="Paragraphedeliste"/>
        <w:numPr>
          <w:ilvl w:val="0"/>
          <w:numId w:val="6"/>
        </w:numPr>
      </w:pPr>
      <w:r>
        <w:t xml:space="preserve">Elle est accentuée par la présence de liaisons </w:t>
      </w:r>
      <w:r>
        <w:rPr>
          <w:rFonts w:ascii="Arial" w:hAnsi="Arial" w:cs="Arial"/>
        </w:rPr>
        <w:t>π.</w:t>
      </w:r>
    </w:p>
    <w:p>
      <w:r>
        <w:t xml:space="preserve">C’est ce qu’on appelle l’effet inductif : </w:t>
      </w:r>
    </w:p>
    <w:tbl>
      <w:tblPr>
        <w:tblStyle w:val="Grilledetableauclaire"/>
        <w:tblW w:w="0" w:type="auto"/>
        <w:tblLook w:val="04A0" w:firstRow="1" w:lastRow="0" w:firstColumn="1" w:lastColumn="0" w:noHBand="0" w:noVBand="1"/>
      </w:tblPr>
      <w:tblGrid>
        <w:gridCol w:w="1968"/>
        <w:gridCol w:w="2457"/>
        <w:gridCol w:w="291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68" w:type="dxa"/>
          </w:tcPr>
          <w:p>
            <w:r>
              <w:t>(En électrons)</w:t>
            </w:r>
          </w:p>
        </w:tc>
        <w:tc>
          <w:tcPr>
            <w:tcW w:w="2457" w:type="dxa"/>
          </w:tcPr>
          <w:p>
            <w:pPr>
              <w:cnfStyle w:val="100000000000" w:firstRow="1" w:lastRow="0" w:firstColumn="0" w:lastColumn="0" w:oddVBand="0" w:evenVBand="0" w:oddHBand="0" w:evenHBand="0" w:firstRowFirstColumn="0" w:firstRowLastColumn="0" w:lastRowFirstColumn="0" w:lastRowLastColumn="0"/>
              <w:rPr>
                <w:b w:val="0"/>
              </w:rPr>
            </w:pPr>
            <w:r>
              <w:t>Attracteur (-I)</w:t>
            </w:r>
          </w:p>
        </w:tc>
        <w:tc>
          <w:tcPr>
            <w:tcW w:w="2910" w:type="dxa"/>
          </w:tcPr>
          <w:p>
            <w:pPr>
              <w:cnfStyle w:val="100000000000" w:firstRow="1" w:lastRow="0" w:firstColumn="0" w:lastColumn="0" w:oddVBand="0" w:evenVBand="0" w:oddHBand="0" w:evenHBand="0" w:firstRowFirstColumn="0" w:firstRowLastColumn="0" w:lastRowFirstColumn="0" w:lastRowLastColumn="0"/>
              <w:rPr>
                <w:b w:val="0"/>
              </w:rPr>
            </w:pPr>
            <w:r>
              <w:t>Donneur (+I)</w:t>
            </w:r>
          </w:p>
        </w:tc>
      </w:tr>
      <w:tr>
        <w:tc>
          <w:tcPr>
            <w:cnfStyle w:val="001000000000" w:firstRow="0" w:lastRow="0" w:firstColumn="1" w:lastColumn="0" w:oddVBand="0" w:evenVBand="0" w:oddHBand="0" w:evenHBand="0" w:firstRowFirstColumn="0" w:firstRowLastColumn="0" w:lastRowFirstColumn="0" w:lastRowLastColumn="0"/>
            <w:tcW w:w="1968" w:type="dxa"/>
          </w:tcPr>
          <w:p>
            <w:r>
              <w:t>Vis à vis</w:t>
            </w:r>
          </w:p>
        </w:tc>
        <w:tc>
          <w:tcPr>
            <w:tcW w:w="2457" w:type="dxa"/>
          </w:tcPr>
          <w:p>
            <w:pPr>
              <w:cnfStyle w:val="000000000000" w:firstRow="0" w:lastRow="0" w:firstColumn="0" w:lastColumn="0" w:oddVBand="0" w:evenVBand="0" w:oddHBand="0" w:evenHBand="0" w:firstRowFirstColumn="0" w:firstRowLastColumn="0" w:lastRowFirstColumn="0" w:lastRowLastColumn="0"/>
            </w:pPr>
            <w:r>
              <w:t>Alkyle</w:t>
            </w:r>
          </w:p>
        </w:tc>
        <w:tc>
          <w:tcPr>
            <w:tcW w:w="2910" w:type="dxa"/>
          </w:tcPr>
          <w:p>
            <w:pPr>
              <w:cnfStyle w:val="000000000000" w:firstRow="0" w:lastRow="0" w:firstColumn="0" w:lastColumn="0" w:oddVBand="0" w:evenVBand="0" w:oddHBand="0" w:evenHBand="0" w:firstRowFirstColumn="0" w:firstRowLastColumn="0" w:lastRowFirstColumn="0" w:lastRowLastColumn="0"/>
            </w:pPr>
            <w:r>
              <w:t>Alkyle/hétéroatome</w:t>
            </w:r>
          </w:p>
        </w:tc>
      </w:tr>
      <w:tr>
        <w:tc>
          <w:tcPr>
            <w:cnfStyle w:val="001000000000" w:firstRow="0" w:lastRow="0" w:firstColumn="1" w:lastColumn="0" w:oddVBand="0" w:evenVBand="0" w:oddHBand="0" w:evenHBand="0" w:firstRowFirstColumn="0" w:firstRowLastColumn="0" w:lastRowFirstColumn="0" w:lastRowLastColumn="0"/>
            <w:tcW w:w="1968" w:type="dxa"/>
          </w:tcPr>
          <w:p>
            <w:r>
              <w:t>Atomes/groupes</w:t>
            </w:r>
          </w:p>
        </w:tc>
        <w:tc>
          <w:tcPr>
            <w:tcW w:w="2457" w:type="dxa"/>
          </w:tcPr>
          <w:p>
            <w:pPr>
              <w:cnfStyle w:val="000000000000" w:firstRow="0" w:lastRow="0" w:firstColumn="0" w:lastColumn="0" w:oddVBand="0" w:evenVBand="0" w:oddHBand="0" w:evenHBand="0" w:firstRowFirstColumn="0" w:firstRowLastColumn="0" w:lastRowFirstColumn="0" w:lastRowLastColumn="0"/>
              <w:rPr>
                <w:b/>
                <w:lang w:val="en-GB"/>
              </w:rPr>
            </w:pPr>
            <w:r>
              <w:rPr>
                <w:lang w:val="en-GB"/>
              </w:rPr>
              <w:t>F, Br, Cl, I</w:t>
            </w:r>
          </w:p>
          <w:p>
            <w:pPr>
              <w:cnfStyle w:val="000000000000" w:firstRow="0" w:lastRow="0" w:firstColumn="0" w:lastColumn="0" w:oddVBand="0" w:evenVBand="0" w:oddHBand="0" w:evenHBand="0" w:firstRowFirstColumn="0" w:firstRowLastColumn="0" w:lastRowFirstColumn="0" w:lastRowLastColumn="0"/>
              <w:rPr>
                <w:lang w:val="en-GB"/>
              </w:rPr>
            </w:pPr>
            <w:r>
              <w:rPr>
                <w:lang w:val="en-GB"/>
              </w:rPr>
              <w:t>OR, NR</w:t>
            </w:r>
            <w:r>
              <w:rPr>
                <w:vertAlign w:val="subscript"/>
                <w:lang w:val="en-GB"/>
              </w:rPr>
              <w:t>2</w:t>
            </w:r>
            <w:r>
              <w:rPr>
                <w:lang w:val="en-GB"/>
              </w:rPr>
              <w:t>, NO</w:t>
            </w:r>
            <w:r>
              <w:rPr>
                <w:vertAlign w:val="subscript"/>
                <w:lang w:val="en-GB"/>
              </w:rPr>
              <w:t>2</w:t>
            </w:r>
            <w:r>
              <w:rPr>
                <w:lang w:val="en-GB"/>
              </w:rPr>
              <w:t>, CF</w:t>
            </w:r>
            <w:r>
              <w:rPr>
                <w:vertAlign w:val="subscript"/>
                <w:lang w:val="en-GB"/>
              </w:rPr>
              <w:t>3</w:t>
            </w:r>
            <w:r>
              <w:rPr>
                <w:lang w:val="en-GB"/>
              </w:rPr>
              <w:t xml:space="preserve"> NR</w:t>
            </w:r>
            <w:r>
              <w:rPr>
                <w:vertAlign w:val="superscript"/>
                <w:lang w:val="en-GB"/>
              </w:rPr>
              <w:t xml:space="preserve">3 +, </w:t>
            </w:r>
            <w:r>
              <w:rPr>
                <w:lang w:val="en-GB"/>
              </w:rPr>
              <w:t>PR</w:t>
            </w:r>
            <w:r>
              <w:rPr>
                <w:vertAlign w:val="superscript"/>
                <w:lang w:val="en-GB"/>
              </w:rPr>
              <w:t>3 +</w:t>
            </w:r>
            <w:r>
              <w:rPr>
                <w:lang w:val="en-GB"/>
              </w:rPr>
              <w:t>, OR</w:t>
            </w:r>
            <w:r>
              <w:rPr>
                <w:vertAlign w:val="superscript"/>
                <w:lang w:val="en-GB"/>
              </w:rPr>
              <w:t>2 +</w:t>
            </w:r>
            <w:r>
              <w:rPr>
                <w:lang w:val="en-GB"/>
              </w:rPr>
              <w:t>, SR</w:t>
            </w:r>
            <w:r>
              <w:rPr>
                <w:vertAlign w:val="superscript"/>
                <w:lang w:val="en-GB"/>
              </w:rPr>
              <w:t>2 +</w:t>
            </w:r>
            <w:r>
              <w:rPr>
                <w:lang w:val="en-GB"/>
              </w:rPr>
              <w:t xml:space="preserve"> CºCR, RC=CR</w:t>
            </w:r>
            <w:r>
              <w:rPr>
                <w:vertAlign w:val="subscript"/>
                <w:lang w:val="en-GB"/>
              </w:rPr>
              <w:t>2</w:t>
            </w:r>
            <w:r>
              <w:rPr>
                <w:lang w:val="en-GB"/>
              </w:rPr>
              <w:t>, RC=O</w:t>
            </w:r>
          </w:p>
        </w:tc>
        <w:tc>
          <w:tcPr>
            <w:tcW w:w="2910" w:type="dxa"/>
          </w:tcPr>
          <w:p>
            <w:pPr>
              <w:cnfStyle w:val="000000000000" w:firstRow="0" w:lastRow="0" w:firstColumn="0" w:lastColumn="0" w:oddVBand="0" w:evenVBand="0" w:oddHBand="0" w:evenHBand="0" w:firstRowFirstColumn="0" w:firstRowLastColumn="0" w:lastRowFirstColumn="0" w:lastRowLastColumn="0"/>
            </w:pPr>
            <w:r>
              <w:t>Métaux : Li, Na, MgX Groupes alkyles : CH</w:t>
            </w:r>
            <w:r>
              <w:rPr>
                <w:vertAlign w:val="subscript"/>
              </w:rPr>
              <w:t>3</w:t>
            </w:r>
            <w:r>
              <w:t>, CH</w:t>
            </w:r>
            <w:r>
              <w:rPr>
                <w:vertAlign w:val="subscript"/>
              </w:rPr>
              <w:t>2</w:t>
            </w:r>
            <w:r>
              <w:t>CH</w:t>
            </w:r>
            <w:r>
              <w:rPr>
                <w:vertAlign w:val="subscript"/>
              </w:rPr>
              <w:t>3</w:t>
            </w:r>
            <w:r>
              <w:t>, isopropyl, isobutyl</w:t>
            </w:r>
          </w:p>
        </w:tc>
      </w:tr>
    </w:tbl>
    <w:p>
      <w:r>
        <w:t>L’effet inductif est symbolisé sur les liaisons par des flèches.</w:t>
      </w:r>
    </w:p>
    <w:p>
      <w:pPr>
        <w:pStyle w:val="Titre2"/>
      </w:pPr>
      <w:r>
        <w:t>L’effet mésomère</w:t>
      </w:r>
    </w:p>
    <w:p>
      <w:r>
        <w:t>Rappel : les mésomères sont les structures électroniques de la molécule qui se succèdent au cours du temps.</w:t>
      </w:r>
    </w:p>
    <w:p>
      <w:pPr>
        <w:rPr>
          <w:rFonts w:eastAsiaTheme="minorEastAsia"/>
        </w:rPr>
      </w:pPr>
      <w:r>
        <w:t>Les mésomère</w:t>
      </w:r>
      <w:r>
        <w:rPr>
          <w:rFonts w:eastAsiaTheme="minorEastAsia"/>
        </w:rPr>
        <w:t>s existent dans les zones où la molécule possède un enchainement de liaisons :</w:t>
      </w:r>
    </w:p>
    <w:p>
      <w:pPr>
        <w:pStyle w:val="Paragraphedeliste"/>
        <w:numPr>
          <w:ilvl w:val="0"/>
          <w:numId w:val="8"/>
        </w:numPr>
        <w:rPr>
          <w:rFonts w:eastAsiaTheme="minorEastAsia"/>
        </w:rPr>
      </w:pPr>
      <m:oMath>
        <m:r>
          <w:rPr>
            <w:rFonts w:ascii="Cambria Math" w:hAnsi="Cambria Math"/>
          </w:rPr>
          <m:t>nσπ</m:t>
        </m:r>
      </m:oMath>
      <w:r>
        <w:rPr>
          <w:rFonts w:eastAsiaTheme="minorEastAsia"/>
        </w:rPr>
        <w:t xml:space="preserve"> avec l’atome qui possède le doublé non liant (</w:t>
      </w:r>
      <m:oMath>
        <m:r>
          <w:rPr>
            <w:rFonts w:ascii="Cambria Math" w:hAnsi="Cambria Math"/>
          </w:rPr>
          <m:t>n</m:t>
        </m:r>
      </m:oMath>
      <w:r>
        <w:rPr>
          <w:rFonts w:eastAsiaTheme="minorEastAsia"/>
        </w:rPr>
        <w:t>) hybridé sp</w:t>
      </w:r>
      <w:r>
        <w:rPr>
          <w:rFonts w:eastAsiaTheme="minorEastAsia"/>
          <w:vertAlign w:val="superscript"/>
        </w:rPr>
        <w:t>3</w:t>
      </w:r>
      <w:r>
        <w:rPr>
          <w:rFonts w:eastAsiaTheme="minorEastAsia"/>
        </w:rPr>
        <w:t>.</w:t>
      </w:r>
    </w:p>
    <w:p>
      <w:pPr>
        <w:pStyle w:val="Paragraphedeliste"/>
        <w:numPr>
          <w:ilvl w:val="0"/>
          <w:numId w:val="8"/>
        </w:numPr>
        <w:rPr>
          <w:rFonts w:eastAsiaTheme="minorEastAsia"/>
        </w:rPr>
      </w:pPr>
      <m:oMath>
        <m:r>
          <w:rPr>
            <w:rFonts w:ascii="Cambria Math" w:hAnsi="Cambria Math"/>
          </w:rPr>
          <m:t>πσπ</m:t>
        </m:r>
      </m:oMath>
    </w:p>
    <w:p>
      <w:pPr>
        <w:pStyle w:val="Paragraphedeliste"/>
        <w:numPr>
          <w:ilvl w:val="0"/>
          <w:numId w:val="8"/>
        </w:numPr>
        <w:rPr>
          <w:rFonts w:eastAsiaTheme="minorEastAsia"/>
        </w:rPr>
      </w:pPr>
      <m:oMath>
        <m:r>
          <w:rPr>
            <w:rFonts w:ascii="Cambria Math" w:hAnsi="Cambria Math"/>
          </w:rPr>
          <m:t>nσ</m:t>
        </m:r>
      </m:oMath>
      <w:r>
        <w:rPr>
          <w:rFonts w:eastAsiaTheme="minorEastAsia"/>
        </w:rPr>
        <w:t xml:space="preserve"> + carbocation : </w:t>
      </w:r>
      <w:r>
        <w:t>La mésomérie peut avoir lieu sans électron dans le cas des carbocations (</w:t>
      </w:r>
      <w:r>
        <w:rPr>
          <w:rFonts w:eastAsiaTheme="minorEastAsia"/>
        </w:rPr>
        <w:t xml:space="preserve">carbone avec un électron en moins). </w:t>
      </w:r>
    </w:p>
    <w:p>
      <w:pPr>
        <w:rPr>
          <w:rFonts w:eastAsiaTheme="minorEastAsia"/>
        </w:rPr>
      </w:pPr>
      <w:r>
        <w:rPr>
          <w:rFonts w:eastAsiaTheme="minorEastAsia"/>
        </w:rPr>
        <w:t>Attention :  à bien respecter la règle de l’octet pour chaque atome.</w:t>
      </w:r>
    </w:p>
    <w:p>
      <w:pPr>
        <w:pStyle w:val="Titre2"/>
        <w:rPr>
          <w:rFonts w:eastAsiaTheme="minorEastAsia"/>
        </w:rPr>
      </w:pPr>
      <w:r>
        <w:rPr>
          <w:rFonts w:eastAsiaTheme="minorEastAsia"/>
        </w:rPr>
        <w:t>Électronégativité et effet inductif/mésomère</w:t>
      </w:r>
    </w:p>
    <w:tbl>
      <w:tblPr>
        <w:tblStyle w:val="Grilledetableauclaire"/>
        <w:tblW w:w="0" w:type="auto"/>
        <w:tblLook w:val="04A0" w:firstRow="1" w:lastRow="0" w:firstColumn="1" w:lastColumn="0" w:noHBand="0" w:noVBand="1"/>
      </w:tblPr>
      <w:tblGrid>
        <w:gridCol w:w="3256"/>
        <w:gridCol w:w="2409"/>
        <w:gridCol w:w="1670"/>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tc>
        <w:tc>
          <w:tcPr>
            <w:tcW w:w="2409" w:type="dxa"/>
          </w:tcPr>
          <w:p>
            <w:pPr>
              <w:cnfStyle w:val="100000000000" w:firstRow="1" w:lastRow="0" w:firstColumn="0" w:lastColumn="0" w:oddVBand="0" w:evenVBand="0" w:oddHBand="0" w:evenHBand="0" w:firstRowFirstColumn="0" w:firstRowLastColumn="0" w:lastRowFirstColumn="0" w:lastRowLastColumn="0"/>
            </w:pPr>
            <w:r>
              <w:t>Électrophile en déficit</w:t>
            </w:r>
          </w:p>
        </w:tc>
        <w:tc>
          <w:tcPr>
            <w:tcW w:w="1670" w:type="dxa"/>
          </w:tcPr>
          <w:p>
            <w:pPr>
              <w:cnfStyle w:val="100000000000" w:firstRow="1" w:lastRow="0" w:firstColumn="0" w:lastColumn="0" w:oddVBand="0" w:evenVBand="0" w:oddHBand="0" w:evenHBand="0" w:firstRowFirstColumn="0" w:firstRowLastColumn="0" w:lastRowFirstColumn="0" w:lastRowLastColumn="0"/>
            </w:pPr>
            <w:r>
              <w:t>Nucléophile en excès</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(excès d’électrons)</w:t>
            </w:r>
          </w:p>
          <w:p>
            <w:r>
              <w:t>Receveur</w:t>
            </w:r>
          </w:p>
        </w:tc>
        <w:tc>
          <w:tcPr>
            <w:tcW w:w="2409" w:type="dxa"/>
          </w:tcPr>
          <w:p>
            <w:pPr>
              <w:cnfStyle w:val="000000000000" w:firstRow="0" w:lastRow="0" w:firstColumn="0" w:lastColumn="0" w:oddVBand="0" w:evenVBand="0" w:oddHBand="0" w:evenHBand="0" w:firstRowFirstColumn="0" w:firstRowLastColumn="0" w:lastRowFirstColumn="0" w:lastRowLastColumn="0"/>
            </w:pPr>
            <w:r>
              <w:t>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Déstabilise</w:t>
            </w:r>
          </w:p>
        </w:tc>
      </w:tr>
      <w:tr>
        <w:tc>
          <w:tcPr>
            <w:cnfStyle w:val="001000000000" w:firstRow="0" w:lastRow="0" w:firstColumn="1" w:lastColumn="0" w:oddVBand="0" w:evenVBand="0" w:oddHBand="0" w:evenHBand="0" w:firstRowFirstColumn="0" w:firstRowLastColumn="0" w:lastRowFirstColumn="0" w:lastRowLastColumn="0"/>
            <w:tcW w:w="3256" w:type="dxa"/>
          </w:tcPr>
          <w:p>
            <w:pPr>
              <w:rPr>
                <w:b w:val="0"/>
              </w:rPr>
            </w:pPr>
            <w:r>
              <w:t>I – et M – (déficit d’électrons)</w:t>
            </w:r>
          </w:p>
          <w:p>
            <w:r>
              <w:t>Donneur</w:t>
            </w:r>
          </w:p>
        </w:tc>
        <w:tc>
          <w:tcPr>
            <w:tcW w:w="2409" w:type="dxa"/>
          </w:tcPr>
          <w:p>
            <w:pPr>
              <w:cnfStyle w:val="000000000000" w:firstRow="0" w:lastRow="0" w:firstColumn="0" w:lastColumn="0" w:oddVBand="0" w:evenVBand="0" w:oddHBand="0" w:evenHBand="0" w:firstRowFirstColumn="0" w:firstRowLastColumn="0" w:lastRowFirstColumn="0" w:lastRowLastColumn="0"/>
            </w:pPr>
            <w:r>
              <w:t>Déstabilise</w:t>
            </w:r>
          </w:p>
        </w:tc>
        <w:tc>
          <w:tcPr>
            <w:tcW w:w="1670" w:type="dxa"/>
          </w:tcPr>
          <w:p>
            <w:pPr>
              <w:cnfStyle w:val="000000000000" w:firstRow="0" w:lastRow="0" w:firstColumn="0" w:lastColumn="0" w:oddVBand="0" w:evenVBand="0" w:oddHBand="0" w:evenHBand="0" w:firstRowFirstColumn="0" w:firstRowLastColumn="0" w:lastRowFirstColumn="0" w:lastRowLastColumn="0"/>
            </w:pPr>
            <w:r>
              <w:t>Stabilise</w:t>
            </w:r>
          </w:p>
        </w:tc>
      </w:tr>
    </w:tbl>
    <w:p>
      <w:r>
        <w:rPr>
          <w:u w:val="single"/>
        </w:rPr>
        <w:t>NB :</w:t>
      </w:r>
      <w:r>
        <w:t xml:space="preserve"> on dit que ça stabilise car on compense l’excès ou le manque d’électrons.</w:t>
      </w:r>
    </w:p>
    <w:p>
      <w:pPr>
        <w:pStyle w:val="Titre1"/>
      </w:pPr>
      <w:r>
        <w:lastRenderedPageBreak/>
        <w:t>Les interactions moléculaires</w:t>
      </w:r>
    </w:p>
    <w:p>
      <w:pPr>
        <w:rPr>
          <w:rFonts w:eastAsiaTheme="minorEastAsia"/>
        </w:rPr>
      </w:pPr>
      <w:r>
        <w:rPr>
          <w:rFonts w:eastAsiaTheme="minorEastAsia"/>
        </w:rPr>
        <w:t>Il existe trois catégories d’interactions inter moléculaire dû notamment aux effets électroniques :</w:t>
      </w:r>
    </w:p>
    <w:p>
      <w:pPr>
        <w:pStyle w:val="Paragraphedeliste"/>
        <w:numPr>
          <w:ilvl w:val="0"/>
          <w:numId w:val="1"/>
        </w:numPr>
        <w:rPr>
          <w:rFonts w:eastAsiaTheme="minorEastAsia"/>
        </w:rPr>
      </w:pPr>
      <w:r>
        <w:rPr>
          <w:rFonts w:eastAsiaTheme="minorEastAsia"/>
        </w:rPr>
        <w:t>Interaction électrostatique</w:t>
      </w:r>
    </w:p>
    <w:p>
      <w:pPr>
        <w:pStyle w:val="Paragraphedeliste"/>
        <w:numPr>
          <w:ilvl w:val="1"/>
          <w:numId w:val="1"/>
        </w:numPr>
        <w:rPr>
          <w:rFonts w:eastAsiaTheme="minorEastAsia"/>
        </w:rPr>
      </w:pPr>
      <w:r>
        <w:rPr>
          <w:rFonts w:eastAsiaTheme="minorEastAsia"/>
        </w:rPr>
        <w:t xml:space="preserve">Charge-charge </w:t>
      </w:r>
    </w:p>
    <w:p>
      <w:pPr>
        <w:pStyle w:val="Paragraphedeliste"/>
        <w:numPr>
          <w:ilvl w:val="1"/>
          <w:numId w:val="1"/>
        </w:numPr>
        <w:rPr>
          <w:rFonts w:eastAsiaTheme="minorEastAsia"/>
        </w:rPr>
      </w:pPr>
      <w:r>
        <w:rPr>
          <w:rFonts w:eastAsiaTheme="minorEastAsia"/>
        </w:rPr>
        <w:t>Charge-dipôle</w:t>
      </w:r>
    </w:p>
    <w:p>
      <w:pPr>
        <w:pStyle w:val="Paragraphedeliste"/>
        <w:numPr>
          <w:ilvl w:val="1"/>
          <w:numId w:val="1"/>
        </w:numPr>
        <w:rPr>
          <w:rFonts w:eastAsiaTheme="minorEastAsia"/>
        </w:rPr>
      </w:pPr>
      <w:r>
        <w:rPr>
          <w:rFonts w:eastAsiaTheme="minorEastAsia"/>
        </w:rPr>
        <w:t>Dipôle-dipôle (exemple, liaison d’hydrogène).</w:t>
      </w:r>
    </w:p>
    <w:p>
      <w:pPr>
        <w:pStyle w:val="Paragraphedeliste"/>
        <w:numPr>
          <w:ilvl w:val="0"/>
          <w:numId w:val="1"/>
        </w:numPr>
        <w:rPr>
          <w:rFonts w:eastAsiaTheme="minorEastAsia"/>
        </w:rPr>
      </w:pPr>
      <w:r>
        <w:t>Interactions induites : Debye et London (dispersion) ceux des molécules apolaires qui sont polarisables, par exemple, par l’ajout de molécules polaires.</w:t>
      </w:r>
    </w:p>
    <w:p>
      <w:pPr>
        <w:pStyle w:val="Paragraphedeliste"/>
        <w:numPr>
          <w:ilvl w:val="0"/>
          <w:numId w:val="1"/>
        </w:numPr>
        <w:rPr>
          <w:rFonts w:eastAsiaTheme="minorEastAsia"/>
        </w:rPr>
      </w:pPr>
      <w:r>
        <w:rPr>
          <w:rFonts w:eastAsiaTheme="minorEastAsia"/>
        </w:rPr>
        <w:t>Interactions hydrophobes (exemple : les micelles) molécules qui auront tendance à se regrouper par des liaisons de Van Der Vaal.</w:t>
      </w:r>
    </w:p>
    <w:p>
      <w:pPr>
        <w:pStyle w:val="Titre2"/>
      </w:pPr>
      <w:r>
        <w:t>Les solvants et la solvatation</w:t>
      </w:r>
    </w:p>
    <w:p>
      <w:pPr>
        <w:rPr>
          <w:rFonts w:eastAsiaTheme="minorEastAsia"/>
        </w:rPr>
      </w:pPr>
      <w:r>
        <w:t>On classe les solvants en fonction de trois propriétés :</w:t>
      </w:r>
    </w:p>
    <w:p>
      <w:pPr>
        <w:pStyle w:val="Paragraphedeliste"/>
        <w:numPr>
          <w:ilvl w:val="0"/>
          <w:numId w:val="2"/>
        </w:numPr>
        <w:rPr>
          <w:rFonts w:eastAsiaTheme="minorEastAsia"/>
        </w:rPr>
      </w:pPr>
      <w:r>
        <w:rPr>
          <w:rFonts w:eastAsiaTheme="minorEastAsia"/>
        </w:rPr>
        <w:t>pKa, mesure la capacité à céder un proton.</w:t>
      </w:r>
    </w:p>
    <w:p>
      <w:pPr>
        <w:pStyle w:val="Paragraphedeliste"/>
        <w:numPr>
          <w:ilvl w:val="0"/>
          <w:numId w:val="2"/>
        </w:numPr>
        <w:rPr>
          <w:rFonts w:eastAsiaTheme="minorEastAsia"/>
        </w:rPr>
      </w:pPr>
      <w:r>
        <w:rPr>
          <w:rFonts w:eastAsiaTheme="minorEastAsia"/>
        </w:rPr>
        <w:t>Les moments dipolaires.</w:t>
      </w:r>
    </w:p>
    <w:p>
      <w:pPr>
        <w:pStyle w:val="Paragraphedeliste"/>
        <w:numPr>
          <w:ilvl w:val="0"/>
          <w:numId w:val="2"/>
        </w:numPr>
        <w:rPr>
          <w:rFonts w:eastAsiaTheme="minorEastAsia"/>
        </w:rPr>
      </w:pPr>
      <w:r>
        <w:rPr>
          <w:rFonts w:eastAsiaTheme="minorEastAsia"/>
        </w:rPr>
        <w:t>Constante diélectrique qui caractérise le pouvoir dissociant.</w:t>
      </w:r>
    </w:p>
    <w:p>
      <w:pPr>
        <w:rPr>
          <w:rFonts w:eastAsiaTheme="minorEastAsia"/>
        </w:rPr>
      </w:pPr>
      <w:r>
        <w:rPr>
          <w:rStyle w:val="Accentuation"/>
        </w:rPr>
        <w:t>Proticité</w:t>
      </w:r>
      <w:r>
        <w:rPr>
          <w:rFonts w:eastAsiaTheme="minorEastAsia"/>
        </w:rPr>
        <w:t xml:space="preserve"> aptitude à former des liaisons hydrogènes.</w:t>
      </w:r>
    </w:p>
    <w:p>
      <w:pPr>
        <w:rPr>
          <w:rFonts w:eastAsiaTheme="minorEastAsia"/>
        </w:rPr>
      </w:pPr>
      <w:r>
        <w:rPr>
          <w:rFonts w:eastAsiaTheme="minorEastAsia"/>
        </w:rPr>
        <w:t>Trois types de solvants :</w:t>
      </w:r>
    </w:p>
    <w:p>
      <w:pPr>
        <w:pStyle w:val="Paragraphedeliste"/>
        <w:numPr>
          <w:ilvl w:val="0"/>
          <w:numId w:val="9"/>
        </w:numPr>
        <w:rPr>
          <w:rFonts w:eastAsiaTheme="minorEastAsia"/>
        </w:rPr>
      </w:pPr>
      <w:r>
        <w:rPr>
          <w:rFonts w:eastAsiaTheme="minorEastAsia"/>
        </w:rPr>
        <w:t>Polaire protique donneur de liaisons hydrogènes.</w:t>
      </w:r>
    </w:p>
    <w:p>
      <w:pPr>
        <w:pStyle w:val="Paragraphedeliste"/>
        <w:numPr>
          <w:ilvl w:val="0"/>
          <w:numId w:val="9"/>
        </w:numPr>
        <w:rPr>
          <w:rFonts w:eastAsiaTheme="minorEastAsia"/>
        </w:rPr>
      </w:pPr>
      <w:r>
        <w:rPr>
          <w:rFonts w:eastAsiaTheme="minorEastAsia"/>
        </w:rPr>
        <w:t>Polaire aprotique accepteur de liaisons hydrogènes.</w:t>
      </w:r>
    </w:p>
    <w:p>
      <w:pPr>
        <w:pStyle w:val="Paragraphedeliste"/>
        <w:numPr>
          <w:ilvl w:val="0"/>
          <w:numId w:val="9"/>
        </w:numPr>
        <w:rPr>
          <w:rFonts w:eastAsiaTheme="minorEastAsia"/>
        </w:rPr>
      </w:pPr>
      <w:r>
        <w:rPr>
          <w:rFonts w:eastAsiaTheme="minorEastAsia"/>
        </w:rPr>
        <w:t>Apolaire (aprotique) qui dissolvent les composées apolaires.</w:t>
      </w:r>
    </w:p>
    <w:p>
      <w:pPr>
        <w:rPr>
          <w:rFonts w:eastAsiaTheme="minorEastAsia"/>
        </w:rPr>
      </w:pPr>
      <w:r>
        <w:rPr>
          <w:rFonts w:eastAsiaTheme="minorEastAsia"/>
        </w:rPr>
        <w:t>Exemple de solvant à connaitre :</w:t>
      </w:r>
    </w:p>
    <w:tbl>
      <w:tblPr>
        <w:tblStyle w:val="Grilledetableauclaire"/>
        <w:tblW w:w="0" w:type="auto"/>
        <w:tblLook w:val="0420" w:firstRow="1" w:lastRow="0" w:firstColumn="0"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tcW w:w="2445" w:type="dxa"/>
          </w:tcPr>
          <w:p>
            <w:pPr>
              <w:rPr>
                <w:rFonts w:eastAsiaTheme="minorEastAsia"/>
              </w:rPr>
            </w:pPr>
            <w:r>
              <w:rPr>
                <w:rFonts w:eastAsiaTheme="minorEastAsia"/>
              </w:rPr>
              <w:t>Polaire protique</w:t>
            </w:r>
          </w:p>
        </w:tc>
        <w:tc>
          <w:tcPr>
            <w:tcW w:w="2445" w:type="dxa"/>
          </w:tcPr>
          <w:p>
            <w:pPr>
              <w:rPr>
                <w:rFonts w:eastAsiaTheme="minorEastAsia"/>
              </w:rPr>
            </w:pPr>
            <w:r>
              <w:rPr>
                <w:rFonts w:eastAsiaTheme="minorEastAsia"/>
              </w:rPr>
              <w:t>Polaire aprotique</w:t>
            </w:r>
          </w:p>
        </w:tc>
        <w:tc>
          <w:tcPr>
            <w:tcW w:w="2445" w:type="dxa"/>
          </w:tcPr>
          <w:p>
            <w:pPr>
              <w:rPr>
                <w:rFonts w:eastAsiaTheme="minorEastAsia"/>
              </w:rPr>
            </w:pPr>
            <w:r>
              <w:rPr>
                <w:rFonts w:eastAsiaTheme="minorEastAsia"/>
              </w:rPr>
              <w:t>Apolaire</w:t>
            </w:r>
          </w:p>
        </w:tc>
      </w:tr>
      <w:tr>
        <w:tc>
          <w:tcPr>
            <w:tcW w:w="2445" w:type="dxa"/>
          </w:tcPr>
          <w:p>
            <w:pPr>
              <w:rPr>
                <w:rFonts w:eastAsiaTheme="minorEastAsia"/>
              </w:rPr>
            </w:pPr>
            <w:r>
              <w:rPr>
                <w:rFonts w:eastAsiaTheme="minorEastAsia"/>
              </w:rPr>
              <w:t>Eau</w:t>
            </w:r>
            <w:r>
              <w:t>, méthanol (MeOH), alcool</w:t>
            </w:r>
          </w:p>
        </w:tc>
        <w:tc>
          <w:tcPr>
            <w:tcW w:w="2445" w:type="dxa"/>
          </w:tcPr>
          <w:p>
            <w:pPr>
              <w:rPr>
                <w:rFonts w:eastAsiaTheme="minorEastAsia"/>
                <w:lang w:val="en-GB"/>
              </w:rPr>
            </w:pPr>
            <w:r>
              <w:rPr>
                <w:lang w:val="en-GB"/>
              </w:rPr>
              <w:t>Acétone (cétone), DMF, DMSO, THF</w:t>
            </w:r>
          </w:p>
        </w:tc>
        <w:tc>
          <w:tcPr>
            <w:tcW w:w="2445" w:type="dxa"/>
          </w:tcPr>
          <w:p>
            <w:pPr>
              <w:rPr>
                <w:rFonts w:eastAsiaTheme="minorEastAsia"/>
                <w:lang w:val="en-GB"/>
              </w:rPr>
            </w:pPr>
          </w:p>
        </w:tc>
      </w:tr>
    </w:tbl>
    <w:p>
      <w:pPr>
        <w:pStyle w:val="Titre1"/>
        <w:rPr>
          <w:rStyle w:val="Accentuationlgre"/>
        </w:rPr>
      </w:pPr>
      <w:r>
        <w:t>Notions élémentaires de réactivité et réactions acido-basiques</w:t>
      </w:r>
    </w:p>
    <w:p>
      <w:pPr>
        <w:rPr>
          <w:rFonts w:eastAsiaTheme="minorEastAsia"/>
        </w:rPr>
      </w:pPr>
      <w:r>
        <w:rPr>
          <w:rFonts w:eastAsiaTheme="minorEastAsia"/>
        </w:rPr>
        <w:t xml:space="preserve">Les groupements fonctionnels sont les parties de la molécule capables de réagir puisque ce sont les sites réactifs de la molécule. </w:t>
      </w:r>
    </w:p>
    <w:p>
      <w:r>
        <w:t>Une réaction chimique est la modification de la structure d’une molécule à cause de :</w:t>
      </w:r>
    </w:p>
    <w:tbl>
      <w:tblPr>
        <w:tblStyle w:val="Grilledetableauclaire"/>
        <w:tblW w:w="0" w:type="auto"/>
        <w:tblLook w:val="0400" w:firstRow="0" w:lastRow="0" w:firstColumn="0" w:lastColumn="0" w:noHBand="0" w:noVBand="1"/>
      </w:tblPr>
      <w:tblGrid>
        <w:gridCol w:w="3114"/>
        <w:gridCol w:w="4221"/>
      </w:tblGrid>
      <w:tr>
        <w:tc>
          <w:tcPr>
            <w:tcW w:w="3114" w:type="dxa"/>
          </w:tcPr>
          <w:p>
            <w:r>
              <w:t>Soit son instabilité</w:t>
            </w:r>
          </w:p>
        </w:tc>
        <w:tc>
          <w:tcPr>
            <w:tcW w:w="4221" w:type="dxa"/>
          </w:tcPr>
          <w:p>
            <w:r>
              <w:t>Soit du choc avec un autre molécule</w:t>
            </w:r>
          </w:p>
        </w:tc>
      </w:tr>
    </w:tbl>
    <w:p>
      <w:r>
        <w:t>Le résultat d’une réaction chimique dépend :</w:t>
      </w:r>
    </w:p>
    <w:tbl>
      <w:tblPr>
        <w:tblStyle w:val="Grilledetableauclaire"/>
        <w:tblW w:w="0" w:type="auto"/>
        <w:tblLook w:val="0400" w:firstRow="0" w:lastRow="0" w:firstColumn="0" w:lastColumn="0" w:noHBand="0" w:noVBand="1"/>
      </w:tblPr>
      <w:tblGrid>
        <w:gridCol w:w="3667"/>
        <w:gridCol w:w="3668"/>
      </w:tblGrid>
      <w:tr>
        <w:tc>
          <w:tcPr>
            <w:tcW w:w="3667" w:type="dxa"/>
          </w:tcPr>
          <w:p>
            <w:r>
              <w:t>Vitesse de réaction (cinétique)</w:t>
            </w:r>
          </w:p>
        </w:tc>
        <w:tc>
          <w:tcPr>
            <w:tcW w:w="3668" w:type="dxa"/>
          </w:tcPr>
          <w:p>
            <w:r>
              <w:t>La différence d’énergie entre l’état initial et final (thermodynamique)</w:t>
            </w:r>
          </w:p>
        </w:tc>
      </w:tr>
    </w:tbl>
    <w:p>
      <w:pPr>
        <w:pStyle w:val="Titre2"/>
      </w:pPr>
      <w:r>
        <w:t>Écriture des mécanismes</w:t>
      </w:r>
    </w:p>
    <w:p>
      <w:r>
        <w:t>Les mécanismes sont les étapes élémentaires qui mènent à la réaction.</w:t>
      </w:r>
    </w:p>
    <w:p>
      <w:pPr>
        <w:rPr>
          <w:rFonts w:eastAsiaTheme="minorEastAsia"/>
        </w:rPr>
      </w:pPr>
      <w:r>
        <w:rPr>
          <w:rFonts w:eastAsiaTheme="minorEastAsia"/>
        </w:rPr>
        <w:t>Il existe deux types de mécanismes :</w:t>
      </w:r>
    </w:p>
    <w:tbl>
      <w:tblPr>
        <w:tblStyle w:val="Grilledetableauclaire"/>
        <w:tblW w:w="0" w:type="auto"/>
        <w:tblLook w:val="0400" w:firstRow="0" w:lastRow="0" w:firstColumn="0" w:lastColumn="0" w:noHBand="0" w:noVBand="1"/>
      </w:tblPr>
      <w:tblGrid>
        <w:gridCol w:w="3667"/>
        <w:gridCol w:w="3668"/>
      </w:tblGrid>
      <w:tr>
        <w:tc>
          <w:tcPr>
            <w:tcW w:w="3667" w:type="dxa"/>
          </w:tcPr>
          <w:p>
            <w:pPr>
              <w:rPr>
                <w:rFonts w:eastAsiaTheme="minorEastAsia"/>
              </w:rPr>
            </w:pPr>
            <w:r>
              <w:rPr>
                <w:rFonts w:eastAsiaTheme="minorEastAsia"/>
              </w:rPr>
              <w:t>Homolytique (</w:t>
            </w:r>
            <w:r>
              <w:t>passage par des espèces radicalaires)</w:t>
            </w:r>
          </w:p>
        </w:tc>
        <w:tc>
          <w:tcPr>
            <w:tcW w:w="3668" w:type="dxa"/>
          </w:tcPr>
          <w:p>
            <w:pPr>
              <w:rPr>
                <w:rFonts w:eastAsiaTheme="minorEastAsia"/>
              </w:rPr>
            </w:pPr>
            <w:r>
              <w:rPr>
                <w:rFonts w:eastAsiaTheme="minorEastAsia"/>
              </w:rPr>
              <w:t>Hétérolytique (</w:t>
            </w:r>
            <w:r>
              <w:t>passage par des intermédiaires ioniques)</w:t>
            </w:r>
          </w:p>
        </w:tc>
      </w:tr>
    </w:tbl>
    <w:p>
      <w:pPr>
        <w:rPr>
          <w:rFonts w:eastAsiaTheme="minorEastAsia"/>
        </w:rPr>
      </w:pPr>
      <w:r>
        <w:rPr>
          <w:rFonts w:eastAsiaTheme="minorEastAsia"/>
          <w:u w:val="single"/>
        </w:rPr>
        <w:t>NB :</w:t>
      </w:r>
      <w:r>
        <w:rPr>
          <w:rFonts w:eastAsiaTheme="minorEastAsia"/>
        </w:rPr>
        <w:t xml:space="preserve"> En biologie, la majorité des étapes est de type hétérolytique.</w:t>
      </w:r>
    </w:p>
    <w:p>
      <w:pPr>
        <w:rPr>
          <w:rFonts w:eastAsiaTheme="minorEastAsia"/>
        </w:rPr>
      </w:pPr>
      <w:r>
        <w:t>Les mécanismes sont indiqués par des flèches allant des électrons vers les sites électrophiles. Une demi-flèche permet de signaler le déplacement d’un seul électron.</w:t>
      </w:r>
      <w:r>
        <w:rPr>
          <w:rFonts w:eastAsiaTheme="minorEastAsia"/>
        </w:rPr>
        <w:t xml:space="preserve"> </w:t>
      </w:r>
    </w:p>
    <w:p>
      <w:pPr>
        <w:rPr>
          <w:rFonts w:eastAsiaTheme="minorEastAsia"/>
        </w:rPr>
      </w:pPr>
      <w:r>
        <w:rPr>
          <w:rFonts w:eastAsiaTheme="minorEastAsia"/>
        </w:rPr>
        <w:t>La carence d’un électron est symbolisée par une case vide.</w:t>
      </w:r>
    </w:p>
    <w:p>
      <w:pPr>
        <w:pStyle w:val="Titre2"/>
        <w:rPr>
          <w:rFonts w:eastAsiaTheme="minorEastAsia"/>
        </w:rPr>
      </w:pPr>
      <w:r>
        <w:rPr>
          <w:rFonts w:eastAsiaTheme="minorEastAsia"/>
        </w:rPr>
        <w:t>Les types de réactions</w:t>
      </w:r>
    </w:p>
    <w:p>
      <w:pPr>
        <w:rPr>
          <w:rFonts w:eastAsiaTheme="minorEastAsia"/>
        </w:rPr>
      </w:pPr>
      <w:r>
        <w:rPr>
          <w:rFonts w:eastAsiaTheme="minorEastAsia"/>
        </w:rPr>
        <w:t>On distingue 6 types de réactions chimiques :</w:t>
      </w:r>
    </w:p>
    <w:p>
      <w:pPr>
        <w:pStyle w:val="Paragraphedeliste"/>
        <w:numPr>
          <w:ilvl w:val="0"/>
          <w:numId w:val="3"/>
        </w:numPr>
      </w:pPr>
      <w:r>
        <w:rPr>
          <w:rStyle w:val="Accentuation"/>
        </w:rPr>
        <w:t>Substitution</w:t>
      </w:r>
      <w:r>
        <w:t xml:space="preserve"> remplacement d’un atome par un autre.</w:t>
      </w:r>
    </w:p>
    <w:p>
      <w:pPr>
        <w:pStyle w:val="Paragraphedeliste"/>
        <w:numPr>
          <w:ilvl w:val="0"/>
          <w:numId w:val="3"/>
        </w:numPr>
      </w:pPr>
      <w:r>
        <w:rPr>
          <w:rStyle w:val="Accentuation"/>
        </w:rPr>
        <w:t>Transposition</w:t>
      </w:r>
      <w:r>
        <w:t xml:space="preserve"> même formule brute avec modification du squelette carboné.</w:t>
      </w:r>
    </w:p>
    <w:p>
      <w:pPr>
        <w:pStyle w:val="Paragraphedeliste"/>
        <w:numPr>
          <w:ilvl w:val="0"/>
          <w:numId w:val="3"/>
        </w:numPr>
      </w:pPr>
      <w:r>
        <w:rPr>
          <w:rStyle w:val="Accentuation"/>
        </w:rPr>
        <w:lastRenderedPageBreak/>
        <w:t>Oxydo-réduction</w:t>
      </w:r>
      <w:r>
        <w:t xml:space="preserve"> réaction durant laquelle il y a transfert d’électrons. L’espèce qui capte les électrons est appelée « oxydant » et celle qui les cède, « réducteur ».</w:t>
      </w:r>
    </w:p>
    <w:p>
      <w:pPr>
        <w:pStyle w:val="Paragraphedeliste"/>
        <w:numPr>
          <w:ilvl w:val="0"/>
          <w:numId w:val="3"/>
        </w:numPr>
        <w:rPr>
          <w:rFonts w:eastAsiaTheme="minorEastAsia"/>
        </w:rPr>
      </w:pPr>
      <w:r>
        <w:rPr>
          <w:rStyle w:val="Accentuation"/>
        </w:rPr>
        <w:t>Acido-basique</w:t>
      </w:r>
      <w:r>
        <w:rPr>
          <w:rFonts w:eastAsiaTheme="minorEastAsia"/>
        </w:rPr>
        <w:t xml:space="preserve"> un échange de protons.</w:t>
      </w:r>
    </w:p>
    <w:p>
      <w:pPr>
        <w:pStyle w:val="Paragraphedeliste"/>
        <w:numPr>
          <w:ilvl w:val="0"/>
          <w:numId w:val="3"/>
        </w:numPr>
      </w:pPr>
      <w:r>
        <w:rPr>
          <w:rStyle w:val="Accentuation"/>
        </w:rPr>
        <w:t>Addition</w:t>
      </w:r>
      <w:r>
        <w:t xml:space="preserve"> suppression d’une liaison Pi pour deux nouvelles liaisons sigma.</w:t>
      </w:r>
    </w:p>
    <w:p>
      <w:pPr>
        <w:pStyle w:val="Paragraphedeliste"/>
        <w:numPr>
          <w:ilvl w:val="0"/>
          <w:numId w:val="3"/>
        </w:numPr>
      </w:pPr>
      <w:r>
        <w:rPr>
          <w:rStyle w:val="Accentuation"/>
        </w:rPr>
        <w:t>Élimination</w:t>
      </w:r>
      <w:r>
        <w:t xml:space="preserve"> suppression de deux liaisons simple (</w:t>
      </w:r>
      <m:oMath>
        <m:r>
          <w:rPr>
            <w:rFonts w:ascii="Cambria Math" w:hAnsi="Cambria Math"/>
          </w:rPr>
          <m:t>σ</m:t>
        </m:r>
      </m:oMath>
      <w:r>
        <w:t>) pour une double (</w:t>
      </w:r>
      <m:oMath>
        <m:r>
          <w:rPr>
            <w:rFonts w:ascii="Cambria Math" w:hAnsi="Cambria Math"/>
          </w:rPr>
          <m:t>π</m:t>
        </m:r>
      </m:oMath>
      <w:r>
        <w:t>).</w:t>
      </w:r>
    </w:p>
    <w:p>
      <w:pPr>
        <w:rPr>
          <w:rFonts w:eastAsiaTheme="minorEastAsia"/>
        </w:rPr>
      </w:pPr>
      <w:r>
        <w:rPr>
          <w:rFonts w:eastAsiaTheme="minorEastAsia"/>
        </w:rPr>
        <w:t>Une réaction est dite :</w:t>
      </w:r>
    </w:p>
    <w:p>
      <w:pPr>
        <w:pStyle w:val="Paragraphedeliste"/>
        <w:numPr>
          <w:ilvl w:val="0"/>
          <w:numId w:val="4"/>
        </w:numPr>
      </w:pPr>
      <w:r>
        <w:rPr>
          <w:rFonts w:eastAsiaTheme="minorEastAsia"/>
        </w:rPr>
        <w:t xml:space="preserve">Chimio sélective : </w:t>
      </w:r>
      <w:r>
        <w:t>si elle ne modifie qu’un des sites réactionnels de la molécule.</w:t>
      </w:r>
    </w:p>
    <w:p>
      <w:pPr>
        <w:pStyle w:val="Paragraphedeliste"/>
        <w:numPr>
          <w:ilvl w:val="0"/>
          <w:numId w:val="4"/>
        </w:numPr>
      </w:pPr>
      <w:r>
        <w:t>Régiosélective : si les produits sont des isomères de position et s’ils sont obtenus dans des proportions différentes.</w:t>
      </w:r>
    </w:p>
    <w:p>
      <w:pPr>
        <w:pStyle w:val="Paragraphedeliste"/>
        <w:numPr>
          <w:ilvl w:val="0"/>
          <w:numId w:val="4"/>
        </w:numPr>
      </w:pPr>
      <w:r>
        <w:t>Stéréosélective si les produits obtenus sont des isomères de conformation (stéréoisomère) et qu’ils sont dans des proportions différentes.</w:t>
      </w:r>
    </w:p>
    <w:p>
      <w:pPr>
        <w:pStyle w:val="Titre2"/>
      </w:pPr>
      <w:r>
        <w:t>Les intermédiaires réactionnels</w:t>
      </w:r>
    </w:p>
    <w:p>
      <w:r>
        <w:t>Les intermédiaires réactionnels sont des états de passage de réactions métastables et observables (par opposition à l’état de transition qui lui est fugace et non observable).</w:t>
      </w:r>
    </w:p>
    <w:p>
      <w:r>
        <w:t>L’intermédiaire réactionnel sera toujours la molécule la plus stable notamment dans le cas des carbocations. La stabilité du carbocation dépend des groupements voisins. Plus il sera substitué, plus il pourra compenser la perte d’électrons grâce à l’effet inductif.</w:t>
      </w:r>
    </w:p>
    <w:p>
      <w:r>
        <w:t>Le carbocation se formera toujours là où :</w:t>
      </w:r>
    </w:p>
    <w:p>
      <w:pPr>
        <w:pStyle w:val="Paragraphedeliste"/>
        <w:numPr>
          <w:ilvl w:val="0"/>
          <w:numId w:val="18"/>
        </w:numPr>
      </w:pPr>
      <w:r>
        <w:t>Effet mésomère.</w:t>
      </w:r>
    </w:p>
    <w:p>
      <w:pPr>
        <w:pStyle w:val="Paragraphedeliste"/>
        <w:numPr>
          <w:ilvl w:val="0"/>
          <w:numId w:val="18"/>
        </w:numPr>
      </w:pPr>
      <w:r>
        <w:t xml:space="preserve">Le nombre substituants est le plus élevé: III &gt; II &gt; I. </w:t>
      </w:r>
    </w:p>
    <w:p>
      <w:pPr>
        <w:rPr>
          <w:rFonts w:eastAsiaTheme="minorEastAsia"/>
        </w:rPr>
      </w:pPr>
      <w:r>
        <w:rPr>
          <w:rFonts w:eastAsiaTheme="minorEastAsia"/>
        </w:rPr>
        <w:t>Il existe trois types d’intermédiaire réactionnels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rFonts w:eastAsiaTheme="minorEastAsia"/>
              </w:rPr>
            </w:pPr>
            <w:r>
              <w:rPr>
                <w:rFonts w:eastAsiaTheme="minorEastAsia"/>
              </w:rPr>
              <w:t>Carbocation</w:t>
            </w:r>
          </w:p>
        </w:tc>
        <w:tc>
          <w:tcPr>
            <w:tcW w:w="2445" w:type="dxa"/>
          </w:tcPr>
          <w:p>
            <w:pPr>
              <w:rPr>
                <w:rFonts w:eastAsiaTheme="minorEastAsia"/>
              </w:rPr>
            </w:pPr>
            <w:r>
              <w:rPr>
                <w:rFonts w:eastAsiaTheme="minorEastAsia"/>
              </w:rPr>
              <w:t>Radicaux</w:t>
            </w:r>
          </w:p>
        </w:tc>
        <w:tc>
          <w:tcPr>
            <w:tcW w:w="2445" w:type="dxa"/>
          </w:tcPr>
          <w:p>
            <w:pPr>
              <w:rPr>
                <w:rFonts w:eastAsiaTheme="minorEastAsia"/>
              </w:rPr>
            </w:pPr>
            <w:r>
              <w:rPr>
                <w:rFonts w:eastAsiaTheme="minorEastAsia"/>
              </w:rPr>
              <w:t>Carbanions</w:t>
            </w:r>
          </w:p>
        </w:tc>
      </w:tr>
    </w:tbl>
    <w:p>
      <w:pPr>
        <w:pStyle w:val="Titre3"/>
        <w:rPr>
          <w:rFonts w:eastAsiaTheme="minorEastAsia"/>
        </w:rPr>
      </w:pPr>
      <w:r>
        <w:rPr>
          <w:rFonts w:eastAsiaTheme="minorEastAsia"/>
        </w:rPr>
        <w:t xml:space="preserve">Le carbocation </w:t>
      </w:r>
    </w:p>
    <w:p>
      <w:r>
        <w:t>Le carbocation est un intermédiaire réactionnel. C’est un carbone auquel il manque une liaison électronique.</w:t>
      </w:r>
    </w:p>
    <w:p>
      <w:pPr>
        <w:rPr>
          <w:rFonts w:eastAsiaTheme="minorEastAsia"/>
        </w:rPr>
      </w:pPr>
      <w:r>
        <w:rPr>
          <w:rFonts w:eastAsiaTheme="minorEastAsia"/>
        </w:rPr>
        <w:t>Leur stabilité augmente avec le nombre de groupements alkyles (chaines hydrocarbonées en substituant).</w:t>
      </w:r>
    </w:p>
    <w:p>
      <w:pPr>
        <w:pStyle w:val="Titre2"/>
      </w:pPr>
      <w:r>
        <w:t>Réactions acido-basiques</w:t>
      </w:r>
    </w:p>
    <w:p>
      <w:pPr>
        <w:pStyle w:val="Titre3"/>
      </w:pPr>
      <w:r>
        <w:t>Acidité</w:t>
      </w:r>
    </w:p>
    <w:p>
      <w:r>
        <w:t>L’acidité est au sens de :</w:t>
      </w:r>
    </w:p>
    <w:p>
      <w:pPr>
        <w:pStyle w:val="Paragraphedeliste"/>
        <w:numPr>
          <w:ilvl w:val="0"/>
          <w:numId w:val="10"/>
        </w:numPr>
      </w:pPr>
      <w:r>
        <w:t>Brönsted : un échange de proton.</w:t>
      </w:r>
    </w:p>
    <w:p>
      <w:pPr>
        <w:pStyle w:val="Paragraphedeliste"/>
        <w:numPr>
          <w:ilvl w:val="0"/>
          <w:numId w:val="10"/>
        </w:numPr>
      </w:pPr>
      <w:r>
        <w:t>Lewis liaison entre une orbitale vacante et un doublet non-liant.</w:t>
      </w:r>
    </w:p>
    <w:p>
      <w:r>
        <w:t>L’acidité correspond à la capacité d’un atome à pouvoir céder un proton.</w:t>
      </w:r>
    </w:p>
    <w:p>
      <w:pPr>
        <w:pStyle w:val="Titre3"/>
      </w:pPr>
      <w:r>
        <w:t>Basicité</w:t>
      </w:r>
    </w:p>
    <w:p>
      <w:r>
        <w:t>La basicité est liée est l’association d’un proton :</w:t>
      </w:r>
    </w:p>
    <w:p>
      <w:pPr>
        <w:pStyle w:val="Paragraphedeliste"/>
        <w:numPr>
          <w:ilvl w:val="0"/>
          <w:numId w:val="24"/>
        </w:numPr>
      </w:pPr>
      <w:r>
        <w:t>Majoritairement sur un doublet non liant comme sur ceux des hétéroatomes (O, N et S)</w:t>
      </w:r>
    </w:p>
    <w:p>
      <w:pPr>
        <w:pStyle w:val="Paragraphedeliste"/>
        <w:numPr>
          <w:ilvl w:val="0"/>
          <w:numId w:val="24"/>
        </w:numPr>
      </w:pPr>
      <w:r>
        <w:t>Rarement sur un doublet liant C=C.</w:t>
      </w:r>
    </w:p>
    <w:p>
      <w:r>
        <w:t>Les atomes voisins ont un rôle très important car grâce aux effets inductifs, ils stabilisent l’espèce. Par exemple, H</w:t>
      </w:r>
      <w:r>
        <w:rPr>
          <w:vertAlign w:val="subscript"/>
        </w:rPr>
        <w:t>9</w:t>
      </w:r>
      <w:r>
        <w:t>C</w:t>
      </w:r>
      <w:r>
        <w:rPr>
          <w:vertAlign w:val="subscript"/>
        </w:rPr>
        <w:t>3</w:t>
      </w:r>
      <w:r>
        <w:t>N est une meilleure base que NH</w:t>
      </w:r>
      <w:r>
        <w:rPr>
          <w:vertAlign w:val="subscript"/>
        </w:rPr>
        <w:t>3</w:t>
      </w:r>
      <w:r>
        <w:t>.</w:t>
      </w:r>
    </w:p>
    <w:p>
      <w:pPr>
        <w:pStyle w:val="Titre3"/>
      </w:pPr>
      <w:r>
        <w:t>pKa</w:t>
      </w:r>
    </w:p>
    <w:p>
      <w:r>
        <w:t>Le pKa mesure la force relative de la liaison.</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Fonction</w:t>
            </w:r>
          </w:p>
        </w:tc>
        <w:tc>
          <w:tcPr>
            <w:tcW w:w="3668" w:type="dxa"/>
          </w:tcPr>
          <w:p>
            <w:r>
              <w:t>pKa</w:t>
            </w:r>
          </w:p>
        </w:tc>
      </w:tr>
      <w:tr>
        <w:tc>
          <w:tcPr>
            <w:tcW w:w="3667" w:type="dxa"/>
          </w:tcPr>
          <w:p>
            <w:r>
              <w:t>Acide (COOH)</w:t>
            </w:r>
          </w:p>
        </w:tc>
        <w:tc>
          <w:tcPr>
            <w:tcW w:w="3668" w:type="dxa"/>
          </w:tcPr>
          <w:p>
            <w:r>
              <w:t>4-5</w:t>
            </w:r>
          </w:p>
        </w:tc>
      </w:tr>
      <w:tr>
        <w:tc>
          <w:tcPr>
            <w:tcW w:w="3667" w:type="dxa"/>
          </w:tcPr>
          <w:p>
            <w:r>
              <w:t>Amine</w:t>
            </w:r>
          </w:p>
        </w:tc>
        <w:tc>
          <w:tcPr>
            <w:tcW w:w="3668" w:type="dxa"/>
          </w:tcPr>
          <w:p>
            <w:r>
              <w:t>9-10</w:t>
            </w:r>
          </w:p>
        </w:tc>
      </w:tr>
    </w:tbl>
    <w:p>
      <w:r>
        <w:lastRenderedPageBreak/>
        <w:t>La réaction acido-basique correspond au transfert d’un proton d’une molécule vers une autre. Elle a lieu lorsque la différence de pKa entre les espèces est supérieure à 3 unités.</w:t>
      </w:r>
    </w:p>
    <w:tbl>
      <w:tblPr>
        <w:tblStyle w:val="Grilledetableauclaire"/>
        <w:tblW w:w="0" w:type="auto"/>
        <w:tblLook w:val="0400" w:firstRow="0" w:lastRow="0" w:firstColumn="0" w:lastColumn="0" w:noHBand="0" w:noVBand="1"/>
      </w:tblPr>
      <w:tblGrid>
        <w:gridCol w:w="7335"/>
      </w:tblGrid>
      <w:tr>
        <w:tc>
          <w:tcPr>
            <w:tcW w:w="7335" w:type="dxa"/>
          </w:tcPr>
          <w:p>
            <w:r>
              <w:t>Point méthode :</w:t>
            </w:r>
          </w:p>
          <w:p>
            <w:pPr>
              <w:pStyle w:val="Paragraphedeliste"/>
              <w:numPr>
                <w:ilvl w:val="0"/>
                <w:numId w:val="20"/>
              </w:numPr>
            </w:pPr>
            <w:r>
              <w:t>Identifier la base (receveur de proton) et l’acide le donneur potentiel.</w:t>
            </w:r>
          </w:p>
          <w:p>
            <w:pPr>
              <w:pStyle w:val="Paragraphedeliste"/>
              <w:numPr>
                <w:ilvl w:val="0"/>
                <w:numId w:val="20"/>
              </w:numPr>
            </w:pPr>
            <w:r>
              <w:t>Comparer la force des deux molécules.</w:t>
            </w:r>
          </w:p>
        </w:tc>
      </w:tr>
    </w:tbl>
    <w:p>
      <w:pPr>
        <w:pStyle w:val="Titre1"/>
      </w:pPr>
      <w:r>
        <w:t xml:space="preserve">Substitutions nucléophiles et éliminations </w:t>
      </w:r>
    </w:p>
    <w:p>
      <w:r>
        <w:t>Lorsqu’une espèce nucléophile, càd qui est attirée par les noyaux et donc riche en électrons, réagit avec une autre molécule (substrat), elle peut soit :</w:t>
      </w:r>
    </w:p>
    <w:tbl>
      <w:tblPr>
        <w:tblStyle w:val="Grilledetableauclaire"/>
        <w:tblW w:w="0" w:type="auto"/>
        <w:tblLook w:val="0400" w:firstRow="0" w:lastRow="0" w:firstColumn="0" w:lastColumn="0" w:noHBand="0" w:noVBand="1"/>
      </w:tblPr>
      <w:tblGrid>
        <w:gridCol w:w="2830"/>
        <w:gridCol w:w="4505"/>
      </w:tblGrid>
      <w:tr>
        <w:tc>
          <w:tcPr>
            <w:tcW w:w="2830" w:type="dxa"/>
          </w:tcPr>
          <w:p>
            <w:r>
              <w:t>Capter un proton, on parle alors d’élimination (E).</w:t>
            </w:r>
          </w:p>
        </w:tc>
        <w:tc>
          <w:tcPr>
            <w:tcW w:w="4505" w:type="dxa"/>
          </w:tcPr>
          <w:p>
            <w:r>
              <w:t>Interagir sur un site déficitaire en électron, on parle alors de substitution nucléophile (SN).</w:t>
            </w:r>
          </w:p>
        </w:tc>
      </w:tr>
    </w:tbl>
    <w:p>
      <w:pPr>
        <w:pStyle w:val="Titre2"/>
      </w:pPr>
      <w:r>
        <w:t>La nucléophilie</w:t>
      </w:r>
    </w:p>
    <w:p>
      <w:r>
        <w:t>La nucléophilie correspond à la disponibilité des doublets électroniques. C’est une grandeur qui ne dépend que de la structure électronique des réactifs et qui est donc purement cinétique.</w:t>
      </w:r>
    </w:p>
    <w:p>
      <w:r>
        <w:t>La basicité de Brönsted est une grandeur liée uniquement au pKa d’un couple et donc à un équilibre thermodynamique.</w:t>
      </w:r>
    </w:p>
    <w:tbl>
      <w:tblPr>
        <w:tblStyle w:val="Grilledetableauclaire"/>
        <w:tblW w:w="0" w:type="auto"/>
        <w:tblLook w:val="0400" w:firstRow="0" w:lastRow="0" w:firstColumn="0" w:lastColumn="0" w:noHBand="0" w:noVBand="1"/>
      </w:tblPr>
      <w:tblGrid>
        <w:gridCol w:w="2547"/>
        <w:gridCol w:w="4788"/>
      </w:tblGrid>
      <w:tr>
        <w:tc>
          <w:tcPr>
            <w:tcW w:w="2547" w:type="dxa"/>
          </w:tcPr>
          <w:p>
            <w:r>
              <w:t>Cinétique</w:t>
            </w:r>
          </w:p>
        </w:tc>
        <w:tc>
          <w:tcPr>
            <w:tcW w:w="4788" w:type="dxa"/>
          </w:tcPr>
          <w:p>
            <w:r>
              <w:t>Thermodynamique</w:t>
            </w:r>
          </w:p>
        </w:tc>
      </w:tr>
      <w:tr>
        <w:tc>
          <w:tcPr>
            <w:tcW w:w="2547" w:type="dxa"/>
          </w:tcPr>
          <w:p>
            <w:r>
              <w:t>Encombrement</w:t>
            </w:r>
          </w:p>
        </w:tc>
        <w:tc>
          <w:tcPr>
            <w:tcW w:w="4788" w:type="dxa"/>
          </w:tcPr>
          <w:p>
            <w:r>
              <w:t>Électronégatif moins il est donneur d’électrons.</w:t>
            </w:r>
          </w:p>
        </w:tc>
      </w:tr>
      <w:tr>
        <w:tc>
          <w:tcPr>
            <w:tcW w:w="2547" w:type="dxa"/>
          </w:tcPr>
          <w:p>
            <w:r>
              <w:t>Plus une espèce est petite.</w:t>
            </w:r>
          </w:p>
        </w:tc>
        <w:tc>
          <w:tcPr>
            <w:tcW w:w="4788" w:type="dxa"/>
          </w:tcPr>
          <w:p>
            <w:r>
              <w:t>Un nuage électronique plus gros augmentera la disponibilité des doublets. Plus l’atome porteur est électronégatif, moins ses doublets sont nucléophiles.</w:t>
            </w:r>
          </w:p>
        </w:tc>
      </w:tr>
    </w:tbl>
    <w:p>
      <w:r>
        <w:t>On a deux types de réactions :</w:t>
      </w:r>
    </w:p>
    <w:p>
      <w:pPr>
        <w:pStyle w:val="Paragraphedeliste"/>
        <w:numPr>
          <w:ilvl w:val="0"/>
          <w:numId w:val="11"/>
        </w:numPr>
      </w:pPr>
      <w:r>
        <w:t>Bimoléculaire (noté 2) : C’est l’interaction des deux molécules qui provoquent la réaction. Leur rencontre provoque un déséquilibre suffisant pour provoquer les mouvements électroniques suffisant à la modification du substrat. On parle alors de réactions concertées :</w:t>
      </w:r>
    </w:p>
    <w:p>
      <w:pPr>
        <w:pStyle w:val="Paragraphedeliste"/>
        <w:numPr>
          <w:ilvl w:val="1"/>
          <w:numId w:val="11"/>
        </w:numPr>
      </w:pPr>
      <w:r>
        <w:t>Une seule étape correspond à deux mouvements simultanés.</w:t>
      </w:r>
    </w:p>
    <w:p>
      <w:pPr>
        <w:pStyle w:val="Paragraphedeliste"/>
        <w:numPr>
          <w:ilvl w:val="1"/>
          <w:numId w:val="11"/>
        </w:numPr>
      </w:pPr>
      <w:r>
        <w:t>Cinétique (vitesse et mouvement).</w:t>
      </w:r>
    </w:p>
    <w:p>
      <w:pPr>
        <w:pStyle w:val="Paragraphedeliste"/>
        <w:numPr>
          <w:ilvl w:val="1"/>
          <w:numId w:val="11"/>
        </w:numPr>
      </w:pPr>
      <w:r>
        <w:t>Pas d’intermédiaire réactionnel</w:t>
      </w:r>
    </w:p>
    <w:p>
      <w:r>
        <w:rPr>
          <w:u w:val="single"/>
        </w:rPr>
        <w:t>Rmq :</w:t>
      </w:r>
      <w:r>
        <w:t xml:space="preserve"> ce type de réaction est stéréosélective et stéréospécifique.</w:t>
      </w:r>
    </w:p>
    <w:p>
      <w:pPr>
        <w:pStyle w:val="Paragraphedeliste"/>
        <w:numPr>
          <w:ilvl w:val="0"/>
          <w:numId w:val="11"/>
        </w:numPr>
      </w:pPr>
      <w:r>
        <w:t>Monomoléculaire (noté 1) : la molécule est suffisamment instable pour que la solvatation de la molécule provoque un départ spontané d’un des groupements :</w:t>
      </w:r>
    </w:p>
    <w:p>
      <w:pPr>
        <w:pStyle w:val="Paragraphedeliste"/>
        <w:numPr>
          <w:ilvl w:val="1"/>
          <w:numId w:val="11"/>
        </w:numPr>
      </w:pPr>
      <w:r>
        <w:t>2 étapes</w:t>
      </w:r>
    </w:p>
    <w:p>
      <w:pPr>
        <w:pStyle w:val="Paragraphedeliste"/>
        <w:numPr>
          <w:ilvl w:val="1"/>
          <w:numId w:val="11"/>
        </w:numPr>
      </w:pPr>
      <w:r>
        <w:t>Passage par un intermédiaire réactionnel notamment par un carbocation.</w:t>
      </w:r>
    </w:p>
    <w:p>
      <w:pPr>
        <w:pStyle w:val="Paragraphedeliste"/>
        <w:numPr>
          <w:ilvl w:val="1"/>
          <w:numId w:val="11"/>
        </w:numPr>
      </w:pPr>
      <w:r>
        <w:t>Thermodynamique (c’est lié à la rencontre des deux molécules).</w:t>
      </w:r>
    </w:p>
    <w:p>
      <w:r>
        <w:rPr>
          <w:u w:val="single"/>
        </w:rPr>
        <w:t>Rmq :</w:t>
      </w:r>
      <w:r>
        <w:t xml:space="preserve"> Pour les deux types de réactions, on aura souvent des équilibres chimiques c’est-à-dire qu’il aura les espèces de départ et finales.</w:t>
      </w:r>
    </w:p>
    <w:p>
      <w:r>
        <w:rPr>
          <w:u w:val="single"/>
        </w:rPr>
        <w:t>Rmq :</w:t>
      </w:r>
      <w:r>
        <w:t xml:space="preserve"> Dans la notation, le nombre correspond à l’ordre de la réaction c’est-à-dire au nombre de paramètres dans l’équation de la vitesse de réaction. Pour une réaction d’ordre 2 : </w:t>
      </w:r>
      <m:oMath>
        <m:r>
          <w:rPr>
            <w:rFonts w:ascii="Cambria Math" w:hAnsi="Cambria Math"/>
          </w:rPr>
          <m:t>A+B→C</m:t>
        </m:r>
      </m:oMath>
      <w:r>
        <w:rPr>
          <w:rFonts w:eastAsiaTheme="minorEastAsia"/>
        </w:rPr>
        <w:t xml:space="preserve"> </w:t>
      </w:r>
      <w:r>
        <w:t xml:space="preserve">on a </w:t>
      </w:r>
      <m:oMath>
        <m:d>
          <m:dPr>
            <m:begChr m:val="["/>
            <m:endChr m:val="]"/>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=k</m:t>
        </m:r>
        <m:d>
          <m:dPr>
            <m:begChr m:val="["/>
            <m:endChr m:val="]"/>
            <m:ctrlPr>
              <w:rPr>
                <w:rFonts w:ascii="Cambria Math" w:hAnsi="Cambria Math"/>
                <w:i/>
              </w:rPr>
            </m:ctrlPr>
          </m:dPr>
          <m:e>
            <m:r>
              <w:rPr>
                <w:rFonts w:ascii="Cambria Math" w:hAnsi="Cambria Math"/>
              </w:rPr>
              <m:t>A</m:t>
            </m:r>
          </m:e>
        </m:d>
        <m:r>
          <w:rPr>
            <w:rFonts w:ascii="Cambria Math" w:hAnsi="Cambria Math"/>
          </w:rPr>
          <m:t>[B]</m:t>
        </m:r>
      </m:oMath>
    </w:p>
    <w:p>
      <w:pPr>
        <w:pStyle w:val="Titre3"/>
      </w:pPr>
      <w:r>
        <w:t>Monomoléculaire (1)</w:t>
      </w:r>
    </w:p>
    <w:p>
      <w:r>
        <w:t>Les réactions mono-moléculaires sont favorisées :</w:t>
      </w:r>
    </w:p>
    <w:p>
      <w:pPr>
        <w:pStyle w:val="Paragraphedeliste"/>
        <w:numPr>
          <w:ilvl w:val="0"/>
          <w:numId w:val="11"/>
        </w:numPr>
      </w:pPr>
      <w:r>
        <w:t>Présence de groupements électrophiles suffisamment forts pour quitter la molécule avec la liaison également appelé groupement nucléofuge (6) : I</w:t>
      </w:r>
      <w:r>
        <w:rPr>
          <w:vertAlign w:val="superscript"/>
        </w:rPr>
        <w:t>-</w:t>
      </w:r>
      <w:r>
        <w:t>, HSO</w:t>
      </w:r>
      <w:r>
        <w:rPr>
          <w:vertAlign w:val="subscript"/>
        </w:rPr>
        <w:t>4</w:t>
      </w:r>
      <w:r>
        <w:rPr>
          <w:vertAlign w:val="superscript"/>
        </w:rPr>
        <w:t>-</w:t>
      </w:r>
      <w:r>
        <w:t>, RSO</w:t>
      </w:r>
      <w:r>
        <w:rPr>
          <w:vertAlign w:val="subscript"/>
        </w:rPr>
        <w:t>3</w:t>
      </w:r>
      <w:r>
        <w:rPr>
          <w:vertAlign w:val="superscript"/>
        </w:rPr>
        <w:t>-</w:t>
      </w:r>
      <w:r>
        <w:t>, Br</w:t>
      </w:r>
      <w:r>
        <w:rPr>
          <w:vertAlign w:val="superscript"/>
        </w:rPr>
        <w:t>-</w:t>
      </w:r>
      <w:r>
        <w:t>, Cl</w:t>
      </w:r>
      <w:r>
        <w:rPr>
          <w:vertAlign w:val="superscript"/>
        </w:rPr>
        <w:t>-</w:t>
      </w:r>
      <w:r>
        <w:t>, H</w:t>
      </w:r>
      <w:r>
        <w:rPr>
          <w:vertAlign w:val="superscript"/>
        </w:rPr>
        <w:t>2</w:t>
      </w:r>
      <w:r>
        <w:t>O</w:t>
      </w:r>
    </w:p>
    <w:p>
      <w:pPr>
        <w:pStyle w:val="Paragraphedeliste"/>
        <w:numPr>
          <w:ilvl w:val="0"/>
          <w:numId w:val="11"/>
        </w:numPr>
      </w:pPr>
      <w:r>
        <w:t>Le substrat (ou la molécule de la liaison) est substitué (noté I, II, III).</w:t>
      </w:r>
    </w:p>
    <w:p>
      <w:pPr>
        <w:pStyle w:val="Paragraphedeliste"/>
        <w:numPr>
          <w:ilvl w:val="0"/>
          <w:numId w:val="11"/>
        </w:numPr>
      </w:pPr>
      <w:r>
        <w:lastRenderedPageBreak/>
        <w:t>Solvant protique. Il favorisera le départ du nucléofuge car les protons permettent de le solvater càd de l’entourer.</w:t>
      </w:r>
    </w:p>
    <w:p>
      <w:r>
        <w:rPr>
          <w:rStyle w:val="Accentuation"/>
        </w:rPr>
        <w:t>Nucléofuge</w:t>
      </w:r>
      <w:r>
        <w:t xml:space="preserve"> groupement partant qui emporte la paire d’électrons de la liaison.</w:t>
      </w:r>
    </w:p>
    <w:p>
      <w:r>
        <w:rPr>
          <w:u w:val="single"/>
        </w:rPr>
        <w:t>Rmq :</w:t>
      </w:r>
      <w:r>
        <w:t xml:space="preserve"> on obtient souvent un mélange racémique.</w:t>
      </w:r>
    </w:p>
    <w:p>
      <w:r>
        <w:rPr>
          <w:rStyle w:val="Accentuation"/>
        </w:rPr>
        <w:t>Mélange racémique</w:t>
      </w:r>
      <w:r>
        <w:t xml:space="preserve"> mélange obtenu en proportion égale.</w:t>
      </w:r>
    </w:p>
    <w:p>
      <w:pPr>
        <w:pStyle w:val="Titre3"/>
      </w:pPr>
      <w:r>
        <w:t>Bimoléculaire (2)</w:t>
      </w:r>
    </w:p>
    <w:p>
      <w:r>
        <w:t>Les réactions bimoléculaires sont favorisées :</w:t>
      </w:r>
    </w:p>
    <w:p>
      <w:pPr>
        <w:pStyle w:val="Paragraphedeliste"/>
        <w:numPr>
          <w:ilvl w:val="0"/>
          <w:numId w:val="12"/>
        </w:numPr>
      </w:pPr>
      <w:r>
        <w:t>Nucléofuge faible</w:t>
      </w:r>
    </w:p>
    <w:p>
      <w:pPr>
        <w:pStyle w:val="Paragraphedeliste"/>
        <w:numPr>
          <w:ilvl w:val="0"/>
          <w:numId w:val="12"/>
        </w:numPr>
      </w:pPr>
      <w:r>
        <w:t>Peu substitué</w:t>
      </w:r>
    </w:p>
    <w:p>
      <w:pPr>
        <w:pStyle w:val="Paragraphedeliste"/>
        <w:numPr>
          <w:ilvl w:val="0"/>
          <w:numId w:val="12"/>
        </w:numPr>
      </w:pPr>
      <w:r>
        <w:t>Solvant aprotique</w:t>
      </w:r>
    </w:p>
    <w:p>
      <w:r>
        <w:t>La présence d’un nucléophile fort va venir déstabiliser la molécule au niveau du déséquilibre provoqué par le nucléofuge faible.</w:t>
      </w:r>
    </w:p>
    <w:p>
      <w:pPr>
        <w:rPr>
          <w:lang w:val="en-GB"/>
        </w:rPr>
      </w:pPr>
      <w:r>
        <w:rPr>
          <w:lang w:val="en-GB"/>
        </w:rPr>
        <w:t>Nucléophile : HS</w:t>
      </w:r>
      <w:r>
        <w:rPr>
          <w:vertAlign w:val="superscript"/>
          <w:lang w:val="en-GB"/>
        </w:rPr>
        <w:t>-</w:t>
      </w:r>
      <w:r>
        <w:rPr>
          <w:lang w:val="en-GB"/>
        </w:rPr>
        <w:t>, I</w:t>
      </w:r>
      <w:r>
        <w:rPr>
          <w:vertAlign w:val="superscript"/>
          <w:lang w:val="en-GB"/>
        </w:rPr>
        <w:t>-</w:t>
      </w:r>
      <w:r>
        <w:rPr>
          <w:lang w:val="en-GB"/>
        </w:rPr>
        <w:t>, NC</w:t>
      </w:r>
      <w:r>
        <w:rPr>
          <w:vertAlign w:val="superscript"/>
          <w:lang w:val="en-GB"/>
        </w:rPr>
        <w:t>-</w:t>
      </w:r>
      <w:r>
        <w:rPr>
          <w:lang w:val="en-GB"/>
        </w:rPr>
        <w:t>, CH</w:t>
      </w:r>
      <w:r>
        <w:rPr>
          <w:vertAlign w:val="subscript"/>
          <w:lang w:val="en-GB"/>
        </w:rPr>
        <w:t>3</w:t>
      </w:r>
      <w:r>
        <w:rPr>
          <w:vertAlign w:val="superscript"/>
          <w:lang w:val="en-GB"/>
        </w:rPr>
        <w:t>-</w:t>
      </w:r>
      <w:r>
        <w:rPr>
          <w:lang w:val="en-GB"/>
        </w:rPr>
        <w:t>, CH</w:t>
      </w:r>
      <w:r>
        <w:rPr>
          <w:vertAlign w:val="subscript"/>
          <w:lang w:val="en-GB"/>
        </w:rPr>
        <w:t>3</w:t>
      </w:r>
      <w:r>
        <w:rPr>
          <w:lang w:val="en-GB"/>
        </w:rPr>
        <w:t>O</w:t>
      </w:r>
      <w:r>
        <w:rPr>
          <w:vertAlign w:val="superscript"/>
          <w:lang w:val="en-GB"/>
        </w:rPr>
        <w:t>-</w:t>
      </w:r>
      <w:r>
        <w:rPr>
          <w:lang w:val="en-GB"/>
        </w:rPr>
        <w:t>, Br</w:t>
      </w:r>
      <w:r>
        <w:rPr>
          <w:vertAlign w:val="superscript"/>
          <w:lang w:val="en-GB"/>
        </w:rPr>
        <w:t>-</w:t>
      </w:r>
      <w:r>
        <w:rPr>
          <w:lang w:val="en-GB"/>
        </w:rPr>
        <w:t>, N</w:t>
      </w:r>
      <w:r>
        <w:rPr>
          <w:vertAlign w:val="subscript"/>
          <w:lang w:val="en-GB"/>
        </w:rPr>
        <w:t>3</w:t>
      </w:r>
      <w:r>
        <w:rPr>
          <w:vertAlign w:val="superscript"/>
          <w:lang w:val="en-GB"/>
        </w:rPr>
        <w:t>–</w:t>
      </w:r>
      <w:r>
        <w:rPr>
          <w:lang w:val="en-GB"/>
        </w:rPr>
        <w:t>, Br, Cl, Fl.</w:t>
      </w:r>
    </w:p>
    <w:p>
      <w:r>
        <w:rPr>
          <w:u w:val="single"/>
        </w:rPr>
        <w:t>Rmq :</w:t>
      </w:r>
      <w:r>
        <w:t xml:space="preserve"> Les nucléophiles n’attaquent jamais sur le cycle.</w:t>
      </w:r>
    </w:p>
    <w:p>
      <w:r>
        <w:t>Les bon nucléofuges : S, halogéno-alcanes R-X sauf le F.</w:t>
      </w:r>
    </w:p>
    <w:p>
      <w:r>
        <w:rPr>
          <w:u w:val="single"/>
        </w:rPr>
        <w:t>Rmq :</w:t>
      </w:r>
      <w:r>
        <w:t xml:space="preserve"> Les alcools (R-OH) sont des mauvais groupes partant mais ils peuvent être rendus bons en ajoutant un proton (H</w:t>
      </w:r>
      <w:r>
        <w:rPr>
          <w:vertAlign w:val="subscript"/>
        </w:rPr>
        <w:t>2</w:t>
      </w:r>
      <w:r>
        <w:t>0) ou en le transformant en ester sulfonique (R’-SO</w:t>
      </w:r>
      <w:r>
        <w:rPr>
          <w:vertAlign w:val="subscript"/>
        </w:rPr>
        <w:t>3</w:t>
      </w:r>
      <w:r>
        <w:t>-R).</w:t>
      </w:r>
    </w:p>
    <w:p>
      <w:pPr>
        <w:pStyle w:val="Titre2"/>
      </w:pPr>
      <w:r>
        <w:t>Les conditions de substitution nucléophile ou élimination</w:t>
      </w:r>
    </w:p>
    <w:p>
      <w:r>
        <w:t>Pour les réactions monomoléculaire et bimoléculaire, il peut se produire deux types de réactions, soit :</w:t>
      </w:r>
    </w:p>
    <w:p>
      <w:pPr>
        <w:pStyle w:val="Paragraphedeliste"/>
        <w:numPr>
          <w:ilvl w:val="0"/>
          <w:numId w:val="21"/>
        </w:numPr>
      </w:pPr>
      <w:r>
        <w:t>Substitution, le groupement partant est remplacé pour un autre nucléophile.</w:t>
      </w:r>
    </w:p>
    <w:p>
      <w:pPr>
        <w:pStyle w:val="Paragraphedeliste"/>
        <w:numPr>
          <w:ilvl w:val="0"/>
          <w:numId w:val="21"/>
        </w:numPr>
      </w:pPr>
      <w:r>
        <w:t>Élimination, le groupement nucléofuge partant provoque directement ou indirectement (via une base forte) le départ d’un proton. Il y a alors la formation d’une liaison double.</w:t>
      </w:r>
    </w:p>
    <w:p>
      <w:r>
        <w:t>Les conditions d’éliminations et de substitutions nucléophiles sont identiques mais dans le cas d’une réaction en deux étapes, on peut favoriser l’une par rapport à l’autre :</w:t>
      </w:r>
    </w:p>
    <w:p>
      <w:pPr>
        <w:pStyle w:val="Paragraphedeliste"/>
        <w:numPr>
          <w:ilvl w:val="0"/>
          <w:numId w:val="17"/>
        </w:numPr>
      </w:pPr>
      <w:r>
        <w:t xml:space="preserve">Utilisant des solvants. </w:t>
      </w:r>
    </w:p>
    <w:tbl>
      <w:tblPr>
        <w:tblStyle w:val="Grilledetableauclaire"/>
        <w:tblW w:w="6771" w:type="dxa"/>
        <w:tblInd w:w="595" w:type="dxa"/>
        <w:tblLook w:val="0400" w:firstRow="0" w:lastRow="0" w:firstColumn="0" w:lastColumn="0" w:noHBand="0" w:noVBand="1"/>
      </w:tblPr>
      <w:tblGrid>
        <w:gridCol w:w="3369"/>
        <w:gridCol w:w="3402"/>
      </w:tblGrid>
      <w:tr>
        <w:tc>
          <w:tcPr>
            <w:tcW w:w="3369" w:type="dxa"/>
          </w:tcPr>
          <w:p>
            <w:r>
              <w:t>SN</w:t>
            </w:r>
            <w:r>
              <w:rPr>
                <w:vertAlign w:val="subscript"/>
              </w:rPr>
              <w:t>2</w:t>
            </w:r>
            <w:r>
              <w:t xml:space="preserve"> (Nucléophile fort)</w:t>
            </w:r>
          </w:p>
        </w:tc>
        <w:tc>
          <w:tcPr>
            <w:tcW w:w="3402" w:type="dxa"/>
          </w:tcPr>
          <w:p>
            <w:r>
              <w:t>E</w:t>
            </w:r>
            <w:r>
              <w:rPr>
                <w:vertAlign w:val="subscript"/>
              </w:rPr>
              <w:t>2</w:t>
            </w:r>
            <w:r>
              <w:t xml:space="preserve"> (Base forte ex : lithium LDA, tBuOK, RO</w:t>
            </w:r>
            <w:r>
              <w:rPr>
                <w:vertAlign w:val="superscript"/>
              </w:rPr>
              <w:t>-</w:t>
            </w:r>
            <w:r>
              <w:t>, H2N</w:t>
            </w:r>
            <w:r>
              <w:rPr>
                <w:vertAlign w:val="superscript"/>
              </w:rPr>
              <w:t>-)</w:t>
            </w:r>
          </w:p>
        </w:tc>
      </w:tr>
    </w:tbl>
    <w:p>
      <w:pPr>
        <w:pStyle w:val="Paragraphedeliste"/>
        <w:numPr>
          <w:ilvl w:val="0"/>
          <w:numId w:val="17"/>
        </w:numPr>
      </w:pPr>
      <w:r>
        <w:t>En modifiant les conditions. Une température élevée favorise l’élimination par rapport à la substitution nucléophile.</w:t>
      </w:r>
    </w:p>
    <w:p>
      <w:pPr>
        <w:pStyle w:val="Titre3"/>
      </w:pPr>
      <w:r>
        <w:t>Substitution</w:t>
      </w:r>
    </w:p>
    <w:p>
      <w:r>
        <w:t>SN</w:t>
      </w:r>
      <w:r>
        <w:rPr>
          <w:vertAlign w:val="subscript"/>
        </w:rPr>
        <w:t>2</w:t>
      </w:r>
      <w:r>
        <w:t xml:space="preserve"> le départ du nucléofuge (Cl) est facilité par l’arrivé du nucléophile (CN). Ce mécanisme est dit conjugué.</w:t>
      </w:r>
    </w:p>
    <w:p>
      <w:r>
        <w:rPr>
          <w:noProof/>
        </w:rPr>
        <w:drawing>
          <wp:inline distT="0" distB="0" distL="0" distR="0">
            <wp:extent cx="4157331" cy="86389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63" cy="869445"/>
                    </a:xfrm>
                    <a:prstGeom prst="rect">
                      <a:avLst/>
                    </a:prstGeom>
                    <a:noFill/>
                    <a:ln>
                      <a:noFill/>
                    </a:ln>
                  </pic:spPr>
                </pic:pic>
              </a:graphicData>
            </a:graphic>
          </wp:inline>
        </w:drawing>
      </w:r>
    </w:p>
    <w:p>
      <w:r>
        <w:rPr>
          <w:u w:val="single"/>
        </w:rPr>
        <w:t xml:space="preserve">Exemple 1 : </w:t>
      </w:r>
      <w:r>
        <w:t>SN</w:t>
      </w:r>
      <w:r>
        <w:rPr>
          <w:vertAlign w:val="subscript"/>
        </w:rPr>
        <w:t>1</w:t>
      </w:r>
      <w:r>
        <w:t xml:space="preserve"> le nucléofuge (Br) est suffisamment électronégatif pour partir avec l’électron du carbone. Le départ est facilité par le nombre de substituants du carbone (3) ce qui provoque l’apparition d’un carbocation. </w:t>
      </w:r>
    </w:p>
    <w:p>
      <w:r>
        <w:rPr>
          <w:noProof/>
        </w:rPr>
        <w:drawing>
          <wp:inline distT="0" distB="0" distL="0" distR="0">
            <wp:extent cx="4657090" cy="850900"/>
            <wp:effectExtent l="0" t="0" r="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7090" cy="850900"/>
                    </a:xfrm>
                    <a:prstGeom prst="rect">
                      <a:avLst/>
                    </a:prstGeom>
                    <a:noFill/>
                    <a:ln>
                      <a:noFill/>
                    </a:ln>
                  </pic:spPr>
                </pic:pic>
              </a:graphicData>
            </a:graphic>
          </wp:inline>
        </w:drawing>
      </w:r>
    </w:p>
    <w:p>
      <w:r>
        <w:rPr>
          <w:u w:val="single"/>
        </w:rPr>
        <w:lastRenderedPageBreak/>
        <w:t>Exemple 2 :</w:t>
      </w:r>
      <w:r>
        <w:t xml:space="preserve"> SN</w:t>
      </w:r>
      <w:r>
        <w:rPr>
          <w:vertAlign w:val="subscript"/>
        </w:rPr>
        <w:t>2</w:t>
      </w:r>
      <w:r>
        <w:t xml:space="preserve"> avec réaction de la molécule sur elle-même. Elle a lieu dans un solvant aprotique (THF) ce qui facilite les mouvements coordonnés des électrons.</w:t>
      </w:r>
    </w:p>
    <w:p>
      <w:r>
        <w:rPr>
          <w:noProof/>
        </w:rPr>
        <w:drawing>
          <wp:inline distT="0" distB="0" distL="0" distR="0">
            <wp:extent cx="3508745" cy="744902"/>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42254" cy="752016"/>
                    </a:xfrm>
                    <a:prstGeom prst="rect">
                      <a:avLst/>
                    </a:prstGeom>
                    <a:noFill/>
                    <a:ln>
                      <a:noFill/>
                    </a:ln>
                  </pic:spPr>
                </pic:pic>
              </a:graphicData>
            </a:graphic>
          </wp:inline>
        </w:drawing>
      </w:r>
    </w:p>
    <w:p>
      <w:r>
        <w:rPr>
          <w:u w:val="single"/>
        </w:rPr>
        <w:t xml:space="preserve">Exemple 3 : </w:t>
      </w:r>
      <w:r>
        <w:t>SN</w:t>
      </w:r>
      <w:r>
        <w:rPr>
          <w:vertAlign w:val="subscript"/>
        </w:rPr>
        <w:t>1</w:t>
      </w:r>
      <w:r>
        <w:t xml:space="preserve"> avec une substitution qui n’est pas sur le carbone du groupe partant.</w:t>
      </w:r>
    </w:p>
    <w:p>
      <w:r>
        <w:rPr>
          <w:noProof/>
        </w:rPr>
        <w:drawing>
          <wp:inline distT="0" distB="0" distL="0" distR="0">
            <wp:extent cx="4646295" cy="1190625"/>
            <wp:effectExtent l="0" t="0" r="190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46295" cy="1190625"/>
                    </a:xfrm>
                    <a:prstGeom prst="rect">
                      <a:avLst/>
                    </a:prstGeom>
                    <a:noFill/>
                    <a:ln>
                      <a:noFill/>
                    </a:ln>
                  </pic:spPr>
                </pic:pic>
              </a:graphicData>
            </a:graphic>
          </wp:inline>
        </w:drawing>
      </w:r>
    </w:p>
    <w:p>
      <w:pPr>
        <w:pStyle w:val="Titre3"/>
      </w:pPr>
      <w:r>
        <w:t>Élimination</w:t>
      </w:r>
    </w:p>
    <w:p>
      <w:r>
        <w:t>On obtiendra majoritairement l’alcène le plus stable c’est-à-dire :</w:t>
      </w:r>
    </w:p>
    <w:p>
      <w:pPr>
        <w:pStyle w:val="Paragraphedeliste"/>
        <w:numPr>
          <w:ilvl w:val="0"/>
          <w:numId w:val="14"/>
        </w:numPr>
      </w:pPr>
      <w:r>
        <w:t>Mésomère &gt; substitué. On aura généralement une réaction stéréospécifique (1 seul alcène obtenu).</w:t>
      </w:r>
    </w:p>
    <w:p>
      <w:pPr>
        <w:pStyle w:val="Paragraphedeliste"/>
        <w:numPr>
          <w:ilvl w:val="0"/>
          <w:numId w:val="14"/>
        </w:numPr>
      </w:pPr>
    </w:p>
    <w:p>
      <w:pPr>
        <w:pStyle w:val="Paragraphedeliste"/>
        <w:numPr>
          <w:ilvl w:val="1"/>
          <w:numId w:val="14"/>
        </w:numPr>
      </w:pPr>
      <w:r>
        <w:t>E1 Les liaisons doubles du type E qui maximisent l’encombrement spatial.</w:t>
      </w:r>
    </w:p>
    <w:p>
      <w:pPr>
        <w:pStyle w:val="Paragraphedeliste"/>
        <w:numPr>
          <w:ilvl w:val="1"/>
          <w:numId w:val="14"/>
        </w:numPr>
      </w:pPr>
      <w:r>
        <w:t>E2 L’élimination a lieu uniquement lorsqu’il y a un hydrogène sur la face anti.</w:t>
      </w:r>
    </w:p>
    <w:p>
      <w:r>
        <w:rPr>
          <w:u w:val="single"/>
        </w:rPr>
        <w:t>Exemple :</w:t>
      </w:r>
      <w:r>
        <w:t xml:space="preserve">  élimination avec une stabilisation par mésomérie :</w:t>
      </w:r>
    </w:p>
    <w:p>
      <w:r>
        <w:rPr>
          <w:noProof/>
        </w:rPr>
        <w:drawing>
          <wp:inline distT="0" distB="0" distL="0" distR="0">
            <wp:extent cx="4648200" cy="9334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48200" cy="933450"/>
                    </a:xfrm>
                    <a:prstGeom prst="rect">
                      <a:avLst/>
                    </a:prstGeom>
                    <a:noFill/>
                    <a:ln>
                      <a:noFill/>
                    </a:ln>
                  </pic:spPr>
                </pic:pic>
              </a:graphicData>
            </a:graphic>
          </wp:inline>
        </w:drawing>
      </w:r>
    </w:p>
    <w:p>
      <w:r>
        <w:t>Par rapport à un SN1, on a besoin d’utiliser une base très forte pour venir récupérer un proton.</w:t>
      </w:r>
    </w:p>
    <w:p>
      <w:r>
        <w:t>Pour l’élimination E2 sur un cycle, il faut que le nucléofuge soit en position axiale. La base attaque en position anti.</w:t>
      </w:r>
    </w:p>
    <w:p>
      <w:pPr>
        <w:rPr>
          <w:vertAlign w:val="superscript"/>
        </w:rPr>
      </w:pPr>
      <w:r>
        <w:t>Base très forte : tBUOK, SO</w:t>
      </w:r>
      <w:r>
        <w:rPr>
          <w:vertAlign w:val="subscript"/>
        </w:rPr>
        <w:t>4</w:t>
      </w:r>
      <w:r>
        <w:rPr>
          <w:vertAlign w:val="superscript"/>
        </w:rPr>
        <w:t>-</w:t>
      </w:r>
    </w:p>
    <w:p>
      <w:pPr>
        <w:pStyle w:val="Titre1"/>
      </w:pPr>
      <w:r>
        <w:t>Addition sur les alcènes et les alcynes</w:t>
      </w:r>
    </w:p>
    <w:p>
      <w:pPr>
        <w:rPr>
          <w:rStyle w:val="Accentuation"/>
        </w:rPr>
      </w:pPr>
      <w:r>
        <w:rPr>
          <w:rStyle w:val="Accentuation"/>
        </w:rPr>
        <w:t xml:space="preserve">Rappel : </w:t>
      </w:r>
    </w:p>
    <w:tbl>
      <w:tblPr>
        <w:tblStyle w:val="Grilledetableauclaire"/>
        <w:tblW w:w="0" w:type="auto"/>
        <w:tblLook w:val="0400" w:firstRow="0" w:lastRow="0" w:firstColumn="0" w:lastColumn="0" w:noHBand="0" w:noVBand="1"/>
      </w:tblPr>
      <w:tblGrid>
        <w:gridCol w:w="3667"/>
        <w:gridCol w:w="3668"/>
      </w:tblGrid>
      <w:tr>
        <w:tc>
          <w:tcPr>
            <w:tcW w:w="3667" w:type="dxa"/>
          </w:tcPr>
          <w:p>
            <w:pPr>
              <w:rPr>
                <w:rStyle w:val="Accentuation"/>
                <w:iCs w:val="0"/>
                <w:color w:val="auto"/>
              </w:rPr>
            </w:pPr>
            <w:r>
              <w:rPr>
                <w:rStyle w:val="Accentuation"/>
              </w:rPr>
              <w:t>Alcène</w:t>
            </w:r>
            <w:r>
              <w:t xml:space="preserve"> carbone sp2 liaison double.</w:t>
            </w:r>
          </w:p>
        </w:tc>
        <w:tc>
          <w:tcPr>
            <w:tcW w:w="3668" w:type="dxa"/>
          </w:tcPr>
          <w:p>
            <w:pPr>
              <w:rPr>
                <w:rStyle w:val="Accentuation"/>
                <w:iCs w:val="0"/>
                <w:color w:val="auto"/>
              </w:rPr>
            </w:pPr>
            <w:r>
              <w:rPr>
                <w:rStyle w:val="Accentuation"/>
              </w:rPr>
              <w:t>Alcyne</w:t>
            </w:r>
            <w:r>
              <w:t xml:space="preserve"> carbone sp liaison simple.</w:t>
            </w:r>
          </w:p>
        </w:tc>
      </w:tr>
    </w:tbl>
    <w:p>
      <w:r>
        <w:t>Les liaisons Pi rendent les alcènes et les alcynes vulnérables à :</w:t>
      </w:r>
    </w:p>
    <w:p>
      <w:pPr>
        <w:pStyle w:val="Paragraphedeliste"/>
        <w:numPr>
          <w:ilvl w:val="0"/>
          <w:numId w:val="5"/>
        </w:numPr>
      </w:pPr>
      <w:r>
        <w:t>Un électrophile notamment au proton. L’alcène est attaqué par un réactif polarisé ou polarisable.</w:t>
      </w:r>
    </w:p>
    <w:p>
      <w:pPr>
        <w:pStyle w:val="Paragraphedeliste"/>
        <w:numPr>
          <w:ilvl w:val="0"/>
          <w:numId w:val="5"/>
        </w:numPr>
      </w:pPr>
      <w:r>
        <w:t>Une molécule non polarisée mais dont l’approche provoque un mouvement coordonné des électrons pour former un dipôle.</w:t>
      </w:r>
    </w:p>
    <w:p>
      <w:r>
        <w:t>Le premier atome attaque toujours sur le carbone le moins substitué (stabilité moléculaire).</w:t>
      </w:r>
    </w:p>
    <w:p>
      <w:r>
        <w:t>Les principales additions possibles sont :</w:t>
      </w:r>
    </w:p>
    <w:tbl>
      <w:tblPr>
        <w:tblStyle w:val="Grilledetableauclaire"/>
        <w:tblW w:w="0" w:type="auto"/>
        <w:tblLook w:val="0420" w:firstRow="1" w:lastRow="0" w:firstColumn="0" w:lastColumn="0" w:noHBand="0" w:noVBand="1"/>
      </w:tblPr>
      <w:tblGrid>
        <w:gridCol w:w="1696"/>
        <w:gridCol w:w="1843"/>
        <w:gridCol w:w="992"/>
        <w:gridCol w:w="2804"/>
      </w:tblGrid>
      <w:tr>
        <w:trPr>
          <w:cnfStyle w:val="100000000000" w:firstRow="1" w:lastRow="0" w:firstColumn="0" w:lastColumn="0" w:oddVBand="0" w:evenVBand="0" w:oddHBand="0" w:evenHBand="0" w:firstRowFirstColumn="0" w:firstRowLastColumn="0" w:lastRowFirstColumn="0" w:lastRowLastColumn="0"/>
        </w:trPr>
        <w:tc>
          <w:tcPr>
            <w:tcW w:w="1696" w:type="dxa"/>
          </w:tcPr>
          <w:p>
            <w:r>
              <w:t>Réactifs</w:t>
            </w:r>
          </w:p>
        </w:tc>
        <w:tc>
          <w:tcPr>
            <w:tcW w:w="1843" w:type="dxa"/>
          </w:tcPr>
          <w:p>
            <w:r>
              <w:t>Faces d’attaque</w:t>
            </w:r>
          </w:p>
        </w:tc>
        <w:tc>
          <w:tcPr>
            <w:tcW w:w="992" w:type="dxa"/>
          </w:tcPr>
          <w:p>
            <w:r>
              <w:t>Étapes</w:t>
            </w:r>
          </w:p>
        </w:tc>
        <w:tc>
          <w:tcPr>
            <w:tcW w:w="2804" w:type="dxa"/>
          </w:tcPr>
          <w:p>
            <w:r>
              <w:t>Intermédiaire</w:t>
            </w:r>
          </w:p>
        </w:tc>
      </w:tr>
      <w:tr>
        <w:tc>
          <w:tcPr>
            <w:tcW w:w="1696" w:type="dxa"/>
          </w:tcPr>
          <w:p>
            <w:pPr>
              <w:rPr>
                <w:bCs/>
              </w:rPr>
            </w:pPr>
            <w:r>
              <w:rPr>
                <w:bCs/>
              </w:rPr>
              <w:t>X</w:t>
            </w:r>
            <w:r>
              <w:rPr>
                <w:bCs/>
                <w:vertAlign w:val="subscript"/>
              </w:rPr>
              <w:t xml:space="preserve">2, </w:t>
            </w:r>
            <w:r>
              <w:t>X-OH</w:t>
            </w:r>
          </w:p>
        </w:tc>
        <w:tc>
          <w:tcPr>
            <w:tcW w:w="1843" w:type="dxa"/>
          </w:tcPr>
          <w:p>
            <w:r>
              <w:t>Anti</w:t>
            </w:r>
          </w:p>
        </w:tc>
        <w:tc>
          <w:tcPr>
            <w:tcW w:w="992" w:type="dxa"/>
          </w:tcPr>
          <w:p>
            <w:r>
              <w:t xml:space="preserve">2 </w:t>
            </w:r>
          </w:p>
        </w:tc>
        <w:tc>
          <w:tcPr>
            <w:tcW w:w="2804" w:type="dxa"/>
          </w:tcPr>
          <w:p>
            <w:r>
              <w:t>Pont ionisé</w:t>
            </w:r>
          </w:p>
        </w:tc>
      </w:tr>
      <w:tr>
        <w:tc>
          <w:tcPr>
            <w:tcW w:w="1696" w:type="dxa"/>
          </w:tcPr>
          <w:p>
            <w:pPr>
              <w:rPr>
                <w:bCs/>
              </w:rPr>
            </w:pPr>
            <w:r>
              <w:rPr>
                <w:bCs/>
              </w:rPr>
              <w:t>H</w:t>
            </w:r>
            <w:r>
              <w:rPr>
                <w:bCs/>
                <w:vertAlign w:val="subscript"/>
              </w:rPr>
              <w:t>2</w:t>
            </w:r>
            <w:r>
              <w:rPr>
                <w:bCs/>
              </w:rPr>
              <w:t>O/H</w:t>
            </w:r>
            <w:r>
              <w:rPr>
                <w:bCs/>
                <w:vertAlign w:val="superscript"/>
              </w:rPr>
              <w:t>+</w:t>
            </w:r>
            <w:r>
              <w:rPr>
                <w:bCs/>
              </w:rPr>
              <w:t>, HX</w:t>
            </w:r>
          </w:p>
        </w:tc>
        <w:tc>
          <w:tcPr>
            <w:tcW w:w="1843" w:type="dxa"/>
          </w:tcPr>
          <w:p>
            <w:r>
              <w:t>Anti</w:t>
            </w:r>
          </w:p>
        </w:tc>
        <w:tc>
          <w:tcPr>
            <w:tcW w:w="992" w:type="dxa"/>
          </w:tcPr>
          <w:p>
            <w:r>
              <w:t>2</w:t>
            </w:r>
          </w:p>
        </w:tc>
        <w:tc>
          <w:tcPr>
            <w:tcW w:w="2804" w:type="dxa"/>
          </w:tcPr>
          <w:p>
            <w:r>
              <w:t>Carbocation</w:t>
            </w:r>
          </w:p>
        </w:tc>
      </w:tr>
      <w:tr>
        <w:tc>
          <w:tcPr>
            <w:tcW w:w="1696" w:type="dxa"/>
          </w:tcPr>
          <w:p>
            <w:r>
              <w:t>H</w:t>
            </w:r>
            <w:r>
              <w:rPr>
                <w:vertAlign w:val="subscript"/>
              </w:rPr>
              <w:t>2</w:t>
            </w:r>
          </w:p>
        </w:tc>
        <w:tc>
          <w:tcPr>
            <w:tcW w:w="1843" w:type="dxa"/>
          </w:tcPr>
          <w:p>
            <w:r>
              <w:t>Syn</w:t>
            </w:r>
          </w:p>
        </w:tc>
        <w:tc>
          <w:tcPr>
            <w:tcW w:w="992" w:type="dxa"/>
          </w:tcPr>
          <w:p>
            <w:r>
              <w:t>1</w:t>
            </w:r>
          </w:p>
        </w:tc>
        <w:tc>
          <w:tcPr>
            <w:tcW w:w="2804" w:type="dxa"/>
          </w:tcPr>
          <w:p>
            <w:r>
              <w:t>X</w:t>
            </w:r>
          </w:p>
        </w:tc>
      </w:tr>
      <w:tr>
        <w:tc>
          <w:tcPr>
            <w:tcW w:w="1696" w:type="dxa"/>
          </w:tcPr>
          <w:p>
            <w:r>
              <w:t>R-CO</w:t>
            </w:r>
            <w:r>
              <w:rPr>
                <w:vertAlign w:val="subscript"/>
              </w:rPr>
              <w:t>3</w:t>
            </w:r>
            <w:r>
              <w:t>H</w:t>
            </w:r>
          </w:p>
        </w:tc>
        <w:tc>
          <w:tcPr>
            <w:tcW w:w="1843" w:type="dxa"/>
          </w:tcPr>
          <w:p>
            <w:r>
              <w:t>X</w:t>
            </w:r>
          </w:p>
        </w:tc>
        <w:tc>
          <w:tcPr>
            <w:tcW w:w="992" w:type="dxa"/>
          </w:tcPr>
          <w:p>
            <w:r>
              <w:t>1</w:t>
            </w:r>
          </w:p>
        </w:tc>
        <w:tc>
          <w:tcPr>
            <w:tcW w:w="2804" w:type="dxa"/>
          </w:tcPr>
          <w:p>
            <w:r>
              <w:t xml:space="preserve">Passage par un peroxyde </w:t>
            </w:r>
          </w:p>
        </w:tc>
      </w:tr>
    </w:tbl>
    <w:p>
      <w:pPr>
        <w:pStyle w:val="Titre2"/>
      </w:pPr>
      <w:r>
        <w:lastRenderedPageBreak/>
        <w:t>Pont ionisé</w:t>
      </w:r>
    </w:p>
    <w:p>
      <w:r>
        <w:t>Addition di-halogénée</w:t>
      </w:r>
    </w:p>
    <w:p>
      <w:r>
        <w:t>L’attaque de la liaison se fait par polarisation de l’halogène et la formation d’un pont ionisé.</w:t>
      </w:r>
    </w:p>
    <w:p>
      <w:r>
        <w:rPr>
          <w:noProof/>
        </w:rPr>
        <w:drawing>
          <wp:inline distT="0" distB="0" distL="0" distR="0">
            <wp:extent cx="3848431" cy="15267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1371" cy="1531914"/>
                    </a:xfrm>
                    <a:prstGeom prst="rect">
                      <a:avLst/>
                    </a:prstGeom>
                    <a:noFill/>
                    <a:ln>
                      <a:noFill/>
                    </a:ln>
                  </pic:spPr>
                </pic:pic>
              </a:graphicData>
            </a:graphic>
          </wp:inline>
        </w:drawing>
      </w:r>
    </w:p>
    <w:p>
      <w:r>
        <w:rPr>
          <w:u w:val="single"/>
        </w:rPr>
        <w:t>Rmq :</w:t>
      </w:r>
      <w:r>
        <w:t xml:space="preserve"> on obtient souvent un mélange d’énantiomères.</w:t>
      </w:r>
    </w:p>
    <w:p>
      <w:r>
        <w:t>En présence d’un solvant protique, c’est le solvant qui réagit sur la face anti car il prédomine dans la solution.</w:t>
      </w:r>
    </w:p>
    <w:p>
      <w:pPr>
        <w:pStyle w:val="Titre2"/>
      </w:pPr>
      <w:r>
        <w:t>Addition par ajout d’un hydrogène</w:t>
      </w:r>
    </w:p>
    <w:p>
      <w:r>
        <w:t>Hydrohalogénation et hydratation (ajout d’une molécule d’eau)</w:t>
      </w:r>
    </w:p>
    <w:p>
      <w:r>
        <w:t xml:space="preserve">L’hydrohalogénation est l’addition d’un groupe H-X. </w:t>
      </w:r>
    </w:p>
    <w:p>
      <w:pPr>
        <w:pStyle w:val="Paragraphedeliste"/>
        <w:numPr>
          <w:ilvl w:val="0"/>
          <w:numId w:val="13"/>
        </w:numPr>
      </w:pPr>
      <w:r>
        <w:t>L’interaction du proton (nucléophile) H le plus stable. Le H interagit sur le composant le moins substitué.</w:t>
      </w:r>
    </w:p>
    <w:p>
      <w:pPr>
        <w:pStyle w:val="Paragraphedeliste"/>
        <w:numPr>
          <w:ilvl w:val="0"/>
          <w:numId w:val="13"/>
        </w:numPr>
      </w:pPr>
      <w:r>
        <w:t>Attaque du carbocation par l’halogène.</w:t>
      </w:r>
    </w:p>
    <w:p>
      <w:r>
        <w:rPr>
          <w:noProof/>
        </w:rPr>
        <w:drawing>
          <wp:inline distT="0" distB="0" distL="0" distR="0">
            <wp:extent cx="3769084" cy="1190102"/>
            <wp:effectExtent l="0" t="0" r="317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97338" cy="1199023"/>
                    </a:xfrm>
                    <a:prstGeom prst="rect">
                      <a:avLst/>
                    </a:prstGeom>
                    <a:noFill/>
                    <a:ln>
                      <a:noFill/>
                    </a:ln>
                  </pic:spPr>
                </pic:pic>
              </a:graphicData>
            </a:graphic>
          </wp:inline>
        </w:drawing>
      </w:r>
    </w:p>
    <w:p>
      <w:r>
        <w:rPr>
          <w:u w:val="single"/>
        </w:rPr>
        <w:t>Rmq :</w:t>
      </w:r>
      <w:r>
        <w:t xml:space="preserve"> on obtient un mélange racémique.</w:t>
      </w:r>
    </w:p>
    <w:p>
      <w:r>
        <w:t>Un atome alcyne peut être di-halogéné.</w:t>
      </w:r>
    </w:p>
    <w:p>
      <w:pPr>
        <w:pStyle w:val="Titre3"/>
      </w:pPr>
      <w:r>
        <w:t>L’hydratation d’un alcyne en alcène</w:t>
      </w:r>
    </w:p>
    <w:p>
      <w:r>
        <w:t xml:space="preserve">L’hydratation nécessite : </w:t>
      </w:r>
    </w:p>
    <w:tbl>
      <w:tblPr>
        <w:tblStyle w:val="Grilledetableauclaire"/>
        <w:tblW w:w="0" w:type="auto"/>
        <w:tblLook w:val="0400" w:firstRow="0" w:lastRow="0" w:firstColumn="0" w:lastColumn="0" w:noHBand="0" w:noVBand="1"/>
      </w:tblPr>
      <w:tblGrid>
        <w:gridCol w:w="3964"/>
        <w:gridCol w:w="3371"/>
      </w:tblGrid>
      <w:tr>
        <w:tc>
          <w:tcPr>
            <w:tcW w:w="3964" w:type="dxa"/>
          </w:tcPr>
          <w:p>
            <w:r>
              <w:t>Une catalyse acide (présence de H</w:t>
            </w:r>
            <w:r>
              <w:rPr>
                <w:vertAlign w:val="superscript"/>
              </w:rPr>
              <w:t>+</w:t>
            </w:r>
            <w:r>
              <w:t>)</w:t>
            </w:r>
          </w:p>
        </w:tc>
        <w:tc>
          <w:tcPr>
            <w:tcW w:w="3371" w:type="dxa"/>
          </w:tcPr>
          <w:p>
            <w:r>
              <w:t>Solvant R-OH (notamment H</w:t>
            </w:r>
            <w:r>
              <w:rPr>
                <w:vertAlign w:val="subscript"/>
              </w:rPr>
              <w:t>2</w:t>
            </w:r>
            <w:r>
              <w:t>O)</w:t>
            </w:r>
          </w:p>
        </w:tc>
      </w:tr>
    </w:tbl>
    <w:p>
      <w:r>
        <w:t xml:space="preserve">Les réactifs et les produits associés </w:t>
      </w:r>
    </w:p>
    <w:tbl>
      <w:tblPr>
        <w:tblStyle w:val="Grilledetableauclaire"/>
        <w:tblW w:w="0" w:type="auto"/>
        <w:tblLook w:val="04A0" w:firstRow="1" w:lastRow="0" w:firstColumn="1" w:lastColumn="0" w:noHBand="0" w:noVBand="1"/>
      </w:tblPr>
      <w:tblGrid>
        <w:gridCol w:w="1129"/>
        <w:gridCol w:w="2268"/>
        <w:gridCol w:w="3938"/>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tc>
        <w:tc>
          <w:tcPr>
            <w:tcW w:w="2268" w:type="dxa"/>
          </w:tcPr>
          <w:p>
            <w:pPr>
              <w:cnfStyle w:val="100000000000" w:firstRow="1" w:lastRow="0" w:firstColumn="0" w:lastColumn="0" w:oddVBand="0" w:evenVBand="0" w:oddHBand="0" w:evenHBand="0" w:firstRowFirstColumn="0" w:firstRowLastColumn="0" w:lastRowFirstColumn="0" w:lastRowLastColumn="0"/>
            </w:pPr>
            <w:r>
              <w:t>Catalyseur</w:t>
            </w:r>
          </w:p>
        </w:tc>
        <w:tc>
          <w:tcPr>
            <w:tcW w:w="3938" w:type="dxa"/>
          </w:tcPr>
          <w:p>
            <w:pPr>
              <w:cnfStyle w:val="100000000000" w:firstRow="1" w:lastRow="0" w:firstColumn="0" w:lastColumn="0" w:oddVBand="0" w:evenVBand="0" w:oddHBand="0" w:evenHBand="0" w:firstRowFirstColumn="0" w:firstRowLastColumn="0" w:lastRowFirstColumn="0" w:lastRowLastColumn="0"/>
            </w:pPr>
            <w:r>
              <w:t>Produit</w:t>
            </w:r>
          </w:p>
        </w:tc>
      </w:tr>
      <w:tr>
        <w:tc>
          <w:tcPr>
            <w:cnfStyle w:val="001000000000" w:firstRow="0" w:lastRow="0" w:firstColumn="1" w:lastColumn="0" w:oddVBand="0" w:evenVBand="0" w:oddHBand="0" w:evenHBand="0" w:firstRowFirstColumn="0" w:firstRowLastColumn="0" w:lastRowFirstColumn="0" w:lastRowLastColumn="0"/>
            <w:tcW w:w="1129" w:type="dxa"/>
          </w:tcPr>
          <w:p>
            <w:r>
              <w:t>Alcène</w:t>
            </w:r>
          </w:p>
        </w:tc>
        <w:tc>
          <w:tcPr>
            <w:tcW w:w="2268" w:type="dxa"/>
          </w:tcPr>
          <w:p>
            <w:pPr>
              <w:cnfStyle w:val="000000000000" w:firstRow="0" w:lastRow="0" w:firstColumn="0" w:lastColumn="0" w:oddVBand="0" w:evenVBand="0" w:oddHBand="0" w:evenHBand="0" w:firstRowFirstColumn="0" w:firstRowLastColumn="0" w:lastRowFirstColumn="0" w:lastRowLastColumn="0"/>
            </w:pPr>
            <w:r>
              <w:t>x</w:t>
            </w:r>
          </w:p>
        </w:tc>
        <w:tc>
          <w:tcPr>
            <w:tcW w:w="3938" w:type="dxa"/>
          </w:tcPr>
          <w:p>
            <w:pPr>
              <w:cnfStyle w:val="000000000000" w:firstRow="0" w:lastRow="0" w:firstColumn="0" w:lastColumn="0" w:oddVBand="0" w:evenVBand="0" w:oddHBand="0" w:evenHBand="0" w:firstRowFirstColumn="0" w:firstRowLastColumn="0" w:lastRowFirstColumn="0" w:lastRowLastColumn="0"/>
            </w:pPr>
            <w:r>
              <w:t>Alcool</w:t>
            </w:r>
          </w:p>
        </w:tc>
      </w:tr>
      <w:tr>
        <w:tc>
          <w:tcPr>
            <w:cnfStyle w:val="001000000000" w:firstRow="0" w:lastRow="0" w:firstColumn="1" w:lastColumn="0" w:oddVBand="0" w:evenVBand="0" w:oddHBand="0" w:evenHBand="0" w:firstRowFirstColumn="0" w:firstRowLastColumn="0" w:lastRowFirstColumn="0" w:lastRowLastColumn="0"/>
            <w:tcW w:w="1129" w:type="dxa"/>
          </w:tcPr>
          <w:p>
            <w:r>
              <w:t>Alcyne</w:t>
            </w:r>
          </w:p>
        </w:tc>
        <w:tc>
          <w:tcPr>
            <w:tcW w:w="2268" w:type="dxa"/>
          </w:tcPr>
          <w:p>
            <w:pPr>
              <w:cnfStyle w:val="000000000000" w:firstRow="0" w:lastRow="0" w:firstColumn="0" w:lastColumn="0" w:oddVBand="0" w:evenVBand="0" w:oddHBand="0" w:evenHBand="0" w:firstRowFirstColumn="0" w:firstRowLastColumn="0" w:lastRowFirstColumn="0" w:lastRowLastColumn="0"/>
            </w:pPr>
            <w:r>
              <w:t>+ catalyseur (Hg</w:t>
            </w:r>
            <w:r>
              <w:rPr>
                <w:vertAlign w:val="superscript"/>
              </w:rPr>
              <w:t>2+</w:t>
            </w:r>
            <w:r>
              <w:t>)</w:t>
            </w:r>
          </w:p>
        </w:tc>
        <w:tc>
          <w:tcPr>
            <w:tcW w:w="3938" w:type="dxa"/>
          </w:tcPr>
          <w:p>
            <w:pPr>
              <w:cnfStyle w:val="000000000000" w:firstRow="0" w:lastRow="0" w:firstColumn="0" w:lastColumn="0" w:oddVBand="0" w:evenVBand="0" w:oddHBand="0" w:evenHBand="0" w:firstRowFirstColumn="0" w:firstRowLastColumn="0" w:lastRowFirstColumn="0" w:lastRowLastColumn="0"/>
            </w:pPr>
            <w:r>
              <w:t>Alcool mais avec tautomérie possible et formation de cétone.</w:t>
            </w:r>
          </w:p>
        </w:tc>
      </w:tr>
    </w:tbl>
    <w:p>
      <w:r>
        <w:t>Dans le cadre de réactions d’alcynes en alcènes on obtient généralement par tautomérie, le déplacement la double liaison C=C sur l’oxygène via un transfert d’un proton.</w:t>
      </w:r>
    </w:p>
    <w:p>
      <w:r>
        <w:rPr>
          <w:u w:val="single"/>
        </w:rPr>
        <w:t>Rmq :</w:t>
      </w:r>
      <w:r>
        <w:t xml:space="preserve"> on obtient souvent autant de E /Z.</w:t>
      </w:r>
    </w:p>
    <w:p>
      <w:r>
        <w:t>Attention pour les alcynes, les groupements R1 et R2 ne doivent pas être des H.</w:t>
      </w:r>
    </w:p>
    <w:p>
      <w:pPr>
        <w:pStyle w:val="Titre2"/>
      </w:pPr>
      <w:r>
        <w:t>Hydrogénation (addition de deux hydrogène)</w:t>
      </w:r>
    </w:p>
    <w:p>
      <w:r>
        <w:t>L’hydrogénation est une addition de deux hydrogènes à la place d’une double ou d’une triple liaison C=C. Ce mécanisme se déroule</w:t>
      </w:r>
    </w:p>
    <w:tbl>
      <w:tblPr>
        <w:tblStyle w:val="Grilledetableauclaire"/>
        <w:tblW w:w="0" w:type="auto"/>
        <w:tblLook w:val="0400" w:firstRow="0" w:lastRow="0" w:firstColumn="0" w:lastColumn="0" w:noHBand="0" w:noVBand="1"/>
      </w:tblPr>
      <w:tblGrid>
        <w:gridCol w:w="3667"/>
        <w:gridCol w:w="3668"/>
      </w:tblGrid>
      <w:tr>
        <w:tc>
          <w:tcPr>
            <w:tcW w:w="3667" w:type="dxa"/>
          </w:tcPr>
          <w:p>
            <w:r>
              <w:t>En une étape</w:t>
            </w:r>
          </w:p>
        </w:tc>
        <w:tc>
          <w:tcPr>
            <w:tcW w:w="3668" w:type="dxa"/>
          </w:tcPr>
          <w:p>
            <w:r>
              <w:t>En présence de H</w:t>
            </w:r>
            <w:r>
              <w:rPr>
                <w:vertAlign w:val="subscript"/>
              </w:rPr>
              <w:t>2</w:t>
            </w:r>
          </w:p>
        </w:tc>
      </w:tr>
    </w:tbl>
    <w:p>
      <w:r>
        <w:t>Elle dépend également :</w:t>
      </w:r>
    </w:p>
    <w:tbl>
      <w:tblPr>
        <w:tblStyle w:val="Grilledetableauclaire"/>
        <w:tblW w:w="0" w:type="auto"/>
        <w:tblLook w:val="0400" w:firstRow="0" w:lastRow="0" w:firstColumn="0" w:lastColumn="0" w:noHBand="0" w:noVBand="1"/>
      </w:tblPr>
      <w:tblGrid>
        <w:gridCol w:w="3667"/>
        <w:gridCol w:w="3668"/>
      </w:tblGrid>
      <w:tr>
        <w:tc>
          <w:tcPr>
            <w:tcW w:w="3667" w:type="dxa"/>
          </w:tcPr>
          <w:p>
            <w:r>
              <w:t>Du catalyseur</w:t>
            </w:r>
          </w:p>
        </w:tc>
        <w:tc>
          <w:tcPr>
            <w:tcW w:w="3668" w:type="dxa"/>
          </w:tcPr>
          <w:p>
            <w:r>
              <w:t>De la pression</w:t>
            </w:r>
          </w:p>
        </w:tc>
      </w:tr>
    </w:tbl>
    <w:p>
      <w:r>
        <w:t>L’attaque par le dihydrogène se fait du même côté. On parle de syn-addition c’est-à-dire d’une addition polarisée.</w:t>
      </w:r>
      <w:r>
        <w:rPr>
          <w:noProof/>
        </w:rPr>
        <w:t xml:space="preserve"> </w:t>
      </w:r>
      <w:r>
        <w:rPr>
          <w:noProof/>
        </w:rPr>
        <w:drawing>
          <wp:inline distT="0" distB="0" distL="0" distR="0">
            <wp:extent cx="4659630" cy="612140"/>
            <wp:effectExtent l="0" t="0" r="762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59630" cy="612140"/>
                    </a:xfrm>
                    <a:prstGeom prst="rect">
                      <a:avLst/>
                    </a:prstGeom>
                    <a:noFill/>
                    <a:ln>
                      <a:noFill/>
                    </a:ln>
                  </pic:spPr>
                </pic:pic>
              </a:graphicData>
            </a:graphic>
          </wp:inline>
        </w:drawing>
      </w:r>
    </w:p>
    <w:p>
      <w:pPr>
        <w:pStyle w:val="Titre3"/>
      </w:pPr>
      <w:r>
        <w:lastRenderedPageBreak/>
        <w:t>Les types de catalyseurs</w:t>
      </w:r>
    </w:p>
    <w:p>
      <w:r>
        <w:t xml:space="preserve">Le type d’hydrogénation dépend du catalyseur utilisé : </w:t>
      </w:r>
    </w:p>
    <w:tbl>
      <w:tblPr>
        <w:tblStyle w:val="Grilledetableauclaire"/>
        <w:tblW w:w="0" w:type="auto"/>
        <w:tblLook w:val="0480" w:firstRow="0" w:lastRow="0" w:firstColumn="1" w:lastColumn="0" w:noHBand="0" w:noVBand="1"/>
      </w:tblPr>
      <w:tblGrid>
        <w:gridCol w:w="1271"/>
        <w:gridCol w:w="3387"/>
        <w:gridCol w:w="2677"/>
      </w:tblGrid>
      <w:tr>
        <w:tc>
          <w:tcPr>
            <w:cnfStyle w:val="001000000000" w:firstRow="0" w:lastRow="0" w:firstColumn="1" w:lastColumn="0" w:oddVBand="0" w:evenVBand="0" w:oddHBand="0" w:evenHBand="0" w:firstRowFirstColumn="0" w:firstRowLastColumn="0" w:lastRowFirstColumn="0" w:lastRowLastColumn="0"/>
            <w:tcW w:w="1271" w:type="dxa"/>
          </w:tcPr>
          <w:p>
            <w:r>
              <w:t>Type</w:t>
            </w:r>
          </w:p>
        </w:tc>
        <w:tc>
          <w:tcPr>
            <w:tcW w:w="3387" w:type="dxa"/>
          </w:tcPr>
          <w:p>
            <w:pPr>
              <w:cnfStyle w:val="000000000000" w:firstRow="0" w:lastRow="0" w:firstColumn="0" w:lastColumn="0" w:oddVBand="0" w:evenVBand="0" w:oddHBand="0" w:evenHBand="0" w:firstRowFirstColumn="0" w:firstRowLastColumn="0" w:lastRowFirstColumn="0" w:lastRowLastColumn="0"/>
            </w:pPr>
            <w:r>
              <w:t>Hydrogénation total</w:t>
            </w:r>
          </w:p>
        </w:tc>
        <w:tc>
          <w:tcPr>
            <w:tcW w:w="2677" w:type="dxa"/>
          </w:tcPr>
          <w:p>
            <w:pPr>
              <w:cnfStyle w:val="000000000000" w:firstRow="0" w:lastRow="0" w:firstColumn="0" w:lastColumn="0" w:oddVBand="0" w:evenVBand="0" w:oddHBand="0" w:evenHBand="0" w:firstRowFirstColumn="0" w:firstRowLastColumn="0" w:lastRowFirstColumn="0" w:lastRowLastColumn="0"/>
            </w:pPr>
            <w:r>
              <w:t>Semi-hydrogénation</w:t>
            </w:r>
          </w:p>
        </w:tc>
      </w:tr>
      <w:tr>
        <w:tc>
          <w:tcPr>
            <w:cnfStyle w:val="001000000000" w:firstRow="0" w:lastRow="0" w:firstColumn="1" w:lastColumn="0" w:oddVBand="0" w:evenVBand="0" w:oddHBand="0" w:evenHBand="0" w:firstRowFirstColumn="0" w:firstRowLastColumn="0" w:lastRowFirstColumn="0" w:lastRowLastColumn="0"/>
            <w:tcW w:w="1271" w:type="dxa"/>
          </w:tcPr>
          <w:p>
            <w:r>
              <w:t>Réaction</w:t>
            </w:r>
          </w:p>
        </w:tc>
        <w:tc>
          <w:tcPr>
            <w:tcW w:w="3387" w:type="dxa"/>
          </w:tcPr>
          <w:p>
            <w:pPr>
              <w:cnfStyle w:val="000000000000" w:firstRow="0" w:lastRow="0" w:firstColumn="0" w:lastColumn="0" w:oddVBand="0" w:evenVBand="0" w:oddHBand="0" w:evenHBand="0" w:firstRowFirstColumn="0" w:firstRowLastColumn="0" w:lastRowFirstColumn="0" w:lastRowLastColumn="0"/>
            </w:pPr>
            <w:r>
              <w:t xml:space="preserve">Alcène et alcyne </w:t>
            </w:r>
            <w:r>
              <w:rPr>
                <w:rFonts w:ascii="Arial" w:hAnsi="Arial" w:cs="Arial"/>
              </w:rPr>
              <w:t>→</w:t>
            </w:r>
            <w:r>
              <w:t xml:space="preserve"> Alcane</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Alcyne </w:t>
            </w:r>
            <w:r>
              <w:rPr>
                <w:rFonts w:ascii="Arial" w:hAnsi="Arial" w:cs="Arial"/>
              </w:rPr>
              <w:t>→</w:t>
            </w:r>
            <w:r>
              <w:t xml:space="preserve"> Alcène</w:t>
            </w:r>
          </w:p>
        </w:tc>
      </w:tr>
      <w:tr>
        <w:tc>
          <w:tcPr>
            <w:cnfStyle w:val="001000000000" w:firstRow="0" w:lastRow="0" w:firstColumn="1" w:lastColumn="0" w:oddVBand="0" w:evenVBand="0" w:oddHBand="0" w:evenHBand="0" w:firstRowFirstColumn="0" w:firstRowLastColumn="0" w:lastRowFirstColumn="0" w:lastRowLastColumn="0"/>
            <w:tcW w:w="1271" w:type="dxa"/>
          </w:tcPr>
          <w:p>
            <w:r>
              <w:t>Exemple de cata.</w:t>
            </w:r>
          </w:p>
        </w:tc>
        <w:tc>
          <w:tcPr>
            <w:tcW w:w="3387" w:type="dxa"/>
          </w:tcPr>
          <w:p>
            <w:pPr>
              <w:cnfStyle w:val="000000000000" w:firstRow="0" w:lastRow="0" w:firstColumn="0" w:lastColumn="0" w:oddVBand="0" w:evenVBand="0" w:oddHBand="0" w:evenHBand="0" w:firstRowFirstColumn="0" w:firstRowLastColumn="0" w:lastRowFirstColumn="0" w:lastRowLastColumn="0"/>
            </w:pPr>
            <w:r>
              <w:t>Palladium sur charbon (Pd/C)</w:t>
            </w:r>
          </w:p>
          <w:p>
            <w:pPr>
              <w:cnfStyle w:val="000000000000" w:firstRow="0" w:lastRow="0" w:firstColumn="0" w:lastColumn="0" w:oddVBand="0" w:evenVBand="0" w:oddHBand="0" w:evenHBand="0" w:firstRowFirstColumn="0" w:firstRowLastColumn="0" w:lastRowFirstColumn="0" w:lastRowLastColumn="0"/>
            </w:pPr>
            <w:r>
              <w:t>Nickel de Raney (Ni)</w:t>
            </w:r>
          </w:p>
          <w:p>
            <w:pPr>
              <w:cnfStyle w:val="000000000000" w:firstRow="0" w:lastRow="0" w:firstColumn="0" w:lastColumn="0" w:oddVBand="0" w:evenVBand="0" w:oddHBand="0" w:evenHBand="0" w:firstRowFirstColumn="0" w:firstRowLastColumn="0" w:lastRowFirstColumn="0" w:lastRowLastColumn="0"/>
            </w:pPr>
            <w:r>
              <w:t>L’oxyde de platine (PtO2)</w:t>
            </w:r>
          </w:p>
        </w:tc>
        <w:tc>
          <w:tcPr>
            <w:tcW w:w="2677" w:type="dxa"/>
          </w:tcPr>
          <w:p>
            <w:pPr>
              <w:cnfStyle w:val="000000000000" w:firstRow="0" w:lastRow="0" w:firstColumn="0" w:lastColumn="0" w:oddVBand="0" w:evenVBand="0" w:oddHBand="0" w:evenHBand="0" w:firstRowFirstColumn="0" w:firstRowLastColumn="0" w:lastRowFirstColumn="0" w:lastRowLastColumn="0"/>
            </w:pPr>
            <w:r>
              <w:t xml:space="preserve">Pd Lindlar </w:t>
            </w:r>
          </w:p>
        </w:tc>
      </w:tr>
    </w:tbl>
    <w:p>
      <w:r>
        <w:rPr>
          <w:u w:val="single"/>
        </w:rPr>
        <w:t>Rmq :</w:t>
      </w:r>
      <w:r>
        <w:t xml:space="preserve"> les catalyseurs sont essentiellement des métaux de transition.</w:t>
      </w:r>
    </w:p>
    <w:p>
      <w:pPr>
        <w:pStyle w:val="Titre3"/>
      </w:pPr>
      <w:r>
        <w:t>Effet de la pression</w:t>
      </w:r>
    </w:p>
    <w:p>
      <w:r>
        <w:t>La réactivité des liaisons doubles dépend de leur accessibilité. Les doubles liaisons les moins accessibles comme celles situées dans des cycles sont plus Pour pouvoir les faire réagir il faut augmenter la pression.</w:t>
      </w:r>
    </w:p>
    <w:p>
      <w:r>
        <w:rPr>
          <w:u w:val="single"/>
        </w:rPr>
        <w:t>Rmq :</w:t>
      </w:r>
      <w:r>
        <w:t xml:space="preserve"> la réaction est donc chimio sélective car plus l’alcène est difficile d’accès, plus il faudra augmenter la pression pour hydrogéner la liaison.</w:t>
      </w:r>
    </w:p>
    <w:p>
      <w:r>
        <w:t>Tableau de la pression nécessaire pour en fonction du nombre de substituants sur les deux carbones pour réduire un alcène :</w:t>
      </w:r>
    </w:p>
    <w:tbl>
      <w:tblPr>
        <w:tblStyle w:val="Grilledetableauclaire"/>
        <w:tblW w:w="0" w:type="auto"/>
        <w:tblLook w:val="0480" w:firstRow="0" w:lastRow="0" w:firstColumn="1" w:lastColumn="0" w:noHBand="0" w:noVBand="1"/>
      </w:tblPr>
      <w:tblGrid>
        <w:gridCol w:w="1980"/>
        <w:gridCol w:w="954"/>
        <w:gridCol w:w="1467"/>
        <w:gridCol w:w="1467"/>
        <w:gridCol w:w="1467"/>
      </w:tblGrid>
      <w:tr>
        <w:tc>
          <w:tcPr>
            <w:cnfStyle w:val="001000000000" w:firstRow="0" w:lastRow="0" w:firstColumn="1" w:lastColumn="0" w:oddVBand="0" w:evenVBand="0" w:oddHBand="0" w:evenHBand="0" w:firstRowFirstColumn="0" w:firstRowLastColumn="0" w:lastRowFirstColumn="0" w:lastRowLastColumn="0"/>
            <w:tcW w:w="1980" w:type="dxa"/>
          </w:tcPr>
          <w:p>
            <w:r>
              <w:t>Substitué</w:t>
            </w:r>
          </w:p>
        </w:tc>
        <w:tc>
          <w:tcPr>
            <w:tcW w:w="954" w:type="dxa"/>
          </w:tcPr>
          <w:p>
            <w:pPr>
              <w:cnfStyle w:val="000000000000" w:firstRow="0" w:lastRow="0" w:firstColumn="0" w:lastColumn="0" w:oddVBand="0" w:evenVBand="0" w:oddHBand="0" w:evenHBand="0" w:firstRowFirstColumn="0" w:firstRowLastColumn="0" w:lastRowFirstColumn="0" w:lastRowLastColumn="0"/>
            </w:pPr>
            <w:r>
              <w:t>Mono</w:t>
            </w:r>
          </w:p>
        </w:tc>
        <w:tc>
          <w:tcPr>
            <w:tcW w:w="1467" w:type="dxa"/>
          </w:tcPr>
          <w:p>
            <w:pPr>
              <w:cnfStyle w:val="000000000000" w:firstRow="0" w:lastRow="0" w:firstColumn="0" w:lastColumn="0" w:oddVBand="0" w:evenVBand="0" w:oddHBand="0" w:evenHBand="0" w:firstRowFirstColumn="0" w:firstRowLastColumn="0" w:lastRowFirstColumn="0" w:lastRowLastColumn="0"/>
            </w:pPr>
            <w:r>
              <w:t>Di</w:t>
            </w:r>
          </w:p>
        </w:tc>
        <w:tc>
          <w:tcPr>
            <w:tcW w:w="1467" w:type="dxa"/>
          </w:tcPr>
          <w:p>
            <w:pPr>
              <w:cnfStyle w:val="000000000000" w:firstRow="0" w:lastRow="0" w:firstColumn="0" w:lastColumn="0" w:oddVBand="0" w:evenVBand="0" w:oddHBand="0" w:evenHBand="0" w:firstRowFirstColumn="0" w:firstRowLastColumn="0" w:lastRowFirstColumn="0" w:lastRowLastColumn="0"/>
            </w:pPr>
            <w:r>
              <w:t>Tri</w:t>
            </w:r>
          </w:p>
        </w:tc>
        <w:tc>
          <w:tcPr>
            <w:tcW w:w="1467" w:type="dxa"/>
          </w:tcPr>
          <w:p>
            <w:pPr>
              <w:cnfStyle w:val="000000000000" w:firstRow="0" w:lastRow="0" w:firstColumn="0" w:lastColumn="0" w:oddVBand="0" w:evenVBand="0" w:oddHBand="0" w:evenHBand="0" w:firstRowFirstColumn="0" w:firstRowLastColumn="0" w:lastRowFirstColumn="0" w:lastRowLastColumn="0"/>
            </w:pPr>
            <w:r>
              <w:t>Tétra</w:t>
            </w:r>
          </w:p>
        </w:tc>
      </w:tr>
      <w:tr>
        <w:tc>
          <w:tcPr>
            <w:cnfStyle w:val="001000000000" w:firstRow="0" w:lastRow="0" w:firstColumn="1" w:lastColumn="0" w:oddVBand="0" w:evenVBand="0" w:oddHBand="0" w:evenHBand="0" w:firstRowFirstColumn="0" w:firstRowLastColumn="0" w:lastRowFirstColumn="0" w:lastRowLastColumn="0"/>
            <w:tcW w:w="1980" w:type="dxa"/>
          </w:tcPr>
          <w:p>
            <w:r>
              <w:t>Nbre de bars</w:t>
            </w:r>
          </w:p>
        </w:tc>
        <w:tc>
          <w:tcPr>
            <w:tcW w:w="954"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1</w:t>
            </w:r>
          </w:p>
        </w:tc>
        <w:tc>
          <w:tcPr>
            <w:tcW w:w="1467" w:type="dxa"/>
          </w:tcPr>
          <w:p>
            <w:pPr>
              <w:cnfStyle w:val="000000000000" w:firstRow="0" w:lastRow="0" w:firstColumn="0" w:lastColumn="0" w:oddVBand="0" w:evenVBand="0" w:oddHBand="0" w:evenHBand="0" w:firstRowFirstColumn="0" w:firstRowLastColumn="0" w:lastRowFirstColumn="0" w:lastRowLastColumn="0"/>
            </w:pPr>
            <w:r>
              <w:t>5</w:t>
            </w:r>
          </w:p>
        </w:tc>
        <w:tc>
          <w:tcPr>
            <w:tcW w:w="1467" w:type="dxa"/>
          </w:tcPr>
          <w:p>
            <w:pPr>
              <w:cnfStyle w:val="000000000000" w:firstRow="0" w:lastRow="0" w:firstColumn="0" w:lastColumn="0" w:oddVBand="0" w:evenVBand="0" w:oddHBand="0" w:evenHBand="0" w:firstRowFirstColumn="0" w:firstRowLastColumn="0" w:lastRowFirstColumn="0" w:lastRowLastColumn="0"/>
            </w:pPr>
            <w:r>
              <w:t>10</w:t>
            </w:r>
          </w:p>
        </w:tc>
      </w:tr>
    </w:tbl>
    <w:p>
      <w:pPr>
        <w:pStyle w:val="Titre2"/>
      </w:pPr>
      <w:r>
        <w:t xml:space="preserve">Oxydation </w:t>
      </w:r>
    </w:p>
    <w:p>
      <w:r>
        <w:t>Condition : présence d’un peracide (R-CO</w:t>
      </w:r>
      <w:r>
        <w:rPr>
          <w:vertAlign w:val="subscript"/>
        </w:rPr>
        <w:t>3</w:t>
      </w:r>
      <w:r>
        <w:t>H). Exemple : mCPB</w:t>
      </w:r>
      <w:r>
        <w:rPr>
          <w:noProof/>
        </w:rPr>
        <w:drawing>
          <wp:inline distT="0" distB="0" distL="0" distR="0">
            <wp:extent cx="2721836" cy="2628900"/>
            <wp:effectExtent l="0" t="0" r="254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29427" cy="2636231"/>
                    </a:xfrm>
                    <a:prstGeom prst="rect">
                      <a:avLst/>
                    </a:prstGeom>
                    <a:noFill/>
                    <a:ln>
                      <a:noFill/>
                    </a:ln>
                  </pic:spPr>
                </pic:pic>
              </a:graphicData>
            </a:graphic>
          </wp:inline>
        </w:drawing>
      </w:r>
    </w:p>
    <w:p>
      <w:pPr>
        <w:pStyle w:val="Titre1"/>
      </w:pPr>
      <w:r>
        <w:t>Oxydation</w:t>
      </w:r>
    </w:p>
    <w:p>
      <w:r>
        <w:t>L’oxydation est un type de réaction qui traduit le transfert d’électrons entre deux molécules. La molécule ou l’atome qui donne les électrons est appelé réducteur et celle qui les recoit oxydant.</w:t>
      </w:r>
    </w:p>
    <w:p>
      <w:r>
        <w:t>Réducteur à connaitre : zinc, acide acétique, DMS, DHCL.</w:t>
      </w:r>
    </w:p>
    <w:p>
      <w:r>
        <w:rPr>
          <w:u w:val="single"/>
        </w:rPr>
        <w:t>Exemple :</w:t>
      </w:r>
      <w:r>
        <w:t xml:space="preserve"> l’oxydation de la molécule en utilisant le réducteur MnO</w:t>
      </w:r>
      <w:r>
        <w:rPr>
          <w:vertAlign w:val="superscript"/>
        </w:rPr>
        <w:t>-</w:t>
      </w:r>
      <w:r>
        <w:rPr>
          <w:vertAlign w:val="subscript"/>
        </w:rPr>
        <w:t>4</w:t>
      </w:r>
      <w:r>
        <w:t>. Mn passe d’un degré d’oxydation VII à II ce qui signifie qu’il a cédé 5 électrons.</w:t>
      </w:r>
    </w:p>
    <w:p>
      <w:r>
        <w:rPr>
          <w:noProof/>
        </w:rPr>
        <w:lastRenderedPageBreak/>
        <w:drawing>
          <wp:inline distT="0" distB="0" distL="0" distR="0">
            <wp:extent cx="4648200" cy="2228850"/>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48200" cy="2228850"/>
                    </a:xfrm>
                    <a:prstGeom prst="rect">
                      <a:avLst/>
                    </a:prstGeom>
                    <a:noFill/>
                    <a:ln>
                      <a:noFill/>
                    </a:ln>
                  </pic:spPr>
                </pic:pic>
              </a:graphicData>
            </a:graphic>
          </wp:inline>
        </w:drawing>
      </w:r>
    </w:p>
    <w:p>
      <w:pPr>
        <w:pStyle w:val="Titre2"/>
      </w:pPr>
      <w:r>
        <w:t>Oxydation d’un alcool</w:t>
      </w:r>
    </w:p>
    <w:tbl>
      <w:tblPr>
        <w:tblStyle w:val="Grilledetableauclaire"/>
        <w:tblW w:w="0" w:type="auto"/>
        <w:tblLook w:val="0420" w:firstRow="1" w:lastRow="0" w:firstColumn="0" w:lastColumn="0" w:noHBand="0" w:noVBand="1"/>
      </w:tblPr>
      <w:tblGrid>
        <w:gridCol w:w="1396"/>
        <w:gridCol w:w="4396"/>
        <w:gridCol w:w="1543"/>
      </w:tblGrid>
      <w:tr>
        <w:trPr>
          <w:cnfStyle w:val="100000000000" w:firstRow="1" w:lastRow="0" w:firstColumn="0" w:lastColumn="0" w:oddVBand="0" w:evenVBand="0" w:oddHBand="0" w:evenHBand="0" w:firstRowFirstColumn="0" w:firstRowLastColumn="0" w:lastRowFirstColumn="0" w:lastRowLastColumn="0"/>
        </w:trPr>
        <w:tc>
          <w:tcPr>
            <w:tcW w:w="1396" w:type="dxa"/>
          </w:tcPr>
          <w:p>
            <w:r>
              <w:t>Type de carbone</w:t>
            </w:r>
          </w:p>
        </w:tc>
        <w:tc>
          <w:tcPr>
            <w:tcW w:w="4396" w:type="dxa"/>
          </w:tcPr>
          <w:p>
            <w:r>
              <w:t>Mécanisme</w:t>
            </w:r>
          </w:p>
        </w:tc>
        <w:tc>
          <w:tcPr>
            <w:tcW w:w="1543" w:type="dxa"/>
          </w:tcPr>
          <w:p>
            <w:r>
              <w:t>Produit</w:t>
            </w:r>
          </w:p>
        </w:tc>
      </w:tr>
      <w:tr>
        <w:tc>
          <w:tcPr>
            <w:tcW w:w="1396" w:type="dxa"/>
          </w:tcPr>
          <w:p>
            <w:r>
              <w:t>Primaire</w:t>
            </w:r>
          </w:p>
        </w:tc>
        <w:tc>
          <w:tcPr>
            <w:tcW w:w="4396" w:type="dxa"/>
          </w:tcPr>
          <w:p>
            <w:r>
              <w:rPr>
                <w:noProof/>
              </w:rPr>
              <w:drawing>
                <wp:inline distT="0" distB="0" distL="0" distR="0">
                  <wp:extent cx="2654490" cy="338140"/>
                  <wp:effectExtent l="0" t="0" r="0" b="508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9417" cy="352780"/>
                          </a:xfrm>
                          <a:prstGeom prst="rect">
                            <a:avLst/>
                          </a:prstGeom>
                          <a:noFill/>
                          <a:ln>
                            <a:noFill/>
                          </a:ln>
                        </pic:spPr>
                      </pic:pic>
                    </a:graphicData>
                  </a:graphic>
                </wp:inline>
              </w:drawing>
            </w:r>
          </w:p>
        </w:tc>
        <w:tc>
          <w:tcPr>
            <w:tcW w:w="1543" w:type="dxa"/>
          </w:tcPr>
          <w:p>
            <w:r>
              <w:t>Acide carboxylique</w:t>
            </w:r>
          </w:p>
        </w:tc>
      </w:tr>
      <w:tr>
        <w:tc>
          <w:tcPr>
            <w:tcW w:w="1396" w:type="dxa"/>
          </w:tcPr>
          <w:p>
            <w:r>
              <w:t>Secondaire</w:t>
            </w:r>
          </w:p>
        </w:tc>
        <w:tc>
          <w:tcPr>
            <w:tcW w:w="4396" w:type="dxa"/>
          </w:tcPr>
          <w:p>
            <w:r>
              <w:rPr>
                <w:noProof/>
              </w:rPr>
              <w:drawing>
                <wp:inline distT="0" distB="0" distL="0" distR="0">
                  <wp:extent cx="1849230" cy="346668"/>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47319" cy="365056"/>
                          </a:xfrm>
                          <a:prstGeom prst="rect">
                            <a:avLst/>
                          </a:prstGeom>
                          <a:noFill/>
                          <a:ln>
                            <a:noFill/>
                          </a:ln>
                        </pic:spPr>
                      </pic:pic>
                    </a:graphicData>
                  </a:graphic>
                </wp:inline>
              </w:drawing>
            </w:r>
          </w:p>
        </w:tc>
        <w:tc>
          <w:tcPr>
            <w:tcW w:w="1543" w:type="dxa"/>
          </w:tcPr>
          <w:p>
            <w:r>
              <w:t>Cétone</w:t>
            </w:r>
          </w:p>
        </w:tc>
      </w:tr>
      <w:tr>
        <w:tc>
          <w:tcPr>
            <w:tcW w:w="1396" w:type="dxa"/>
          </w:tcPr>
          <w:p>
            <w:r>
              <w:t>Tertiaire</w:t>
            </w:r>
          </w:p>
        </w:tc>
        <w:tc>
          <w:tcPr>
            <w:tcW w:w="4396" w:type="dxa"/>
          </w:tcPr>
          <w:p>
            <w:r>
              <w:t>Pas possible</w:t>
            </w:r>
          </w:p>
        </w:tc>
        <w:tc>
          <w:tcPr>
            <w:tcW w:w="1543" w:type="dxa"/>
          </w:tcPr>
          <w:p/>
        </w:tc>
      </w:tr>
    </w:tbl>
    <w:p>
      <w:pPr>
        <w:rPr>
          <w:vertAlign w:val="superscript"/>
        </w:rPr>
      </w:pPr>
      <w:r>
        <w:t>Exemple de réducteurs : MnO</w:t>
      </w:r>
      <w:r>
        <w:rPr>
          <w:vertAlign w:val="subscript"/>
        </w:rPr>
        <w:t>4</w:t>
      </w:r>
      <w:r>
        <w:rPr>
          <w:vertAlign w:val="superscript"/>
        </w:rPr>
        <w:t>-</w:t>
      </w:r>
    </w:p>
    <w:p>
      <w:pPr>
        <w:pStyle w:val="Titre2"/>
      </w:pPr>
      <w:r>
        <w:t>Di-hydroxylation des alcènes pour la formation de diol</w:t>
      </w:r>
    </w:p>
    <w:p>
      <w:r>
        <w:t xml:space="preserve">La di-hydroxylation est l’ajout de deux groupements alcools. Pour la réaliser on a besoin d’eau et d’un réducteur comme : </w:t>
      </w:r>
    </w:p>
    <w:tbl>
      <w:tblPr>
        <w:tblStyle w:val="Grilledetableauclaire"/>
        <w:tblW w:w="0" w:type="auto"/>
        <w:tblLook w:val="0400" w:firstRow="0" w:lastRow="0" w:firstColumn="0" w:lastColumn="0" w:noHBand="0" w:noVBand="1"/>
      </w:tblPr>
      <w:tblGrid>
        <w:gridCol w:w="3667"/>
        <w:gridCol w:w="3668"/>
      </w:tblGrid>
      <w:tr>
        <w:tc>
          <w:tcPr>
            <w:tcW w:w="3667" w:type="dxa"/>
          </w:tcPr>
          <w:p>
            <w:r>
              <w:t>KMnO</w:t>
            </w:r>
            <w:r>
              <w:rPr>
                <w:vertAlign w:val="subscript"/>
              </w:rPr>
              <w:t>4</w:t>
            </w:r>
            <w:r>
              <w:t xml:space="preserve"> à froid (permanganate de K)</w:t>
            </w:r>
          </w:p>
        </w:tc>
        <w:tc>
          <w:tcPr>
            <w:tcW w:w="3668" w:type="dxa"/>
          </w:tcPr>
          <w:p>
            <w:r>
              <w:t>OsO</w:t>
            </w:r>
            <w:r>
              <w:rPr>
                <w:vertAlign w:val="subscript"/>
              </w:rPr>
              <w:t>4</w:t>
            </w:r>
            <w:r>
              <w:t xml:space="preserve"> (tétroxyde d’osium) en conditions réductrices (Zn/HCl)</w:t>
            </w:r>
          </w:p>
        </w:tc>
      </w:tr>
    </w:tbl>
    <w:p>
      <w:pPr>
        <w:pStyle w:val="Titre3"/>
      </w:pPr>
      <w:r>
        <w:t>KMnO</w:t>
      </w:r>
      <w:r>
        <w:rPr>
          <w:vertAlign w:val="subscript"/>
        </w:rPr>
        <w:t>4</w:t>
      </w:r>
    </w:p>
    <w:p>
      <w:r>
        <w:t>Syn-hydroxylation</w:t>
      </w:r>
    </w:p>
    <w:p>
      <w:pPr>
        <w:pStyle w:val="Paragraphedeliste"/>
        <w:numPr>
          <w:ilvl w:val="0"/>
          <w:numId w:val="19"/>
        </w:numPr>
      </w:pPr>
      <w:r>
        <w:t>L’alcènes réagit avec MnO</w:t>
      </w:r>
      <w:r>
        <w:rPr>
          <w:vertAlign w:val="subscript"/>
        </w:rPr>
        <w:t>4</w:t>
      </w:r>
      <w:r>
        <w:rPr>
          <w:vertAlign w:val="superscript"/>
        </w:rPr>
        <w:t>-</w:t>
      </w:r>
      <w:r>
        <w:t xml:space="preserve"> en se liant à deux oxygènes.</w:t>
      </w:r>
    </w:p>
    <w:p>
      <w:pPr>
        <w:pStyle w:val="Paragraphedeliste"/>
        <w:numPr>
          <w:ilvl w:val="0"/>
          <w:numId w:val="19"/>
        </w:numPr>
      </w:pPr>
      <w:r>
        <w:t>Hydrolyse des liaisons par l’eau.</w:t>
      </w:r>
    </w:p>
    <w:p>
      <w:r>
        <w:t>Les groupements alcools se retrouvent du même côté.</w:t>
      </w:r>
    </w:p>
    <w:p>
      <w:r>
        <w:rPr>
          <w:u w:val="single"/>
        </w:rPr>
        <w:t>Rmq :</w:t>
      </w:r>
      <w:r>
        <w:t xml:space="preserve"> on obtient un mélange racémique.</w:t>
      </w:r>
    </w:p>
    <w:p>
      <w:pPr>
        <w:rPr>
          <w:vertAlign w:val="subscript"/>
        </w:rPr>
      </w:pPr>
      <w:r>
        <w:t>Lorsque le KMnO</w:t>
      </w:r>
      <w:r>
        <w:rPr>
          <w:vertAlign w:val="subscript"/>
        </w:rPr>
        <w:t xml:space="preserve">4 </w:t>
      </w:r>
      <w:r>
        <w:t>est en milieu acide (ex : H</w:t>
      </w:r>
      <w:r>
        <w:rPr>
          <w:vertAlign w:val="subscript"/>
        </w:rPr>
        <w:t>2</w:t>
      </w:r>
      <w:r>
        <w:t>S0</w:t>
      </w:r>
      <w:r>
        <w:rPr>
          <w:vertAlign w:val="superscript"/>
        </w:rPr>
        <w:t>4</w:t>
      </w:r>
      <w:r>
        <w:t>), il se produit une suroxydation : les groupements OH deviennent des 0= et les hydrogènes sont substitués par des groupement alcools.</w:t>
      </w:r>
    </w:p>
    <w:p>
      <w:r>
        <w:rPr>
          <w:u w:val="single"/>
        </w:rPr>
        <w:t>Rmq :</w:t>
      </w:r>
      <w:r>
        <w:t xml:space="preserve"> on obtient soit des cétones ou des acides carboxyliques</w:t>
      </w:r>
    </w:p>
    <w:p>
      <w:r>
        <w:t>OsO</w:t>
      </w:r>
      <w:r>
        <w:rPr>
          <w:vertAlign w:val="subscript"/>
        </w:rPr>
        <w:t>4</w:t>
      </w:r>
      <w:r>
        <w:t xml:space="preserve"> en présence de NaIO</w:t>
      </w:r>
      <w:r>
        <w:rPr>
          <w:vertAlign w:val="subscript"/>
        </w:rPr>
        <w:t>4</w:t>
      </w:r>
    </w:p>
    <w:p>
      <w:r>
        <w:t>On obtient soit des cétones soit des aldéhydes.</w:t>
      </w:r>
    </w:p>
    <w:p>
      <w:pPr>
        <w:pStyle w:val="Titre3"/>
      </w:pPr>
      <w:r>
        <w:t>L’action de l’ozone O</w:t>
      </w:r>
      <w:r>
        <w:rPr>
          <w:vertAlign w:val="subscript"/>
        </w:rPr>
        <w:t>3</w:t>
      </w:r>
      <w:r>
        <w:t xml:space="preserve"> ozonolyse</w:t>
      </w:r>
    </w:p>
    <w:p>
      <w:pPr>
        <w:pStyle w:val="Paragraphedeliste"/>
        <w:numPr>
          <w:ilvl w:val="0"/>
          <w:numId w:val="25"/>
        </w:numPr>
      </w:pPr>
      <w:r>
        <w:t>La formation d’un cycle O-O-O</w:t>
      </w:r>
    </w:p>
    <w:p>
      <w:pPr>
        <w:pStyle w:val="Paragraphedeliste"/>
        <w:numPr>
          <w:ilvl w:val="0"/>
          <w:numId w:val="25"/>
        </w:numPr>
      </w:pPr>
      <w:r>
        <w:t>Coupure en utilisant un réducteur comme Zn/HCl ou Me</w:t>
      </w:r>
      <w:r>
        <w:rPr>
          <w:vertAlign w:val="subscript"/>
        </w:rPr>
        <w:t>2</w:t>
      </w:r>
      <w:r>
        <w:t>S pour obtenir des aldéhydes et des cétones.</w:t>
      </w:r>
    </w:p>
    <w:p>
      <w:pPr>
        <w:pStyle w:val="Titre1"/>
      </w:pPr>
      <w:r>
        <w:t>Aldéhyde et cétone</w:t>
      </w:r>
    </w:p>
    <w:tbl>
      <w:tblPr>
        <w:tblStyle w:val="Grilledetableauclaire"/>
        <w:tblW w:w="0" w:type="auto"/>
        <w:tblLook w:val="0420" w:firstRow="1" w:lastRow="0" w:firstColumn="0" w:lastColumn="0" w:noHBand="0" w:noVBand="1"/>
      </w:tblPr>
      <w:tblGrid>
        <w:gridCol w:w="1945"/>
        <w:gridCol w:w="1881"/>
        <w:gridCol w:w="1874"/>
        <w:gridCol w:w="1635"/>
      </w:tblGrid>
      <w:tr>
        <w:trPr>
          <w:cnfStyle w:val="100000000000" w:firstRow="1" w:lastRow="0" w:firstColumn="0" w:lastColumn="0" w:oddVBand="0" w:evenVBand="0" w:oddHBand="0" w:evenHBand="0" w:firstRowFirstColumn="0" w:firstRowLastColumn="0" w:lastRowFirstColumn="0" w:lastRowLastColumn="0"/>
        </w:trPr>
        <w:tc>
          <w:tcPr>
            <w:tcW w:w="1945" w:type="dxa"/>
          </w:tcPr>
          <w:p>
            <w:r>
              <w:t>Fonction</w:t>
            </w:r>
          </w:p>
        </w:tc>
        <w:tc>
          <w:tcPr>
            <w:tcW w:w="1881" w:type="dxa"/>
          </w:tcPr>
          <w:p>
            <w:r>
              <w:t>Préfixe</w:t>
            </w:r>
          </w:p>
        </w:tc>
        <w:tc>
          <w:tcPr>
            <w:tcW w:w="1874" w:type="dxa"/>
          </w:tcPr>
          <w:p>
            <w:r>
              <w:t>Suffixe</w:t>
            </w:r>
          </w:p>
        </w:tc>
        <w:tc>
          <w:tcPr>
            <w:tcW w:w="1635" w:type="dxa"/>
          </w:tcPr>
          <w:p>
            <w:r>
              <w:t>pKa</w:t>
            </w:r>
          </w:p>
        </w:tc>
      </w:tr>
      <w:tr>
        <w:tc>
          <w:tcPr>
            <w:tcW w:w="1945" w:type="dxa"/>
          </w:tcPr>
          <w:p>
            <w:r>
              <w:t>Aldéhyde</w:t>
            </w:r>
          </w:p>
        </w:tc>
        <w:tc>
          <w:tcPr>
            <w:tcW w:w="1881" w:type="dxa"/>
          </w:tcPr>
          <w:p>
            <w:r>
              <w:t>-formyl-</w:t>
            </w:r>
          </w:p>
        </w:tc>
        <w:tc>
          <w:tcPr>
            <w:tcW w:w="1874" w:type="dxa"/>
          </w:tcPr>
          <w:p>
            <w:r>
              <w:t>-al</w:t>
            </w:r>
          </w:p>
        </w:tc>
        <w:tc>
          <w:tcPr>
            <w:tcW w:w="1635" w:type="dxa"/>
          </w:tcPr>
          <w:p>
            <w:r>
              <w:t>16-18</w:t>
            </w:r>
          </w:p>
        </w:tc>
      </w:tr>
      <w:tr>
        <w:tc>
          <w:tcPr>
            <w:tcW w:w="1945" w:type="dxa"/>
          </w:tcPr>
          <w:p>
            <w:r>
              <w:t>Cétone</w:t>
            </w:r>
          </w:p>
        </w:tc>
        <w:tc>
          <w:tcPr>
            <w:tcW w:w="1881" w:type="dxa"/>
          </w:tcPr>
          <w:p>
            <w:r>
              <w:t>-oxo-</w:t>
            </w:r>
          </w:p>
        </w:tc>
        <w:tc>
          <w:tcPr>
            <w:tcW w:w="1874" w:type="dxa"/>
          </w:tcPr>
          <w:p>
            <w:r>
              <w:t>-one</w:t>
            </w:r>
          </w:p>
        </w:tc>
        <w:tc>
          <w:tcPr>
            <w:tcW w:w="1635" w:type="dxa"/>
          </w:tcPr>
          <w:p>
            <w:r>
              <w:t>19-21</w:t>
            </w:r>
          </w:p>
        </w:tc>
      </w:tr>
    </w:tbl>
    <w:p>
      <w:pPr>
        <w:pStyle w:val="Titre3"/>
      </w:pPr>
      <w:r>
        <w:t>Addition hydrogéner un oxygène</w:t>
      </w:r>
    </w:p>
    <w:p>
      <w:r>
        <w:t>On utilise du Nickel ou platine pour hydrogéner un O.</w:t>
      </w:r>
    </w:p>
    <w:p>
      <w:pPr>
        <w:pStyle w:val="Titre2"/>
      </w:pPr>
      <w:r>
        <w:t>Addition C=O</w:t>
      </w:r>
    </w:p>
    <w:p>
      <w:r>
        <w:t>Sous pression d’hydrogènes, les réducteurs suivants permettent de réduire les doubles liaisons</w:t>
      </w:r>
    </w:p>
    <w:tbl>
      <w:tblPr>
        <w:tblStyle w:val="Grilledetableauclaire"/>
        <w:tblW w:w="5000" w:type="pct"/>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2445" w:type="dxa"/>
          </w:tcPr>
          <w:p>
            <w:r>
              <w:t>Réducteur</w:t>
            </w:r>
          </w:p>
        </w:tc>
        <w:tc>
          <w:tcPr>
            <w:tcW w:w="2445" w:type="dxa"/>
          </w:tcPr>
          <w:p>
            <w:r>
              <w:t>Liaisons réduites</w:t>
            </w:r>
          </w:p>
        </w:tc>
      </w:tr>
      <w:tr>
        <w:tc>
          <w:tcPr>
            <w:tcW w:w="2445" w:type="dxa"/>
          </w:tcPr>
          <w:p>
            <w:r>
              <w:t>Platine, LiAlH</w:t>
            </w:r>
            <w:r>
              <w:rPr>
                <w:vertAlign w:val="subscript"/>
              </w:rPr>
              <w:t>4</w:t>
            </w:r>
          </w:p>
        </w:tc>
        <w:tc>
          <w:tcPr>
            <w:tcW w:w="2445" w:type="dxa"/>
          </w:tcPr>
          <w:p>
            <w:r>
              <w:t>C=C, C=0</w:t>
            </w:r>
          </w:p>
        </w:tc>
      </w:tr>
      <w:tr>
        <w:tc>
          <w:tcPr>
            <w:tcW w:w="2445" w:type="dxa"/>
          </w:tcPr>
          <w:p>
            <w:r>
              <w:t>Palladium</w:t>
            </w:r>
          </w:p>
        </w:tc>
        <w:tc>
          <w:tcPr>
            <w:tcW w:w="2445" w:type="dxa"/>
          </w:tcPr>
          <w:p>
            <w:r>
              <w:t>C=C</w:t>
            </w:r>
          </w:p>
        </w:tc>
      </w:tr>
      <w:tr>
        <w:tc>
          <w:tcPr>
            <w:tcW w:w="2445" w:type="dxa"/>
          </w:tcPr>
          <w:p>
            <w:r>
              <w:t>Hydrure H</w:t>
            </w:r>
            <w:r>
              <w:rPr>
                <w:vertAlign w:val="superscript"/>
              </w:rPr>
              <w:t xml:space="preserve">- </w:t>
            </w:r>
            <w:r>
              <w:t>NaBH</w:t>
            </w:r>
            <w:r>
              <w:rPr>
                <w:vertAlign w:val="superscript"/>
              </w:rPr>
              <w:t>4</w:t>
            </w:r>
          </w:p>
        </w:tc>
        <w:tc>
          <w:tcPr>
            <w:tcW w:w="2445" w:type="dxa"/>
          </w:tcPr>
          <w:p>
            <w:r>
              <w:t>C=0</w:t>
            </w:r>
          </w:p>
        </w:tc>
      </w:tr>
    </w:tbl>
    <w:p>
      <w:pPr>
        <w:pStyle w:val="Titre3"/>
      </w:pPr>
      <w:r>
        <w:t>Réactif de Grignard</w:t>
      </w:r>
    </w:p>
    <w:p>
      <w:r>
        <w:t>Les réactifs de Grignard sont un type de réducteur très utilisé.</w:t>
      </w:r>
    </w:p>
    <w:p>
      <w:r>
        <w:rPr>
          <w:noProof/>
        </w:rPr>
        <w:lastRenderedPageBreak/>
        <w:drawing>
          <wp:inline distT="0" distB="0" distL="0" distR="0">
            <wp:extent cx="4146698" cy="1051092"/>
            <wp:effectExtent l="0" t="0" r="635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62655" cy="1055137"/>
                    </a:xfrm>
                    <a:prstGeom prst="rect">
                      <a:avLst/>
                    </a:prstGeom>
                    <a:noFill/>
                    <a:ln>
                      <a:noFill/>
                    </a:ln>
                  </pic:spPr>
                </pic:pic>
              </a:graphicData>
            </a:graphic>
          </wp:inline>
        </w:drawing>
      </w:r>
    </w:p>
    <w:p/>
    <w:sectPr>
      <w:footerReference w:type="default" r:id="rId21"/>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CTR</w:t>
    </w:r>
    <w:r>
      <w:ptab w:relativeTo="margin" w:alignment="center" w:leader="none"/>
    </w:r>
    <w:r>
      <w:t>Introduction à la réactivité chimique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E57"/>
    <w:multiLevelType w:val="hybridMultilevel"/>
    <w:tmpl w:val="82E64EF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0C37536"/>
    <w:multiLevelType w:val="hybridMultilevel"/>
    <w:tmpl w:val="F932B6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CD4134"/>
    <w:multiLevelType w:val="hybridMultilevel"/>
    <w:tmpl w:val="5C48BB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D0A7258"/>
    <w:multiLevelType w:val="hybridMultilevel"/>
    <w:tmpl w:val="F044F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D424A11"/>
    <w:multiLevelType w:val="hybridMultilevel"/>
    <w:tmpl w:val="74F2FD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D2454"/>
    <w:multiLevelType w:val="hybridMultilevel"/>
    <w:tmpl w:val="ABB26C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B47172"/>
    <w:multiLevelType w:val="hybridMultilevel"/>
    <w:tmpl w:val="E632C7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503E2B"/>
    <w:multiLevelType w:val="hybridMultilevel"/>
    <w:tmpl w:val="6582AD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A9911F1"/>
    <w:multiLevelType w:val="hybridMultilevel"/>
    <w:tmpl w:val="F014B3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BC33886"/>
    <w:multiLevelType w:val="hybridMultilevel"/>
    <w:tmpl w:val="4872D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7686FBB"/>
    <w:multiLevelType w:val="hybridMultilevel"/>
    <w:tmpl w:val="316EC1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9E90435"/>
    <w:multiLevelType w:val="hybridMultilevel"/>
    <w:tmpl w:val="277E90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B9F24FA"/>
    <w:multiLevelType w:val="hybridMultilevel"/>
    <w:tmpl w:val="92C294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F6F484A"/>
    <w:multiLevelType w:val="hybridMultilevel"/>
    <w:tmpl w:val="11C8AA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40106F79"/>
    <w:multiLevelType w:val="hybridMultilevel"/>
    <w:tmpl w:val="8AD21D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40B51E53"/>
    <w:multiLevelType w:val="hybridMultilevel"/>
    <w:tmpl w:val="F872AE6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4AEC1591"/>
    <w:multiLevelType w:val="hybridMultilevel"/>
    <w:tmpl w:val="1D800A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C7E494E"/>
    <w:multiLevelType w:val="hybridMultilevel"/>
    <w:tmpl w:val="F4CA9DA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500806D8"/>
    <w:multiLevelType w:val="hybridMultilevel"/>
    <w:tmpl w:val="60643E1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567B6D3E"/>
    <w:multiLevelType w:val="hybridMultilevel"/>
    <w:tmpl w:val="75EA3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2A6BB4"/>
    <w:multiLevelType w:val="hybridMultilevel"/>
    <w:tmpl w:val="4AF28C6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5E692C90"/>
    <w:multiLevelType w:val="hybridMultilevel"/>
    <w:tmpl w:val="A51CC7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F47E4B"/>
    <w:multiLevelType w:val="hybridMultilevel"/>
    <w:tmpl w:val="B3D205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9C15042"/>
    <w:multiLevelType w:val="hybridMultilevel"/>
    <w:tmpl w:val="932C71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0621F7E"/>
    <w:multiLevelType w:val="hybridMultilevel"/>
    <w:tmpl w:val="B6A2E8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4"/>
  </w:num>
  <w:num w:numId="3">
    <w:abstractNumId w:val="23"/>
  </w:num>
  <w:num w:numId="4">
    <w:abstractNumId w:val="19"/>
  </w:num>
  <w:num w:numId="5">
    <w:abstractNumId w:val="7"/>
  </w:num>
  <w:num w:numId="6">
    <w:abstractNumId w:val="2"/>
  </w:num>
  <w:num w:numId="7">
    <w:abstractNumId w:val="11"/>
  </w:num>
  <w:num w:numId="8">
    <w:abstractNumId w:val="6"/>
  </w:num>
  <w:num w:numId="9">
    <w:abstractNumId w:val="10"/>
  </w:num>
  <w:num w:numId="10">
    <w:abstractNumId w:val="16"/>
  </w:num>
  <w:num w:numId="11">
    <w:abstractNumId w:val="15"/>
  </w:num>
  <w:num w:numId="12">
    <w:abstractNumId w:val="12"/>
  </w:num>
  <w:num w:numId="13">
    <w:abstractNumId w:val="20"/>
  </w:num>
  <w:num w:numId="14">
    <w:abstractNumId w:val="0"/>
  </w:num>
  <w:num w:numId="15">
    <w:abstractNumId w:val="3"/>
  </w:num>
  <w:num w:numId="16">
    <w:abstractNumId w:val="18"/>
  </w:num>
  <w:num w:numId="17">
    <w:abstractNumId w:val="9"/>
  </w:num>
  <w:num w:numId="18">
    <w:abstractNumId w:val="13"/>
  </w:num>
  <w:num w:numId="19">
    <w:abstractNumId w:val="1"/>
  </w:num>
  <w:num w:numId="20">
    <w:abstractNumId w:val="21"/>
  </w:num>
  <w:num w:numId="21">
    <w:abstractNumId w:val="24"/>
  </w:num>
  <w:num w:numId="22">
    <w:abstractNumId w:val="22"/>
  </w:num>
  <w:num w:numId="23">
    <w:abstractNumId w:val="8"/>
  </w:num>
  <w:num w:numId="24">
    <w:abstractNumId w:val="5"/>
  </w:num>
  <w:num w:numId="25">
    <w:abstractNumId w:val="1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ous-titre">
    <w:name w:val="Subtitle"/>
    <w:basedOn w:val="Normal"/>
    <w:next w:val="Normal"/>
    <w:link w:val="Sous-titreCar"/>
    <w:uiPriority w:val="11"/>
    <w:qFormat/>
    <w:pPr>
      <w:numPr>
        <w:ilvl w:val="1"/>
      </w:numPr>
    </w:pPr>
    <w:rPr>
      <w:rFonts w:asciiTheme="minorHAnsi" w:eastAsiaTheme="minorEastAsia" w:hAnsiTheme="minorHAnsi"/>
      <w:color w:val="5A5A5A" w:themeColor="text1" w:themeTint="A5"/>
      <w:spacing w:val="15"/>
    </w:rPr>
  </w:style>
  <w:style w:type="character" w:customStyle="1" w:styleId="Sous-titreCar">
    <w:name w:val="Sous-titre Car"/>
    <w:basedOn w:val="Policepardfaut"/>
    <w:link w:val="Sous-titre"/>
    <w:uiPriority w:val="11"/>
    <w:rPr>
      <w:rFonts w:eastAsiaTheme="minorEastAsia"/>
      <w:color w:val="5A5A5A" w:themeColor="text1" w:themeTint="A5"/>
      <w:spacing w:val="15"/>
    </w:rPr>
  </w:style>
  <w:style w:type="character" w:styleId="Rfrenceintense">
    <w:name w:val="Intense Reference"/>
    <w:basedOn w:val="Policepardfaut"/>
    <w:uiPriority w:val="32"/>
    <w:qFormat/>
    <w:rPr>
      <w:b/>
      <w:bCs/>
      <w:smallCaps/>
      <w:color w:val="4472C4" w:themeColor="accent1"/>
      <w:spacing w:val="5"/>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37706937">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10980</TotalTime>
  <Pages>10</Pages>
  <Words>2770</Words>
  <Characters>15239</Characters>
  <Application>Microsoft Office Word</Application>
  <DocSecurity>0</DocSecurity>
  <Lines>126</Lines>
  <Paragraphs>35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135</cp:revision>
  <cp:lastPrinted>2021-04-23T10:57:00Z</cp:lastPrinted>
  <dcterms:created xsi:type="dcterms:W3CDTF">2020-09-08T20:41:00Z</dcterms:created>
  <dcterms:modified xsi:type="dcterms:W3CDTF">2022-01-09T14:39:00Z</dcterms:modified>
</cp:coreProperties>
</file>