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rPr>
          <w:noProof/>
        </w:rPr>
        <w:drawing>
          <wp:inline distT="0" distB="0" distL="0" distR="0">
            <wp:extent cx="464947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Vocabulaire</w:t>
      </w:r>
    </w:p>
    <w:p>
      <w:r>
        <w:rPr>
          <w:rStyle w:val="Accentuation"/>
        </w:rPr>
        <w:t>Caduque</w:t>
      </w:r>
      <w:r>
        <w:t xml:space="preserve"> plante qui perd ses feuilles.</w:t>
      </w:r>
    </w:p>
    <w:p>
      <w:r>
        <w:rPr>
          <w:rStyle w:val="Accentuation"/>
        </w:rPr>
        <w:t>Dioïque</w:t>
      </w:r>
      <w:r>
        <w:t xml:space="preserve"> espèce ayant des fleurs mâles et femelles sur des pieds différents.</w:t>
      </w:r>
    </w:p>
    <w:p>
      <w:r>
        <w:rPr>
          <w:rStyle w:val="Accentuation"/>
        </w:rPr>
        <w:t>Épiphyte</w:t>
      </w:r>
      <w:r>
        <w:t xml:space="preserve"> plante qui pousse sur un autre végétal.</w:t>
      </w:r>
    </w:p>
    <w:p>
      <w:r>
        <w:rPr>
          <w:rStyle w:val="Accentuation"/>
        </w:rPr>
        <w:t>Eutrachéophyte</w:t>
      </w:r>
      <w:r>
        <w:t xml:space="preserve"> plante disposant de feuilles soutenues par une tige ancrée dans le sol grâce à des racines. Elles servent également à absorber les éléments nutritifs.</w:t>
      </w:r>
    </w:p>
    <w:p>
      <w:r>
        <w:rPr>
          <w:rStyle w:val="Accentuation"/>
        </w:rPr>
        <w:t>Herbacé (opposition aux arbres)</w:t>
      </w:r>
      <w:r>
        <w:t xml:space="preserve"> plantes qui ne possèdent pas de lignine en dehors du xylème.</w:t>
      </w:r>
    </w:p>
    <w:p>
      <w:r>
        <w:rPr>
          <w:rStyle w:val="Accentuation"/>
        </w:rPr>
        <w:t>Lignine</w:t>
      </w:r>
      <w:r>
        <w:t xml:space="preserve"> polymère complexe non linéaire qui joue un rôle dans le port de la plante et l’imperméabilisation.</w:t>
      </w:r>
    </w:p>
    <w:p>
      <w:r>
        <w:rPr>
          <w:rStyle w:val="Accentuation"/>
        </w:rPr>
        <w:t>Organisme colonisateur</w:t>
      </w:r>
      <w:r>
        <w:t xml:space="preserve"> premier organisme qui s’installe dans un substrat vierge càd n’ayant jamais accueillie la vie.</w:t>
      </w:r>
    </w:p>
    <w:p>
      <w:r>
        <w:rPr>
          <w:rStyle w:val="Accentuation"/>
        </w:rPr>
        <w:t>Rhizoïdes</w:t>
      </w:r>
      <w:r>
        <w:t xml:space="preserve"> fils de cellules qui permettent un ancrage dans le substrat.</w:t>
      </w:r>
    </w:p>
    <w:p>
      <w:r>
        <w:rPr>
          <w:rStyle w:val="Accentuation"/>
        </w:rPr>
        <w:t>Rhizome</w:t>
      </w:r>
      <w:r>
        <w:t xml:space="preserve"> tige souterraine.</w:t>
      </w:r>
    </w:p>
    <w:p>
      <w:r>
        <w:rPr>
          <w:rStyle w:val="Accentuation"/>
        </w:rPr>
        <w:t>Stomatophyte</w:t>
      </w:r>
      <w:r>
        <w:t xml:space="preserve"> plantes avec des stomates.</w:t>
      </w:r>
    </w:p>
    <w:p>
      <w:pPr>
        <w:pStyle w:val="Titre1"/>
      </w:pPr>
      <w:r>
        <w:t>Structure de la plante</w:t>
      </w:r>
    </w:p>
    <w:p>
      <w:pPr>
        <w:pStyle w:val="Titre3"/>
      </w:pPr>
      <w:r>
        <w:t>Les plantes vasculaires</w:t>
      </w:r>
    </w:p>
    <w:p>
      <w:r>
        <w:t>Les plantes vasculaires possèdent deux types de vaisseaux pour acheminer les sèves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Xylème (sève brute)</w:t>
            </w:r>
          </w:p>
        </w:tc>
        <w:tc>
          <w:tcPr>
            <w:tcW w:w="3668" w:type="dxa"/>
          </w:tcPr>
          <w:p>
            <w:r>
              <w:t>Phloème (sève élaborée)</w:t>
            </w:r>
          </w:p>
        </w:tc>
      </w:tr>
    </w:tbl>
    <w:p>
      <w:r>
        <w:t>La sève brute monte vers les parties aériennes de la plante grâce à la transpiration et à la composition de la paroi.</w:t>
      </w:r>
    </w:p>
    <w:p>
      <w:r>
        <w:rPr>
          <w:rStyle w:val="Accentuation"/>
        </w:rPr>
        <w:t>Trachéophyte</w:t>
      </w:r>
      <w:r>
        <w:t xml:space="preserve"> (ou </w:t>
      </w:r>
      <w:r>
        <w:rPr>
          <w:rStyle w:val="Accentuation"/>
        </w:rPr>
        <w:t>vasculaire</w:t>
      </w:r>
      <w:r>
        <w:t>) plantes qui possèdent un xylème et un phloème.</w:t>
      </w:r>
    </w:p>
    <w:p>
      <w:r>
        <w:rPr>
          <w:rStyle w:val="Accentuation"/>
        </w:rPr>
        <w:t>Xylème</w:t>
      </w:r>
      <w:r>
        <w:t xml:space="preserve"> vaisseaux qui acheminent la sève brute des racines vers les feuilles. Ils sont constitués de grosses cellules mortes.</w:t>
      </w:r>
    </w:p>
    <w:p>
      <w:r>
        <w:rPr>
          <w:rStyle w:val="Accentuation"/>
        </w:rPr>
        <w:t>Phloème</w:t>
      </w:r>
      <w:r>
        <w:t xml:space="preserve"> vaisseaux servant à acheminer la sève élaborée notamment vers les racines.</w:t>
      </w:r>
    </w:p>
    <w:p>
      <w:pPr>
        <w:pStyle w:val="Titre3"/>
      </w:pPr>
      <w:r>
        <w:t>La tige</w:t>
      </w:r>
    </w:p>
    <w:p>
      <w:r>
        <w:t>La tige possède des propriétés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Conduction pour la sève</w:t>
            </w:r>
          </w:p>
        </w:tc>
        <w:tc>
          <w:tcPr>
            <w:tcW w:w="3668" w:type="dxa"/>
          </w:tcPr>
          <w:p>
            <w:r>
              <w:t>Résistance</w:t>
            </w:r>
          </w:p>
        </w:tc>
      </w:tr>
    </w:tbl>
    <w:p>
      <w:pPr>
        <w:pStyle w:val="Titre1"/>
      </w:pPr>
      <w:r>
        <w:t>Généralités sur le cycle de vie des Embryophytes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Gamète (n)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Spore (2n)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Organisme qui produit…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Organe qui produit…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Sporange</w:t>
            </w:r>
          </w:p>
        </w:tc>
      </w:tr>
    </w:tbl>
    <w:p>
      <w:r>
        <w:rPr>
          <w:rStyle w:val="Accentuation"/>
        </w:rPr>
        <w:t>Sporange</w:t>
      </w:r>
      <w:r>
        <w:t xml:space="preserve"> capsule qui contient les sporocystes.</w:t>
      </w:r>
    </w:p>
    <w:p>
      <w:r>
        <w:rPr>
          <w:u w:val="single"/>
        </w:rPr>
        <w:t>NB :</w:t>
      </w:r>
      <w:r>
        <w:t xml:space="preserve"> Les -</w:t>
      </w:r>
      <w:proofErr w:type="spellStart"/>
      <w:r>
        <w:t>phytes</w:t>
      </w:r>
      <w:proofErr w:type="spellEnd"/>
      <w:r>
        <w:t xml:space="preserve"> sont des organismes qui portent les anges.</w:t>
      </w:r>
    </w:p>
    <w:p>
      <w:r>
        <w:rPr>
          <w:rStyle w:val="Accentuation"/>
        </w:rPr>
        <w:t>Polysporangiophytes</w:t>
      </w:r>
      <w:r>
        <w:t xml:space="preserve"> plante qui possèdent plusieurs sporanges.</w:t>
      </w:r>
    </w:p>
    <w:p>
      <w:r>
        <w:t>Chez les embryophytes, les cellules qui produisent et contiennent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13"/>
        <w:gridCol w:w="2436"/>
        <w:gridCol w:w="2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Champignon/algue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Embryophyte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>Spores (asexué)</w:t>
            </w:r>
          </w:p>
          <w:p>
            <w:r>
              <w:t>Haploïde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Sporocyste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Sporange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>Gamète (sexué)</w:t>
            </w:r>
          </w:p>
          <w:p>
            <w:r>
              <w:t>Haploïde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Gamétocyste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(Archégone/anthéridie)</w:t>
            </w:r>
          </w:p>
        </w:tc>
      </w:tr>
    </w:tbl>
    <w:p>
      <w:r>
        <w:rPr>
          <w:rStyle w:val="Accentuation"/>
        </w:rPr>
        <w:t>Sporocyste</w:t>
      </w:r>
      <w:r>
        <w:t xml:space="preserve"> cellule mère qui produit par méiose des spores.</w:t>
      </w:r>
    </w:p>
    <w:p>
      <w:r>
        <w:t>Contrairement aux sporocystes et gamétocystes, les gamétanges et les sporanges sont entourés d’une enveloppe pluricellulaire.</w:t>
      </w:r>
    </w:p>
    <w:p>
      <w:r>
        <w:t>Les gamétanges sont soit 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Anthéridie (mâle)</w:t>
            </w:r>
          </w:p>
        </w:tc>
        <w:tc>
          <w:tcPr>
            <w:tcW w:w="3668" w:type="dxa"/>
          </w:tcPr>
          <w:p>
            <w:r>
              <w:t>Archégone (femelle)</w:t>
            </w:r>
          </w:p>
        </w:tc>
      </w:tr>
    </w:tbl>
    <w:p>
      <w:r>
        <w:t>Schéma d’UN archégone (gamétange)</w:t>
      </w:r>
    </w:p>
    <w:p>
      <w:r>
        <w:rPr>
          <w:noProof/>
        </w:rPr>
        <w:drawing>
          <wp:inline distT="0" distB="0" distL="0" distR="0">
            <wp:extent cx="2035534" cy="95515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15195" r="5677" b="7435"/>
                    <a:stretch/>
                  </pic:blipFill>
                  <pic:spPr bwMode="auto">
                    <a:xfrm>
                      <a:off x="0" y="0"/>
                      <a:ext cx="2084121" cy="97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t>On parle également du ventre et du pied d’un archégone.</w:t>
      </w:r>
    </w:p>
    <w:p>
      <w:r>
        <w:rPr>
          <w:rStyle w:val="Accentuation"/>
        </w:rPr>
        <w:t>Oosphère</w:t>
      </w:r>
      <w:r>
        <w:t xml:space="preserve"> est le nom donné au gamète femelle chez les végétaux.</w:t>
      </w:r>
    </w:p>
    <w:p>
      <w:r>
        <w:rPr>
          <w:rStyle w:val="Accentuation"/>
        </w:rPr>
        <w:t>Anthérozoïde</w:t>
      </w:r>
      <w:r>
        <w:t xml:space="preserve"> gamète male.</w:t>
      </w:r>
    </w:p>
    <w:p>
      <w:r>
        <w:rPr>
          <w:rStyle w:val="Accentuation"/>
        </w:rPr>
        <w:t>Spermatophytes</w:t>
      </w:r>
      <w:r>
        <w:t xml:space="preserve"> plantes pour lesquelles l’ovule fécondé se transforme en graine.</w:t>
      </w:r>
    </w:p>
    <w:p>
      <w:pPr>
        <w:pStyle w:val="Titre1"/>
      </w:pPr>
      <w:r>
        <w:t>Spermatophyte</w:t>
      </w:r>
    </w:p>
    <w:p>
      <w:r>
        <w:t>La reproduction chez les spermatophytes est caractérisée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Graines</w:t>
            </w:r>
          </w:p>
        </w:tc>
        <w:tc>
          <w:tcPr>
            <w:tcW w:w="3668" w:type="dxa"/>
          </w:tcPr>
          <w:p>
            <w:r>
              <w:t>Pollen</w:t>
            </w:r>
          </w:p>
        </w:tc>
      </w:tr>
    </w:tbl>
    <w:p>
      <w:r>
        <w:rPr>
          <w:noProof/>
        </w:rPr>
        <w:drawing>
          <wp:inline distT="0" distB="0" distL="0" distR="0">
            <wp:extent cx="4910598" cy="2488759"/>
            <wp:effectExtent l="0" t="0" r="444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83" cy="24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Une partie des mégasporanges dégénères (disparait) au profit d’une seul qui deviendra un méga gamétophyte.</w:t>
      </w:r>
    </w:p>
    <w:p>
      <w:r>
        <w:rPr>
          <w:rStyle w:val="Accentuation"/>
        </w:rPr>
        <w:t>Tégument</w:t>
      </w:r>
      <w:r>
        <w:t xml:space="preserve"> tissu qui forme une enveloppe autour de l’ovule et de la graine.</w:t>
      </w:r>
    </w:p>
    <w:p>
      <w:r>
        <w:rPr>
          <w:rStyle w:val="Accentuation"/>
        </w:rPr>
        <w:t>Nucelle</w:t>
      </w:r>
      <w:r>
        <w:t xml:space="preserve"> nom donné au mégasporange.</w:t>
      </w:r>
    </w:p>
    <w:p>
      <w:r>
        <w:t>C’est l’ovule qui se transforme en graine. Ce qui permet d’assurer à l’embryon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Une protection</w:t>
            </w:r>
          </w:p>
        </w:tc>
        <w:tc>
          <w:tcPr>
            <w:tcW w:w="3668" w:type="dxa"/>
          </w:tcPr>
          <w:p>
            <w:r>
              <w:t>Une réserve alimentaire</w:t>
            </w:r>
          </w:p>
        </w:tc>
      </w:tr>
    </w:tbl>
    <w:p>
      <w:r>
        <w:t>Les différences de structures des ovules entre les gymnospermes et les angiospermes.</w:t>
      </w:r>
    </w:p>
    <w:p>
      <w:r>
        <w:rPr>
          <w:noProof/>
        </w:rPr>
        <w:lastRenderedPageBreak/>
        <w:drawing>
          <wp:inline distT="0" distB="0" distL="0" distR="0">
            <wp:extent cx="3037572" cy="20991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16" cy="21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L’ovaire chez les plantes est un ensemble de cellules qui contient une (exemple : noisette) ou plusieurs gamètes (exemple : pomme).</w:t>
      </w:r>
    </w:p>
    <w:p>
      <w:pPr>
        <w:pStyle w:val="Titre3"/>
      </w:pPr>
      <w:r>
        <w:t>Le pollen</w:t>
      </w:r>
    </w:p>
    <w:p>
      <w:pPr>
        <w:pStyle w:val="Paragraphedeliste"/>
        <w:numPr>
          <w:ilvl w:val="0"/>
          <w:numId w:val="39"/>
        </w:numPr>
      </w:pPr>
      <w:proofErr w:type="spellStart"/>
      <w:r>
        <w:t>Microsporocyste</w:t>
      </w:r>
      <w:proofErr w:type="spellEnd"/>
      <w:r>
        <w:t xml:space="preserve"> (2n) subit deux méioses pour produire des microspores</w:t>
      </w:r>
    </w:p>
    <w:p>
      <w:pPr>
        <w:pStyle w:val="Paragraphedeliste"/>
        <w:numPr>
          <w:ilvl w:val="0"/>
          <w:numId w:val="39"/>
        </w:numPr>
      </w:pPr>
      <w:r>
        <w:t>Phase de reproduction : les microspores subissent une à deux mitoses.</w:t>
      </w:r>
    </w:p>
    <w:p>
      <w:pPr>
        <w:pStyle w:val="Titre3"/>
      </w:pPr>
      <w:r>
        <w:t>Le mégagamétophyte</w:t>
      </w:r>
    </w:p>
    <w:p>
      <w:r>
        <w:rPr>
          <w:u w:val="single"/>
        </w:rPr>
        <w:t xml:space="preserve">Rmq : </w:t>
      </w:r>
      <w:r>
        <w:t>Il s’agit bien de gamétophyte, la plante étant le sporophyte.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Gymnosperme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Angiosperme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Gamétophyte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Pleins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>
      <w:pPr>
        <w:pStyle w:val="Titre2"/>
      </w:pPr>
      <w:r>
        <w:t xml:space="preserve">Fécondation </w:t>
      </w:r>
    </w:p>
    <w:p>
      <w:r>
        <w:t xml:space="preserve">La fécondation a lieu par siphonogamie (à l’exception des </w:t>
      </w:r>
      <w:proofErr w:type="spellStart"/>
      <w:r>
        <w:t>Cycadophytes</w:t>
      </w:r>
      <w:proofErr w:type="spellEnd"/>
      <w:r>
        <w:t xml:space="preserve"> et des </w:t>
      </w:r>
      <w:proofErr w:type="spellStart"/>
      <w:r>
        <w:t>Ginkgophytes</w:t>
      </w:r>
      <w:proofErr w:type="spellEnd"/>
      <w:r>
        <w:t>) : une des cellules du pollen forme un tube pollinique qui permet la formation du zygote.</w:t>
      </w:r>
    </w:p>
    <w:p>
      <w:pPr>
        <w:pStyle w:val="Titre2"/>
      </w:pPr>
      <w:r>
        <w:t>Dispersion des graines</w:t>
      </w:r>
    </w:p>
    <w:p>
      <w:r>
        <w:t>La dispersion des graines peut se faire :</w:t>
      </w:r>
    </w:p>
    <w:p>
      <w:pPr>
        <w:pStyle w:val="Paragraphedeliste"/>
        <w:numPr>
          <w:ilvl w:val="0"/>
          <w:numId w:val="33"/>
        </w:numPr>
      </w:pPr>
      <w:r>
        <w:t>Anémochorie par le vent.</w:t>
      </w:r>
    </w:p>
    <w:p>
      <w:pPr>
        <w:pStyle w:val="Paragraphedeliste"/>
        <w:numPr>
          <w:ilvl w:val="0"/>
          <w:numId w:val="33"/>
        </w:numPr>
      </w:pPr>
      <w:r>
        <w:t>Autochorie par un mouvement produit par la plante (projection).</w:t>
      </w:r>
    </w:p>
    <w:p>
      <w:pPr>
        <w:pStyle w:val="Paragraphedeliste"/>
        <w:numPr>
          <w:ilvl w:val="0"/>
          <w:numId w:val="33"/>
        </w:numPr>
      </w:pPr>
      <w:r>
        <w:t xml:space="preserve">Barochorie par la gravité. Les graines tombent au pied de la plante mère. </w:t>
      </w:r>
    </w:p>
    <w:p>
      <w:pPr>
        <w:pStyle w:val="Paragraphedeliste"/>
        <w:numPr>
          <w:ilvl w:val="0"/>
          <w:numId w:val="33"/>
        </w:numPr>
      </w:pPr>
      <w:r>
        <w:t>Hydrochorie par l’eau</w:t>
      </w:r>
    </w:p>
    <w:p>
      <w:pPr>
        <w:pStyle w:val="Paragraphedeliste"/>
        <w:numPr>
          <w:ilvl w:val="0"/>
          <w:numId w:val="33"/>
        </w:numPr>
      </w:pPr>
      <w:r>
        <w:t>Zoochorie par les animaux.</w:t>
      </w:r>
    </w:p>
    <w:p>
      <w:r>
        <w:t xml:space="preserve">Rmq certaines graines disséminées par </w:t>
      </w:r>
      <w:r>
        <w:t>zoochorie ont évolué pour adopter des formes qui favorisent la pénétration dans les chairs des animaux. Elles sont dispersées lorsque l’animal les retire.</w:t>
      </w:r>
    </w:p>
    <w:p>
      <w:pPr>
        <w:pStyle w:val="Titre1"/>
      </w:pPr>
      <w:r>
        <w:t>Les plantes à fleur (angiosperme)</w:t>
      </w:r>
    </w:p>
    <w:p>
      <w:r>
        <w:t>La spécificité des angiospermes est de posséder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bCs/>
              </w:rPr>
            </w:pPr>
            <w:r>
              <w:rPr>
                <w:bCs/>
              </w:rPr>
              <w:t>Fleur et fruit</w:t>
            </w:r>
          </w:p>
        </w:tc>
        <w:tc>
          <w:tcPr>
            <w:tcW w:w="3668" w:type="dxa"/>
          </w:tcPr>
          <w:p>
            <w:r>
              <w:t>Double fécondation</w:t>
            </w:r>
          </w:p>
        </w:tc>
      </w:tr>
    </w:tbl>
    <w:p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Double fécondation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80"/>
        <w:gridCol w:w="4755"/>
      </w:tblGrid>
      <w:tr>
        <w:tc>
          <w:tcPr>
            <w:tcW w:w="3667" w:type="dxa"/>
          </w:tcPr>
          <w:p>
            <w:r>
              <w:rPr>
                <w:rStyle w:val="Accentuation"/>
                <w:iCs w:val="0"/>
                <w:color w:val="auto"/>
              </w:rPr>
              <w:t>Mégagamétophyte (ou sac embryonnaire)</w:t>
            </w:r>
          </w:p>
        </w:tc>
        <w:tc>
          <w:tcPr>
            <w:tcW w:w="3668" w:type="dxa"/>
          </w:tcPr>
          <w:p>
            <w:r>
              <w:t xml:space="preserve">Pollen ou </w:t>
            </w:r>
            <w:proofErr w:type="spellStart"/>
            <w:r>
              <w:t>microgamétophyte</w:t>
            </w:r>
            <w:proofErr w:type="spellEnd"/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1653871" cy="2435473"/>
                  <wp:effectExtent l="0" t="0" r="3810" b="31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071" cy="245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3180687" cy="1601180"/>
                  <wp:effectExtent l="0" t="0" r="127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701" cy="160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 xml:space="preserve">L’exine et intine ont une structure proche de la paroi cellulaire (cellulose, </w:t>
      </w:r>
      <w:proofErr w:type="spellStart"/>
      <w:r>
        <w:rPr>
          <w:rStyle w:val="Accentuation"/>
          <w:color w:val="000000" w:themeColor="text1"/>
        </w:rPr>
        <w:t>sporopollenine</w:t>
      </w:r>
      <w:proofErr w:type="spellEnd"/>
      <w:r>
        <w:rPr>
          <w:rStyle w:val="Accentuation"/>
          <w:color w:val="000000" w:themeColor="text1"/>
        </w:rPr>
        <w:t>, protéines…)</w:t>
      </w:r>
    </w:p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lastRenderedPageBreak/>
        <w:t>Chaque grain de pollen est composé de deux cellules :</w:t>
      </w:r>
    </w:p>
    <w:p>
      <w:pPr>
        <w:pStyle w:val="Paragraphedeliste"/>
        <w:numPr>
          <w:ilvl w:val="0"/>
          <w:numId w:val="40"/>
        </w:num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 xml:space="preserve">Cellule générative </w:t>
      </w:r>
    </w:p>
    <w:p>
      <w:pPr>
        <w:pStyle w:val="Paragraphedeliste"/>
        <w:numPr>
          <w:ilvl w:val="0"/>
          <w:numId w:val="40"/>
        </w:num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Cellule du tube qui sera utilisée pour fabriquer le tube pollinique.</w:t>
      </w:r>
    </w:p>
    <w:p>
      <w:pPr>
        <w:pStyle w:val="Titre3"/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La fécondation</w:t>
      </w:r>
    </w:p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 xml:space="preserve">La cellule générative va réaliser une mitose et ira féconder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Style w:val="Accentuation"/>
                <w:color w:val="000000" w:themeColor="text1"/>
              </w:rPr>
            </w:pPr>
            <w:r>
              <w:rPr>
                <w:rStyle w:val="Accentuation"/>
                <w:color w:val="000000" w:themeColor="text1"/>
              </w:rPr>
              <w:t>Noyaux polaires (3n) pour former albumen</w:t>
            </w:r>
          </w:p>
        </w:tc>
        <w:tc>
          <w:tcPr>
            <w:tcW w:w="3668" w:type="dxa"/>
          </w:tcPr>
          <w:p>
            <w:pPr>
              <w:rPr>
                <w:rStyle w:val="Accentuation"/>
                <w:color w:val="000000" w:themeColor="text1"/>
              </w:rPr>
            </w:pPr>
            <w:r>
              <w:rPr>
                <w:rStyle w:val="Accentuation"/>
                <w:color w:val="000000" w:themeColor="text1"/>
              </w:rPr>
              <w:t>Oosphère pour former le zygote (2n)</w:t>
            </w:r>
          </w:p>
        </w:tc>
      </w:tr>
    </w:tbl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Le tégument deviendra la paroi de la graine et l’ovule la graine.</w:t>
      </w:r>
    </w:p>
    <w:p>
      <w:pPr>
        <w:pStyle w:val="Titre2"/>
        <w:rPr>
          <w:rStyle w:val="Accentuation"/>
        </w:rPr>
      </w:pPr>
      <w:r>
        <w:rPr>
          <w:rStyle w:val="Accentuation"/>
          <w:color w:val="000000" w:themeColor="text1"/>
        </w:rPr>
        <w:t xml:space="preserve">La structure de la fleur </w:t>
      </w:r>
    </w:p>
    <w:p>
      <w:pPr>
        <w:rPr>
          <w:rStyle w:val="Accentuation"/>
        </w:rPr>
      </w:pPr>
      <w:r>
        <w:rPr>
          <w:rStyle w:val="Accentuation"/>
          <w:noProof/>
        </w:rPr>
        <w:drawing>
          <wp:inline distT="0" distB="0" distL="0" distR="0">
            <wp:extent cx="3300087" cy="2190307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8" cy="21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Accentuation"/>
        </w:rPr>
        <w:t>Carpelle</w:t>
      </w:r>
      <w:r>
        <w:t xml:space="preserve"> structure formée par le stigmate, le style et l’ovaire.</w:t>
      </w:r>
    </w:p>
    <w:p>
      <w:r>
        <w:rPr>
          <w:rStyle w:val="Accentuation"/>
        </w:rPr>
        <w:t>Pistil</w:t>
      </w:r>
      <w:r>
        <w:t xml:space="preserve"> fleur possédant un unique carpelle.</w:t>
      </w:r>
    </w:p>
    <w:p>
      <w:r>
        <w:rPr>
          <w:rStyle w:val="Accentuation"/>
        </w:rPr>
        <w:t>Loge</w:t>
      </w:r>
      <w:r>
        <w:t xml:space="preserve"> cavité qui permet l’accès à un carpelle.</w:t>
      </w:r>
    </w:p>
    <w:p>
      <w:r>
        <w:rPr>
          <w:rStyle w:val="Accentuation"/>
        </w:rPr>
        <w:t>Ovaire</w:t>
      </w:r>
      <w:r>
        <w:t xml:space="preserve"> réserves de plusieurs ovules. </w:t>
      </w:r>
    </w:p>
    <w:p>
      <w:r>
        <w:t>Une fleur peut avoir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10"/>
        <w:gridCol w:w="2537"/>
        <w:gridCol w:w="25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/>
        </w:tc>
        <w:tc>
          <w:tcPr>
            <w:tcW w:w="253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 carpelle (pistil)</w:t>
            </w:r>
          </w:p>
        </w:tc>
        <w:tc>
          <w:tcPr>
            <w:tcW w:w="2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 carpelles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>
            <w:r>
              <w:t>Un seul ovule</w:t>
            </w:r>
          </w:p>
        </w:tc>
        <w:tc>
          <w:tcPr>
            <w:tcW w:w="25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Cerisier</w:t>
            </w:r>
          </w:p>
        </w:tc>
        <w:tc>
          <w:tcPr>
            <w:tcW w:w="25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d’or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>
            <w:r>
              <w:t>Plusieurs ovules</w:t>
            </w:r>
          </w:p>
        </w:tc>
        <w:tc>
          <w:tcPr>
            <w:tcW w:w="25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pois</w:t>
            </w:r>
          </w:p>
        </w:tc>
        <w:tc>
          <w:tcPr>
            <w:tcW w:w="25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pommier</w:t>
            </w:r>
          </w:p>
        </w:tc>
      </w:tr>
    </w:tbl>
    <w:p>
      <w:r>
        <w:t>Le nom des éléments et de leur ensemble est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82"/>
        <w:gridCol w:w="1501"/>
        <w:gridCol w:w="1477"/>
        <w:gridCol w:w="1569"/>
        <w:gridCol w:w="120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>
            <w:r>
              <w:t>Unique</w:t>
            </w:r>
          </w:p>
        </w:tc>
        <w:tc>
          <w:tcPr>
            <w:tcW w:w="15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Sépales</w:t>
            </w:r>
          </w:p>
        </w:tc>
        <w:tc>
          <w:tcPr>
            <w:tcW w:w="147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Pétale</w:t>
            </w:r>
          </w:p>
        </w:tc>
        <w:tc>
          <w:tcPr>
            <w:tcW w:w="156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Étamine</w:t>
            </w:r>
          </w:p>
        </w:tc>
        <w:tc>
          <w:tcPr>
            <w:tcW w:w="1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Carpelle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>
            <w:r>
              <w:t>Ensemble</w:t>
            </w:r>
          </w:p>
        </w:tc>
        <w:tc>
          <w:tcPr>
            <w:tcW w:w="15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Calice</w:t>
            </w:r>
          </w:p>
        </w:tc>
        <w:tc>
          <w:tcPr>
            <w:tcW w:w="147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Corolle</w:t>
            </w:r>
          </w:p>
        </w:tc>
        <w:tc>
          <w:tcPr>
            <w:tcW w:w="156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Androcée</w:t>
            </w:r>
          </w:p>
        </w:tc>
        <w:tc>
          <w:tcPr>
            <w:tcW w:w="1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Gynécée</w:t>
            </w:r>
          </w:p>
        </w:tc>
      </w:tr>
    </w:tbl>
    <w:p>
      <w:r>
        <w:t>Les pétales et les sépales permettent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Protéger</w:t>
            </w:r>
          </w:p>
        </w:tc>
        <w:tc>
          <w:tcPr>
            <w:tcW w:w="3668" w:type="dxa"/>
          </w:tcPr>
          <w:p>
            <w:r>
              <w:t>Attirer les pollinisateurs</w:t>
            </w:r>
          </w:p>
        </w:tc>
      </w:tr>
    </w:tbl>
    <w:p>
      <w:r>
        <w:rPr>
          <w:rStyle w:val="Accentuation"/>
        </w:rPr>
        <w:t>Pollinisation</w:t>
      </w:r>
      <w:r>
        <w:t xml:space="preserve"> étape de transport du pollen des étamines aux carpelles.</w:t>
      </w:r>
    </w:p>
    <w:p>
      <w:pPr>
        <w:pStyle w:val="Titre1"/>
      </w:pPr>
      <w:proofErr w:type="spellStart"/>
      <w:r>
        <w:t>Pinophyte</w:t>
      </w:r>
      <w:proofErr w:type="spellEnd"/>
    </w:p>
    <w:p>
      <w:r>
        <w:t xml:space="preserve">Chez les gymnospermes, le pollen et les gamétophytes femelles sont portés sur des cônes :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Cône mâle composé de </w:t>
            </w:r>
          </w:p>
        </w:tc>
        <w:tc>
          <w:tcPr>
            <w:tcW w:w="3668" w:type="dxa"/>
          </w:tcPr>
          <w:p>
            <w:r>
              <w:t>Cône femelle composé de</w:t>
            </w:r>
          </w:p>
        </w:tc>
      </w:tr>
      <w:tr>
        <w:tc>
          <w:tcPr>
            <w:tcW w:w="3667" w:type="dxa"/>
          </w:tcPr>
          <w:p>
            <w:r>
              <w:t>Microsporophylle contient Plein de grains de pollen</w:t>
            </w:r>
          </w:p>
        </w:tc>
        <w:tc>
          <w:tcPr>
            <w:tcW w:w="3668" w:type="dxa"/>
          </w:tcPr>
          <w:p>
            <w:r>
              <w:t>Mégasporophylle ou écaille ovulifère contient 2 ovules</w:t>
            </w:r>
          </w:p>
        </w:tc>
      </w:tr>
    </w:tbl>
    <w:p>
      <w:r>
        <w:t>Chaque écaille est soutenue par une bractée.</w:t>
      </w:r>
    </w:p>
    <w:p>
      <w:pPr>
        <w:pStyle w:val="Titre2"/>
      </w:pPr>
      <w:r>
        <w:rPr>
          <w:noProof/>
        </w:rPr>
        <w:lastRenderedPageBreak/>
        <w:drawing>
          <wp:inline distT="0" distB="0" distL="0" distR="0">
            <wp:extent cx="3428459" cy="3053751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21" cy="31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De l’arrivé du pollen dans le cône femelle à la fécondation, il s’écoule environ deux ans.</w:t>
      </w:r>
    </w:p>
    <w:p>
      <w:pPr>
        <w:pStyle w:val="Titre2"/>
      </w:pPr>
      <w:r>
        <w:t>Les cônes males</w:t>
      </w:r>
    </w:p>
    <w:p>
      <w:r>
        <w:t>Les cônes males sont agglomérés en épi. La déshydratation des cônes provoque l’ouverture des gamétanges et la libération du pollen.</w:t>
      </w:r>
    </w:p>
    <w:p>
      <w:pPr>
        <w:pStyle w:val="Titre3"/>
      </w:pPr>
      <w:r>
        <w:t>Grain de pollen</w:t>
      </w:r>
    </w:p>
    <w:p>
      <w:r>
        <w:t>Un grain de pollen est un gamétophyte male endosporé c’est-à-dire qu’il possède une structure résistante aux conditions environnementales défavorables.</w:t>
      </w:r>
    </w:p>
    <w:p>
      <w:r>
        <w:rPr>
          <w:noProof/>
        </w:rPr>
        <w:drawing>
          <wp:inline distT="0" distB="0" distL="0" distR="0">
            <wp:extent cx="2251788" cy="12006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29" cy="12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Les grains de pollen sont disséminés par le vent (anémophilie). Ils volent grâce aux deux ballonnets qui assurent leur portance.</w:t>
      </w:r>
    </w:p>
    <w:p>
      <w:pPr>
        <w:pStyle w:val="Titre2"/>
      </w:pPr>
      <w:r>
        <w:t>Cône femelle</w:t>
      </w:r>
    </w:p>
    <w:p>
      <w:r>
        <w:t>Les cônes femelles s’ouvrent pour laisser entrer le pollen puis ils se referment. Ils mettront deux ans pour maturer avant de s’ouvrir pour relâcher les graines.</w:t>
      </w:r>
    </w:p>
    <w:p>
      <w:r>
        <w:t>Chaque écaille ovulifère (mégasporophylle) porte deux ovules.</w:t>
      </w:r>
    </w:p>
    <w:p>
      <w:r>
        <w:rPr>
          <w:noProof/>
        </w:rPr>
        <w:drawing>
          <wp:inline distT="0" distB="0" distL="0" distR="0">
            <wp:extent cx="1940118" cy="2151472"/>
            <wp:effectExtent l="0" t="0" r="317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5" cy="21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w:type="default" r:id="rId1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 - embryophyte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9.7pt;height:22.3pt;visibility:visible;mso-wrap-style:square" o:bullet="t">
        <v:imagedata r:id="rId1" o:title=""/>
      </v:shape>
    </w:pict>
  </w:numPicBullet>
  <w:abstractNum w:abstractNumId="0" w15:restartNumberingAfterBreak="0">
    <w:nsid w:val="05693FE5"/>
    <w:multiLevelType w:val="hybridMultilevel"/>
    <w:tmpl w:val="38C64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E46C4C"/>
    <w:multiLevelType w:val="hybridMultilevel"/>
    <w:tmpl w:val="DDC8D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842AB"/>
    <w:multiLevelType w:val="hybridMultilevel"/>
    <w:tmpl w:val="B07AE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F0878"/>
    <w:multiLevelType w:val="hybridMultilevel"/>
    <w:tmpl w:val="82AC7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F359A"/>
    <w:multiLevelType w:val="hybridMultilevel"/>
    <w:tmpl w:val="1C1E2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485B86"/>
    <w:multiLevelType w:val="hybridMultilevel"/>
    <w:tmpl w:val="D18A3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D7451"/>
    <w:multiLevelType w:val="hybridMultilevel"/>
    <w:tmpl w:val="429608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A4BAE"/>
    <w:multiLevelType w:val="hybridMultilevel"/>
    <w:tmpl w:val="3CC85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B05CB"/>
    <w:multiLevelType w:val="hybridMultilevel"/>
    <w:tmpl w:val="CBB8D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C1B1E8E"/>
    <w:multiLevelType w:val="hybridMultilevel"/>
    <w:tmpl w:val="EEE43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12"/>
  </w:num>
  <w:num w:numId="8">
    <w:abstractNumId w:val="23"/>
  </w:num>
  <w:num w:numId="9">
    <w:abstractNumId w:val="33"/>
  </w:num>
  <w:num w:numId="10">
    <w:abstractNumId w:val="13"/>
  </w:num>
  <w:num w:numId="11">
    <w:abstractNumId w:val="16"/>
  </w:num>
  <w:num w:numId="12">
    <w:abstractNumId w:val="2"/>
  </w:num>
  <w:num w:numId="13">
    <w:abstractNumId w:val="36"/>
  </w:num>
  <w:num w:numId="14">
    <w:abstractNumId w:val="21"/>
  </w:num>
  <w:num w:numId="15">
    <w:abstractNumId w:val="25"/>
  </w:num>
  <w:num w:numId="16">
    <w:abstractNumId w:val="38"/>
  </w:num>
  <w:num w:numId="17">
    <w:abstractNumId w:val="3"/>
  </w:num>
  <w:num w:numId="18">
    <w:abstractNumId w:val="5"/>
  </w:num>
  <w:num w:numId="19">
    <w:abstractNumId w:val="24"/>
  </w:num>
  <w:num w:numId="20">
    <w:abstractNumId w:val="34"/>
  </w:num>
  <w:num w:numId="21">
    <w:abstractNumId w:val="20"/>
  </w:num>
  <w:num w:numId="22">
    <w:abstractNumId w:val="29"/>
  </w:num>
  <w:num w:numId="23">
    <w:abstractNumId w:val="11"/>
  </w:num>
  <w:num w:numId="24">
    <w:abstractNumId w:val="8"/>
  </w:num>
  <w:num w:numId="25">
    <w:abstractNumId w:val="19"/>
  </w:num>
  <w:num w:numId="26">
    <w:abstractNumId w:val="0"/>
  </w:num>
  <w:num w:numId="27">
    <w:abstractNumId w:val="35"/>
  </w:num>
  <w:num w:numId="28">
    <w:abstractNumId w:val="15"/>
  </w:num>
  <w:num w:numId="29">
    <w:abstractNumId w:val="26"/>
  </w:num>
  <w:num w:numId="30">
    <w:abstractNumId w:val="10"/>
  </w:num>
  <w:num w:numId="31">
    <w:abstractNumId w:val="18"/>
  </w:num>
  <w:num w:numId="32">
    <w:abstractNumId w:val="22"/>
  </w:num>
  <w:num w:numId="33">
    <w:abstractNumId w:val="28"/>
  </w:num>
  <w:num w:numId="34">
    <w:abstractNumId w:val="39"/>
  </w:num>
  <w:num w:numId="35">
    <w:abstractNumId w:val="17"/>
  </w:num>
  <w:num w:numId="36">
    <w:abstractNumId w:val="7"/>
  </w:num>
  <w:num w:numId="37">
    <w:abstractNumId w:val="30"/>
  </w:num>
  <w:num w:numId="38">
    <w:abstractNumId w:val="14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5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33</cp:revision>
  <cp:lastPrinted>2020-10-08T15:27:00Z</cp:lastPrinted>
  <dcterms:created xsi:type="dcterms:W3CDTF">2021-03-04T21:26:00Z</dcterms:created>
  <dcterms:modified xsi:type="dcterms:W3CDTF">2021-07-07T15:37:00Z</dcterms:modified>
</cp:coreProperties>
</file>