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BEC49" w14:textId="7596926C" w:rsidR="00B02356" w:rsidRDefault="00B02356" w:rsidP="00B02356">
      <w:pPr>
        <w:pStyle w:val="Titre1"/>
      </w:pPr>
      <w:r>
        <w:t>Généralité sur les enzymes</w:t>
      </w:r>
    </w:p>
    <w:p w14:paraId="2B7E6CD3" w14:textId="0C6C72B5" w:rsidR="004024C4" w:rsidRDefault="00B02356" w:rsidP="004024C4">
      <w:r>
        <w:t xml:space="preserve">Les enzymes </w:t>
      </w:r>
      <w:r w:rsidR="004024C4">
        <w:t xml:space="preserve">sont des catalyseurs naturels qui </w:t>
      </w:r>
      <w:r>
        <w:t>fonctionnent dans des conditions particulières (souvent dans les conditions physiologiques du corps).</w:t>
      </w:r>
      <w:r w:rsidR="004024C4">
        <w:t xml:space="preserve"> Ce</w:t>
      </w:r>
      <w:r w:rsidR="00A42323">
        <w:t>ux</w:t>
      </w:r>
      <w:r w:rsidR="004024C4">
        <w:t xml:space="preserve"> sont en générale des protéines (mais aussi des ARN) impliquées dans le métabolisme c’est-à-dire qui ont une activité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 w:rsidR="004024C4" w14:paraId="3088D58A" w14:textId="77777777" w:rsidTr="00774FFF">
        <w:tc>
          <w:tcPr>
            <w:tcW w:w="3667" w:type="dxa"/>
          </w:tcPr>
          <w:p w14:paraId="2C219686" w14:textId="77777777" w:rsidR="004024C4" w:rsidRDefault="004024C4" w:rsidP="00774FFF">
            <w:r>
              <w:t>Anabolisme (synthèse)</w:t>
            </w:r>
          </w:p>
        </w:tc>
        <w:tc>
          <w:tcPr>
            <w:tcW w:w="3668" w:type="dxa"/>
          </w:tcPr>
          <w:p w14:paraId="1F984B2E" w14:textId="37794579" w:rsidR="004024C4" w:rsidRDefault="004024C4" w:rsidP="00774FFF">
            <w:r>
              <w:t>Catabolisme (dégradation</w:t>
            </w:r>
            <w:r w:rsidR="00A42323">
              <w:t>)</w:t>
            </w:r>
          </w:p>
        </w:tc>
      </w:tr>
    </w:tbl>
    <w:p w14:paraId="6B96EADC" w14:textId="6D95475F" w:rsidR="0057572A" w:rsidRDefault="00B02356" w:rsidP="0057572A">
      <w:r>
        <w:t>Elles sont caractérisées</w:t>
      </w:r>
      <w:r w:rsidR="004024C4">
        <w:t xml:space="preserve"> par 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 w:rsidR="007C7E9B" w14:paraId="76ECC0C1" w14:textId="77777777" w:rsidTr="00BE0E6F">
        <w:tc>
          <w:tcPr>
            <w:tcW w:w="3667" w:type="dxa"/>
          </w:tcPr>
          <w:p w14:paraId="4EFFEB0E" w14:textId="3816245B" w:rsidR="007C7E9B" w:rsidRDefault="007C7E9B" w:rsidP="0057572A">
            <w:r>
              <w:t>Efficac</w:t>
            </w:r>
            <w:r w:rsidR="004024C4">
              <w:t>ité</w:t>
            </w:r>
          </w:p>
        </w:tc>
        <w:tc>
          <w:tcPr>
            <w:tcW w:w="3668" w:type="dxa"/>
          </w:tcPr>
          <w:p w14:paraId="4AE965A1" w14:textId="4ABE5AE8" w:rsidR="007C7E9B" w:rsidRDefault="007C7E9B" w:rsidP="0057572A">
            <w:r>
              <w:t>Spécialisé</w:t>
            </w:r>
          </w:p>
        </w:tc>
      </w:tr>
    </w:tbl>
    <w:p w14:paraId="401119DB" w14:textId="0922DE87" w:rsidR="004024C4" w:rsidRDefault="004024C4" w:rsidP="004024C4">
      <w:r w:rsidRPr="00A42323">
        <w:rPr>
          <w:u w:val="single"/>
        </w:rPr>
        <w:t>Rmq :</w:t>
      </w:r>
      <w:r>
        <w:t xml:space="preserve"> Les enzymes augmentent en moyenne la vitesse de réaction chimique de 10</w:t>
      </w:r>
      <w:r>
        <w:rPr>
          <w:vertAlign w:val="superscript"/>
        </w:rPr>
        <w:t>3</w:t>
      </w:r>
      <w:r>
        <w:t xml:space="preserve"> et 10</w:t>
      </w:r>
      <w:r>
        <w:rPr>
          <w:vertAlign w:val="superscript"/>
        </w:rPr>
        <w:t>6</w:t>
      </w:r>
      <w:r w:rsidR="00A42323">
        <w:t>.</w:t>
      </w:r>
    </w:p>
    <w:p w14:paraId="109DB3CE" w14:textId="19BF87C9" w:rsidR="004024C4" w:rsidRDefault="004024C4" w:rsidP="004024C4">
      <w:r w:rsidRPr="00B02356">
        <w:rPr>
          <w:rStyle w:val="Accentuation"/>
        </w:rPr>
        <w:t>Catalyseur</w:t>
      </w:r>
      <w:r>
        <w:t xml:space="preserve"> substance qui augmente la vitesse d’une réaction chimique sans participer ou modifier la réaction.</w:t>
      </w:r>
    </w:p>
    <w:p w14:paraId="6F9E5E7A" w14:textId="0091BBB0" w:rsidR="00B02356" w:rsidRDefault="00B02356" w:rsidP="00D957AF">
      <w:pPr>
        <w:pStyle w:val="Titre2"/>
      </w:pPr>
      <w:r>
        <w:t>Exemples des enzymes impliquées dans la digestion</w:t>
      </w:r>
    </w:p>
    <w:p w14:paraId="1FF0487C" w14:textId="201BE26A" w:rsidR="00B02356" w:rsidRDefault="00D957AF" w:rsidP="00B02356">
      <w:r>
        <w:t xml:space="preserve">La première étape de la digestion consiste à dénaturer les protéines grâce à la mise en place d’un milieu avec un pH 2. </w:t>
      </w:r>
      <w:r w:rsidR="00B02356">
        <w:t>Elles sont</w:t>
      </w:r>
      <w:r>
        <w:t xml:space="preserve"> ensuite</w:t>
      </w:r>
      <w:r w:rsidR="00B02356">
        <w:t xml:space="preserve"> dégradées </w:t>
      </w:r>
      <w:r>
        <w:t xml:space="preserve">par deux types d’enzymes de type catabolique qui agissent </w:t>
      </w:r>
      <w:r w:rsidR="00B02356">
        <w:t>simultanément</w:t>
      </w:r>
      <w:r>
        <w:t xml:space="preserve"> </w:t>
      </w:r>
      <w:r w:rsidR="00B02356">
        <w:t>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 w:rsidR="00B02356" w14:paraId="48EA8DA1" w14:textId="77777777" w:rsidTr="00BE0E6F">
        <w:tc>
          <w:tcPr>
            <w:tcW w:w="3667" w:type="dxa"/>
          </w:tcPr>
          <w:p w14:paraId="5B9D5599" w14:textId="33B320F7" w:rsidR="00B02356" w:rsidRDefault="00B02356" w:rsidP="00B02356">
            <w:r>
              <w:t>Les exopeptidases (coupe</w:t>
            </w:r>
            <w:r w:rsidR="00167B28">
              <w:t>nt</w:t>
            </w:r>
            <w:r>
              <w:t xml:space="preserve"> aux extrémités)</w:t>
            </w:r>
          </w:p>
        </w:tc>
        <w:tc>
          <w:tcPr>
            <w:tcW w:w="3668" w:type="dxa"/>
          </w:tcPr>
          <w:p w14:paraId="3DE9AEFA" w14:textId="1832A8A5" w:rsidR="00B02356" w:rsidRDefault="00B02356" w:rsidP="00B02356">
            <w:r>
              <w:t>Les endopeptidase</w:t>
            </w:r>
            <w:r w:rsidR="00167B28">
              <w:t>s</w:t>
            </w:r>
            <w:r>
              <w:t xml:space="preserve"> (coupe</w:t>
            </w:r>
            <w:r w:rsidR="00167B28">
              <w:t>nt</w:t>
            </w:r>
            <w:r>
              <w:t xml:space="preserve"> à l’intérieur)</w:t>
            </w:r>
          </w:p>
        </w:tc>
      </w:tr>
    </w:tbl>
    <w:p w14:paraId="482A8E31" w14:textId="7B8D18A6" w:rsidR="00733EE8" w:rsidRDefault="00733EE8" w:rsidP="00CD2900">
      <w:pPr>
        <w:pStyle w:val="Titre3"/>
      </w:pPr>
      <w:r>
        <w:t>Les endopeptidases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1918"/>
        <w:gridCol w:w="1741"/>
        <w:gridCol w:w="1896"/>
        <w:gridCol w:w="1780"/>
      </w:tblGrid>
      <w:tr w:rsidR="00CD2900" w14:paraId="3BDB3BB5" w14:textId="495C87D7" w:rsidTr="00CD29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9293DAF" w14:textId="1D930EC2" w:rsidR="00CD2900" w:rsidRDefault="00CD2900" w:rsidP="00733EE8">
            <w:r>
              <w:t>Spécificité de…</w:t>
            </w:r>
          </w:p>
        </w:tc>
        <w:tc>
          <w:tcPr>
            <w:tcW w:w="2136" w:type="dxa"/>
          </w:tcPr>
          <w:p w14:paraId="4E30513E" w14:textId="6794D267" w:rsidR="00CD2900" w:rsidRDefault="00CD2900" w:rsidP="00733E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Trypsine</w:t>
            </w:r>
          </w:p>
        </w:tc>
        <w:tc>
          <w:tcPr>
            <w:tcW w:w="2062" w:type="dxa"/>
          </w:tcPr>
          <w:p w14:paraId="2EA99C3A" w14:textId="2D66BEBE" w:rsidR="00CD2900" w:rsidRDefault="00CD2900" w:rsidP="00733E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Chymotrypsine</w:t>
            </w:r>
          </w:p>
        </w:tc>
        <w:tc>
          <w:tcPr>
            <w:tcW w:w="1299" w:type="dxa"/>
          </w:tcPr>
          <w:p w14:paraId="7DD42928" w14:textId="7F33F11F" w:rsidR="00CD2900" w:rsidRDefault="00CD2900" w:rsidP="00733E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Endonucléase </w:t>
            </w:r>
          </w:p>
        </w:tc>
      </w:tr>
      <w:tr w:rsidR="00CD2900" w14:paraId="0339B98A" w14:textId="4F3BCC81" w:rsidTr="00CD29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48E520A" w14:textId="5CC945FB" w:rsidR="00CD2900" w:rsidRDefault="00CD2900" w:rsidP="00733EE8">
            <w:r>
              <w:t>…réaction</w:t>
            </w:r>
          </w:p>
        </w:tc>
        <w:tc>
          <w:tcPr>
            <w:tcW w:w="2136" w:type="dxa"/>
          </w:tcPr>
          <w:p w14:paraId="42EE27D1" w14:textId="49ED7B0B" w:rsidR="00CD2900" w:rsidRDefault="00CD2900" w:rsidP="00733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Hydrolyse</w:t>
            </w:r>
          </w:p>
        </w:tc>
        <w:tc>
          <w:tcPr>
            <w:tcW w:w="2062" w:type="dxa"/>
          </w:tcPr>
          <w:p w14:paraId="457A6321" w14:textId="1414E9E0" w:rsidR="00CD2900" w:rsidRDefault="00CD2900" w:rsidP="00733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Hydrolyse</w:t>
            </w:r>
          </w:p>
        </w:tc>
        <w:tc>
          <w:tcPr>
            <w:tcW w:w="1299" w:type="dxa"/>
          </w:tcPr>
          <w:p w14:paraId="44215D22" w14:textId="03567CB1" w:rsidR="00CD2900" w:rsidRDefault="00800AD1" w:rsidP="00733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Hydrolyse</w:t>
            </w:r>
          </w:p>
        </w:tc>
      </w:tr>
      <w:tr w:rsidR="00CD2900" w14:paraId="71E9D051" w14:textId="4EFECD3F" w:rsidTr="00CD29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88FA0B9" w14:textId="100EAEE7" w:rsidR="00CD2900" w:rsidRDefault="00CD2900" w:rsidP="00733EE8">
            <w:r>
              <w:t>…liaison</w:t>
            </w:r>
          </w:p>
        </w:tc>
        <w:tc>
          <w:tcPr>
            <w:tcW w:w="2136" w:type="dxa"/>
          </w:tcPr>
          <w:p w14:paraId="1915BEE4" w14:textId="6ADD1908" w:rsidR="00167B28" w:rsidRDefault="00CD2900" w:rsidP="00733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Pepti</w:t>
            </w:r>
            <w:r w:rsidR="002225AE">
              <w:t>di</w:t>
            </w:r>
            <w:r w:rsidR="00167B28">
              <w:t>que</w:t>
            </w:r>
          </w:p>
        </w:tc>
        <w:tc>
          <w:tcPr>
            <w:tcW w:w="2062" w:type="dxa"/>
          </w:tcPr>
          <w:p w14:paraId="7248E799" w14:textId="25B5213A" w:rsidR="00CD2900" w:rsidRDefault="00CD2900" w:rsidP="00733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Peptidique</w:t>
            </w:r>
          </w:p>
        </w:tc>
        <w:tc>
          <w:tcPr>
            <w:tcW w:w="1299" w:type="dxa"/>
          </w:tcPr>
          <w:p w14:paraId="2014D94F" w14:textId="4996C2A4" w:rsidR="00CD2900" w:rsidRDefault="00800AD1" w:rsidP="00733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Phosphodiester</w:t>
            </w:r>
          </w:p>
        </w:tc>
      </w:tr>
      <w:tr w:rsidR="00CD2900" w14:paraId="13F72366" w14:textId="5AE162FF" w:rsidTr="00CD29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1E99775" w14:textId="4787380B" w:rsidR="00CD2900" w:rsidRDefault="00CD2900" w:rsidP="00733EE8">
            <w:r>
              <w:t>…reconnaissance</w:t>
            </w:r>
          </w:p>
        </w:tc>
        <w:tc>
          <w:tcPr>
            <w:tcW w:w="2136" w:type="dxa"/>
          </w:tcPr>
          <w:p w14:paraId="696429DC" w14:textId="3B1612B6" w:rsidR="00CD2900" w:rsidRDefault="00CD2900" w:rsidP="00733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Lysine, arginine</w:t>
            </w:r>
          </w:p>
        </w:tc>
        <w:tc>
          <w:tcPr>
            <w:tcW w:w="2062" w:type="dxa"/>
          </w:tcPr>
          <w:p w14:paraId="42A6CC44" w14:textId="6E49FF3E" w:rsidR="00CD2900" w:rsidRDefault="00CD2900" w:rsidP="00733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Trp, Phe, </w:t>
            </w:r>
            <w:proofErr w:type="spellStart"/>
            <w:r>
              <w:t>tyr</w:t>
            </w:r>
            <w:proofErr w:type="spellEnd"/>
          </w:p>
        </w:tc>
        <w:tc>
          <w:tcPr>
            <w:tcW w:w="1299" w:type="dxa"/>
          </w:tcPr>
          <w:p w14:paraId="139FAC6D" w14:textId="49973A69" w:rsidR="00CD2900" w:rsidRDefault="00CD2900" w:rsidP="00733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Palindrome (AG)</w:t>
            </w:r>
          </w:p>
        </w:tc>
      </w:tr>
      <w:tr w:rsidR="00CD2900" w14:paraId="66195DAE" w14:textId="6FA698A1" w:rsidTr="00CD29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B15B99A" w14:textId="33F08193" w:rsidR="00CD2900" w:rsidRDefault="00CD2900" w:rsidP="00733EE8">
            <w:r>
              <w:t>…position de la réaction</w:t>
            </w:r>
          </w:p>
        </w:tc>
        <w:tc>
          <w:tcPr>
            <w:tcW w:w="2136" w:type="dxa"/>
          </w:tcPr>
          <w:p w14:paraId="5B7E0F9A" w14:textId="04777794" w:rsidR="00CD2900" w:rsidRDefault="00CD2900" w:rsidP="00733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C-</w:t>
            </w:r>
            <w:proofErr w:type="spellStart"/>
            <w:r>
              <w:t>term</w:t>
            </w:r>
            <w:proofErr w:type="spellEnd"/>
          </w:p>
        </w:tc>
        <w:tc>
          <w:tcPr>
            <w:tcW w:w="2062" w:type="dxa"/>
          </w:tcPr>
          <w:p w14:paraId="0E296BCD" w14:textId="5769D111" w:rsidR="00CD2900" w:rsidRDefault="00CD2900" w:rsidP="00733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C-</w:t>
            </w:r>
            <w:proofErr w:type="spellStart"/>
            <w:r>
              <w:t>term</w:t>
            </w:r>
            <w:proofErr w:type="spellEnd"/>
          </w:p>
        </w:tc>
        <w:tc>
          <w:tcPr>
            <w:tcW w:w="1299" w:type="dxa"/>
          </w:tcPr>
          <w:p w14:paraId="653A39D1" w14:textId="192695D6" w:rsidR="00CD2900" w:rsidRDefault="00800AD1" w:rsidP="00733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Oxygène et phosphore</w:t>
            </w:r>
          </w:p>
        </w:tc>
      </w:tr>
      <w:tr w:rsidR="00CD2900" w14:paraId="41177634" w14:textId="05C90555" w:rsidTr="00CD29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62BBD9D" w14:textId="62010545" w:rsidR="00CD2900" w:rsidRDefault="00CD2900" w:rsidP="00733EE8">
            <w:r>
              <w:t>Stéréospécificité</w:t>
            </w:r>
          </w:p>
        </w:tc>
        <w:tc>
          <w:tcPr>
            <w:tcW w:w="2136" w:type="dxa"/>
          </w:tcPr>
          <w:p w14:paraId="07163556" w14:textId="5C340FC4" w:rsidR="00CD2900" w:rsidRDefault="00CD2900" w:rsidP="00733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</w:p>
        </w:tc>
        <w:tc>
          <w:tcPr>
            <w:tcW w:w="2062" w:type="dxa"/>
          </w:tcPr>
          <w:p w14:paraId="7A08DD1C" w14:textId="11866EE4" w:rsidR="00CD2900" w:rsidRDefault="00CD2900" w:rsidP="00733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</w:p>
        </w:tc>
        <w:tc>
          <w:tcPr>
            <w:tcW w:w="1299" w:type="dxa"/>
          </w:tcPr>
          <w:p w14:paraId="0BDE51C4" w14:textId="784EFC9E" w:rsidR="00CD2900" w:rsidRDefault="00800AD1" w:rsidP="00733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</w:tr>
    </w:tbl>
    <w:p w14:paraId="68DF0215" w14:textId="459D9E22" w:rsidR="00CD2900" w:rsidRDefault="00CD2900" w:rsidP="00CD2900">
      <w:r w:rsidRPr="00800AD1">
        <w:rPr>
          <w:rStyle w:val="Accentuation"/>
        </w:rPr>
        <w:t>Palindrome</w:t>
      </w:r>
      <w:r>
        <w:t xml:space="preserve"> séquence </w:t>
      </w:r>
      <w:r w:rsidR="00800AD1">
        <w:t>dont le sens est indépendant du sens de lecture.</w:t>
      </w:r>
    </w:p>
    <w:p w14:paraId="6EF7991B" w14:textId="49A8B971" w:rsidR="00733EE8" w:rsidRDefault="00CD2900" w:rsidP="00CD2900">
      <w:pPr>
        <w:pStyle w:val="Titre3"/>
      </w:pPr>
      <w:r>
        <w:t>Les exopeptidases</w:t>
      </w:r>
    </w:p>
    <w:tbl>
      <w:tblPr>
        <w:tblStyle w:val="Grilledetableauclaire"/>
        <w:tblW w:w="0" w:type="auto"/>
        <w:tblLook w:val="0420" w:firstRow="1" w:lastRow="0" w:firstColumn="0" w:lastColumn="0" w:noHBand="0" w:noVBand="1"/>
      </w:tblPr>
      <w:tblGrid>
        <w:gridCol w:w="2689"/>
        <w:gridCol w:w="2201"/>
        <w:gridCol w:w="2445"/>
      </w:tblGrid>
      <w:tr w:rsidR="00CD2900" w14:paraId="30850C3A" w14:textId="77777777" w:rsidTr="00CD29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89" w:type="dxa"/>
          </w:tcPr>
          <w:p w14:paraId="13FD27BD" w14:textId="77777777" w:rsidR="00CD2900" w:rsidRDefault="00CD2900" w:rsidP="006C0046">
            <w:r>
              <w:t>Spécificité de…</w:t>
            </w:r>
          </w:p>
        </w:tc>
        <w:tc>
          <w:tcPr>
            <w:tcW w:w="2201" w:type="dxa"/>
          </w:tcPr>
          <w:p w14:paraId="71EA2D29" w14:textId="098A880A" w:rsidR="00CD2900" w:rsidRDefault="00CD2900" w:rsidP="006C0046">
            <w:r>
              <w:t>Aminopeptidase</w:t>
            </w:r>
          </w:p>
        </w:tc>
        <w:tc>
          <w:tcPr>
            <w:tcW w:w="2445" w:type="dxa"/>
          </w:tcPr>
          <w:p w14:paraId="3FD3843E" w14:textId="32CECE0D" w:rsidR="00CD2900" w:rsidRDefault="00CD2900" w:rsidP="006C0046">
            <w:r>
              <w:t>Carboxypeptidase</w:t>
            </w:r>
          </w:p>
        </w:tc>
      </w:tr>
      <w:tr w:rsidR="00CD2900" w14:paraId="0A2533B8" w14:textId="77777777" w:rsidTr="00CD2900">
        <w:tc>
          <w:tcPr>
            <w:tcW w:w="2689" w:type="dxa"/>
          </w:tcPr>
          <w:p w14:paraId="7B32CE68" w14:textId="77777777" w:rsidR="00CD2900" w:rsidRDefault="00CD2900" w:rsidP="006C0046">
            <w:r>
              <w:t>…réaction</w:t>
            </w:r>
          </w:p>
        </w:tc>
        <w:tc>
          <w:tcPr>
            <w:tcW w:w="2201" w:type="dxa"/>
          </w:tcPr>
          <w:p w14:paraId="6725549B" w14:textId="6F5E0360" w:rsidR="00CD2900" w:rsidRDefault="00CD2900" w:rsidP="006C0046">
            <w:r>
              <w:t>Hydrolyse</w:t>
            </w:r>
          </w:p>
        </w:tc>
        <w:tc>
          <w:tcPr>
            <w:tcW w:w="2445" w:type="dxa"/>
          </w:tcPr>
          <w:p w14:paraId="1E2B9CA5" w14:textId="23EAB2DD" w:rsidR="00CD2900" w:rsidRDefault="00CD2900" w:rsidP="006C0046">
            <w:r>
              <w:t>Hydrolyse</w:t>
            </w:r>
          </w:p>
        </w:tc>
      </w:tr>
      <w:tr w:rsidR="00CD2900" w14:paraId="573F66A5" w14:textId="77777777" w:rsidTr="00CD2900">
        <w:tc>
          <w:tcPr>
            <w:tcW w:w="2689" w:type="dxa"/>
          </w:tcPr>
          <w:p w14:paraId="503DE226" w14:textId="77777777" w:rsidR="00CD2900" w:rsidRDefault="00CD2900" w:rsidP="006C0046">
            <w:r>
              <w:t>…liaison</w:t>
            </w:r>
          </w:p>
        </w:tc>
        <w:tc>
          <w:tcPr>
            <w:tcW w:w="2201" w:type="dxa"/>
          </w:tcPr>
          <w:p w14:paraId="7119B081" w14:textId="5765436F" w:rsidR="00CD2900" w:rsidRDefault="00CD2900" w:rsidP="006C0046">
            <w:r>
              <w:t>Peptide</w:t>
            </w:r>
          </w:p>
        </w:tc>
        <w:tc>
          <w:tcPr>
            <w:tcW w:w="2445" w:type="dxa"/>
          </w:tcPr>
          <w:p w14:paraId="019549DD" w14:textId="76B3ABA8" w:rsidR="00CD2900" w:rsidRDefault="00CD2900" w:rsidP="006C0046">
            <w:r>
              <w:t>Peptide</w:t>
            </w:r>
          </w:p>
        </w:tc>
      </w:tr>
      <w:tr w:rsidR="00CD2900" w14:paraId="3E1A3C79" w14:textId="77777777" w:rsidTr="00CD2900">
        <w:tc>
          <w:tcPr>
            <w:tcW w:w="2689" w:type="dxa"/>
          </w:tcPr>
          <w:p w14:paraId="3651AD19" w14:textId="77777777" w:rsidR="00CD2900" w:rsidRDefault="00CD2900" w:rsidP="006C0046">
            <w:r>
              <w:t>…reconnaissance</w:t>
            </w:r>
          </w:p>
        </w:tc>
        <w:tc>
          <w:tcPr>
            <w:tcW w:w="2201" w:type="dxa"/>
          </w:tcPr>
          <w:p w14:paraId="766A5F43" w14:textId="32376253" w:rsidR="00CD2900" w:rsidRDefault="00CD2900" w:rsidP="006C0046">
            <w:r>
              <w:t>N-</w:t>
            </w:r>
            <w:proofErr w:type="spellStart"/>
            <w:r>
              <w:t>term</w:t>
            </w:r>
            <w:proofErr w:type="spellEnd"/>
          </w:p>
        </w:tc>
        <w:tc>
          <w:tcPr>
            <w:tcW w:w="2445" w:type="dxa"/>
          </w:tcPr>
          <w:p w14:paraId="69D57C9B" w14:textId="04C80217" w:rsidR="00CD2900" w:rsidRDefault="00CD2900" w:rsidP="006C0046">
            <w:r>
              <w:t>Carboxyle</w:t>
            </w:r>
          </w:p>
        </w:tc>
      </w:tr>
      <w:tr w:rsidR="00CD2900" w14:paraId="47D5D95A" w14:textId="77777777" w:rsidTr="00CD2900">
        <w:tc>
          <w:tcPr>
            <w:tcW w:w="2689" w:type="dxa"/>
          </w:tcPr>
          <w:p w14:paraId="0F8EB298" w14:textId="77777777" w:rsidR="00CD2900" w:rsidRDefault="00CD2900" w:rsidP="006C0046">
            <w:r>
              <w:t>…position de la réaction</w:t>
            </w:r>
          </w:p>
        </w:tc>
        <w:tc>
          <w:tcPr>
            <w:tcW w:w="2201" w:type="dxa"/>
          </w:tcPr>
          <w:p w14:paraId="70663361" w14:textId="1A7DE245" w:rsidR="00CD2900" w:rsidRDefault="00CD2900" w:rsidP="006C0046">
            <w:r>
              <w:t>N-</w:t>
            </w:r>
            <w:proofErr w:type="spellStart"/>
            <w:r>
              <w:t>term</w:t>
            </w:r>
            <w:proofErr w:type="spellEnd"/>
          </w:p>
        </w:tc>
        <w:tc>
          <w:tcPr>
            <w:tcW w:w="2445" w:type="dxa"/>
          </w:tcPr>
          <w:p w14:paraId="1BCDF8FE" w14:textId="6B455214" w:rsidR="00CD2900" w:rsidRDefault="00CD2900" w:rsidP="006C0046">
            <w:r>
              <w:t>C-</w:t>
            </w:r>
            <w:proofErr w:type="spellStart"/>
            <w:r>
              <w:t>term</w:t>
            </w:r>
            <w:proofErr w:type="spellEnd"/>
          </w:p>
        </w:tc>
      </w:tr>
      <w:tr w:rsidR="00CD2900" w14:paraId="553EEA82" w14:textId="77777777" w:rsidTr="00CD2900">
        <w:tc>
          <w:tcPr>
            <w:tcW w:w="2689" w:type="dxa"/>
          </w:tcPr>
          <w:p w14:paraId="72002A8F" w14:textId="77777777" w:rsidR="00CD2900" w:rsidRDefault="00CD2900" w:rsidP="006C0046">
            <w:r>
              <w:t>Stéréospécificité</w:t>
            </w:r>
          </w:p>
        </w:tc>
        <w:tc>
          <w:tcPr>
            <w:tcW w:w="2201" w:type="dxa"/>
          </w:tcPr>
          <w:p w14:paraId="0B6D9A20" w14:textId="77777777" w:rsidR="00CD2900" w:rsidRDefault="00CD2900" w:rsidP="006C0046">
            <w:r>
              <w:t>L</w:t>
            </w:r>
          </w:p>
        </w:tc>
        <w:tc>
          <w:tcPr>
            <w:tcW w:w="2445" w:type="dxa"/>
          </w:tcPr>
          <w:p w14:paraId="06BE7FF1" w14:textId="77777777" w:rsidR="00CD2900" w:rsidRDefault="00CD2900" w:rsidP="006C0046">
            <w:r>
              <w:t>L</w:t>
            </w:r>
          </w:p>
        </w:tc>
      </w:tr>
    </w:tbl>
    <w:p w14:paraId="6C656DBF" w14:textId="4D86D1C7" w:rsidR="00733EE8" w:rsidRDefault="00733EE8" w:rsidP="00733EE8">
      <w:pPr>
        <w:pStyle w:val="Titre1"/>
      </w:pPr>
      <w:r>
        <w:t>Réaction chimique</w:t>
      </w:r>
    </w:p>
    <w:p w14:paraId="7F2ADA9E" w14:textId="77777777" w:rsidR="00D957AF" w:rsidRDefault="00733EE8" w:rsidP="00733EE8">
      <w:r>
        <w:t>Pour qu’une réaction chimique puisse se produire, il faut</w:t>
      </w:r>
      <w:r w:rsidR="00800AD1">
        <w:t xml:space="preserve"> que les réactifs</w:t>
      </w:r>
      <w:r w:rsidR="00D957AF">
        <w:t>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114"/>
        <w:gridCol w:w="4221"/>
      </w:tblGrid>
      <w:tr w:rsidR="00D957AF" w14:paraId="19F2D833" w14:textId="77777777" w:rsidTr="004D3483">
        <w:tc>
          <w:tcPr>
            <w:tcW w:w="3114" w:type="dxa"/>
          </w:tcPr>
          <w:p w14:paraId="6F5C2FFD" w14:textId="34E1CECF" w:rsidR="00D957AF" w:rsidRDefault="00D957AF" w:rsidP="00733EE8">
            <w:r>
              <w:t>Soient les uns à côté des autres</w:t>
            </w:r>
          </w:p>
        </w:tc>
        <w:tc>
          <w:tcPr>
            <w:tcW w:w="4221" w:type="dxa"/>
          </w:tcPr>
          <w:p w14:paraId="3EA9FA44" w14:textId="3CCCC6B3" w:rsidR="00D957AF" w:rsidRDefault="00D957AF" w:rsidP="00733EE8">
            <w:r>
              <w:t>Atteignent un certain niveau d’énergie appelé énergie d’activation</w:t>
            </w:r>
          </w:p>
        </w:tc>
      </w:tr>
    </w:tbl>
    <w:p w14:paraId="579EB547" w14:textId="599C851F" w:rsidR="007C7E9B" w:rsidRDefault="00D957AF" w:rsidP="007935CB">
      <w:r w:rsidRPr="00D957AF">
        <w:t xml:space="preserve">La réaction </w:t>
      </w:r>
      <w:r>
        <w:t>a</w:t>
      </w:r>
      <w:r w:rsidRPr="00D957AF">
        <w:t xml:space="preserve"> lieu lorsque </w:t>
      </w:r>
      <w:r w:rsidR="007935CB">
        <w:t>les réactifs</w:t>
      </w:r>
      <w:r>
        <w:t xml:space="preserve"> se percutent avec une certaine quantité d’énergie c’est-à-dire </w:t>
      </w:r>
      <w:r w:rsidR="007935CB">
        <w:t xml:space="preserve">suffisamment vite. </w:t>
      </w:r>
    </w:p>
    <w:p w14:paraId="6307A3AB" w14:textId="59548BDD" w:rsidR="009C15E1" w:rsidRDefault="007935CB" w:rsidP="007935CB">
      <w:r>
        <w:t xml:space="preserve">L’enzyme </w:t>
      </w:r>
      <w:r w:rsidR="004D3483">
        <w:t>se fixe à un des réactifs ce qui modifie le chemin de la réaction et diminue l’énergie d’activation</w:t>
      </w:r>
      <w:r w:rsidR="00D957AF">
        <w:t xml:space="preserve">. </w:t>
      </w:r>
      <w:r w:rsidR="004D3483">
        <w:t>La réaction a alors lieu plus souvent</w:t>
      </w:r>
      <w:r>
        <w:t>.</w:t>
      </w:r>
    </w:p>
    <w:p w14:paraId="036CCB69" w14:textId="6A7C9197" w:rsidR="00FA5457" w:rsidRDefault="00733EE8" w:rsidP="00FA5457">
      <w:r w:rsidRPr="00D957AF">
        <w:rPr>
          <w:u w:val="single"/>
        </w:rPr>
        <w:t>Rmq :</w:t>
      </w:r>
      <w:r>
        <w:t xml:space="preserve"> </w:t>
      </w:r>
      <w:r w:rsidR="007935CB">
        <w:t xml:space="preserve">Pour </w:t>
      </w:r>
      <w:r>
        <w:t xml:space="preserve">les réactions anaboliques, </w:t>
      </w:r>
      <w:r w:rsidR="007C7E9B">
        <w:t>i</w:t>
      </w:r>
      <w:r>
        <w:t xml:space="preserve">l faut fournir de l’énergie </w:t>
      </w:r>
      <w:r w:rsidR="007C7E9B">
        <w:t>pour que la réaction est lieu</w:t>
      </w:r>
      <w:r w:rsidR="007935CB">
        <w:t xml:space="preserve"> </w:t>
      </w:r>
      <w:r w:rsidR="00D957AF">
        <w:t xml:space="preserve">en </w:t>
      </w:r>
      <w:r w:rsidR="007935CB">
        <w:t>brisant les molécules d’ATP.</w:t>
      </w:r>
    </w:p>
    <w:p w14:paraId="42EA2148" w14:textId="5692E113" w:rsidR="00B02356" w:rsidRDefault="00B02356" w:rsidP="007C7E9B">
      <w:pPr>
        <w:pStyle w:val="Titre1"/>
      </w:pPr>
      <w:r>
        <w:t>Vitesse de réaction</w:t>
      </w:r>
    </w:p>
    <w:p w14:paraId="3D782FD2" w14:textId="57CAF6DD" w:rsidR="008649C4" w:rsidRDefault="008649C4" w:rsidP="00B05198">
      <w:r>
        <w:t xml:space="preserve">On définit la vitesse </w:t>
      </w:r>
      <w:r w:rsidR="004D3483">
        <w:t xml:space="preserve">de réaction </w:t>
      </w:r>
      <w:r>
        <w:t xml:space="preserve">comme la quantité de substrat se transformant en produit </w:t>
      </w:r>
      <w:r w:rsidR="004D3483">
        <w:t>durant</w:t>
      </w:r>
      <w:r>
        <w:t xml:space="preserve"> une certaine unité de temps.</w:t>
      </w:r>
    </w:p>
    <w:p w14:paraId="097D9DA0" w14:textId="206D5920" w:rsidR="00FA5457" w:rsidRDefault="00FA5457" w:rsidP="00B05198">
      <w:r>
        <w:t>La vitesse consiste à mesurer l’ampleur de la variation de concentration du produit pour une petit</w:t>
      </w:r>
      <w:r w:rsidR="004D3483">
        <w:t>e</w:t>
      </w:r>
      <w:r>
        <w:t xml:space="preserve"> variation de temps.</w:t>
      </w:r>
    </w:p>
    <w:p w14:paraId="5CC42928" w14:textId="1BF1DE24" w:rsidR="00FA5457" w:rsidRDefault="00FA5457" w:rsidP="00B05198">
      <w:r>
        <w:t xml:space="preserve">Pour une réaction de type : </w:t>
      </w:r>
      <m:oMath>
        <m:r>
          <w:rPr>
            <w:rFonts w:ascii="Cambria Math" w:hAnsi="Cambria Math"/>
          </w:rPr>
          <m:t>A→B</m:t>
        </m:r>
      </m:oMath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 w:rsidR="008649C4" w14:paraId="6EF7BA1A" w14:textId="77777777" w:rsidTr="00FA5457">
        <w:trPr>
          <w:trHeight w:val="604"/>
        </w:trPr>
        <w:tc>
          <w:tcPr>
            <w:tcW w:w="3667" w:type="dxa"/>
          </w:tcPr>
          <w:p w14:paraId="25DEFABC" w14:textId="509AD079" w:rsidR="008649C4" w:rsidRDefault="008649C4" w:rsidP="00B05198">
            <m:oMathPara>
              <m:oMath>
                <m:r>
                  <w:rPr>
                    <w:rFonts w:ascii="Cambria Math" w:hAnsi="Cambria Math"/>
                  </w:rPr>
                  <m:t>v=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d[B]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-d[A]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</m:oMath>
            </m:oMathPara>
          </w:p>
        </w:tc>
        <w:tc>
          <w:tcPr>
            <w:tcW w:w="3668" w:type="dxa"/>
          </w:tcPr>
          <w:p w14:paraId="59B88775" w14:textId="77777777" w:rsidR="00631C1B" w:rsidRDefault="00FA5457" w:rsidP="00B05198">
            <w:r>
              <w:t xml:space="preserve">[B] est la concentration en Mol (ou </w:t>
            </w:r>
            <w:proofErr w:type="gramStart"/>
            <w:r>
              <w:t>mol.L</w:t>
            </w:r>
            <w:proofErr w:type="gramEnd"/>
            <w:r>
              <w:rPr>
                <w:vertAlign w:val="superscript"/>
              </w:rPr>
              <w:t>-1</w:t>
            </w:r>
            <w:r>
              <w:t>).</w:t>
            </w:r>
          </w:p>
          <w:p w14:paraId="7645CDDE" w14:textId="170D3BB7" w:rsidR="00906FF4" w:rsidRPr="00906FF4" w:rsidRDefault="00906FF4" w:rsidP="00B05198">
            <m:oMath>
              <m:r>
                <w:rPr>
                  <w:rFonts w:ascii="Cambria Math" w:hAnsi="Cambria Math"/>
                </w:rPr>
                <m:t>v</m:t>
              </m:r>
            </m:oMath>
            <w:r>
              <w:rPr>
                <w:rFonts w:eastAsiaTheme="minorEastAsia"/>
              </w:rPr>
              <w:t xml:space="preserve"> </w:t>
            </w:r>
            <w:proofErr w:type="gramStart"/>
            <w:r>
              <w:rPr>
                <w:rFonts w:eastAsiaTheme="minorEastAsia"/>
              </w:rPr>
              <w:t>vitesse</w:t>
            </w:r>
            <w:proofErr w:type="gramEnd"/>
            <w:r>
              <w:rPr>
                <w:rFonts w:eastAsiaTheme="minorEastAsia"/>
              </w:rPr>
              <w:t xml:space="preserve"> en mol.L</w:t>
            </w:r>
            <w:r>
              <w:rPr>
                <w:rFonts w:eastAsiaTheme="minorEastAsia"/>
                <w:vertAlign w:val="superscript"/>
              </w:rPr>
              <w:t>-1</w:t>
            </w:r>
            <w:r>
              <w:rPr>
                <w:rFonts w:eastAsiaTheme="minorEastAsia"/>
              </w:rPr>
              <w:t>.s</w:t>
            </w:r>
            <w:r>
              <w:rPr>
                <w:rFonts w:eastAsiaTheme="minorEastAsia"/>
                <w:vertAlign w:val="superscript"/>
              </w:rPr>
              <w:t>-1</w:t>
            </w:r>
          </w:p>
        </w:tc>
      </w:tr>
    </w:tbl>
    <w:p w14:paraId="03184A66" w14:textId="77777777" w:rsidR="00631C1B" w:rsidRPr="008649C4" w:rsidRDefault="008649C4" w:rsidP="00B05198">
      <w:pPr>
        <w:rPr>
          <w:rFonts w:eastAsia="Calibri" w:cs="Times New Roman"/>
        </w:rPr>
      </w:pPr>
      <w:r>
        <w:lastRenderedPageBreak/>
        <w:t xml:space="preserve">On se rend compte que la vitesse </w:t>
      </w:r>
      <w:r w:rsidR="00FA5457">
        <w:t xml:space="preserve">d’apparition du produit est </w:t>
      </w:r>
      <w:r>
        <w:t>proportionnelle à la quantité de produit présent</w:t>
      </w:r>
      <w:r w:rsidR="00FA5457">
        <w:t xml:space="preserve"> qui disparait :</w:t>
      </w:r>
      <w:r>
        <w:t xml:space="preserve"> 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3667"/>
        <w:gridCol w:w="3668"/>
      </w:tblGrid>
      <w:tr w:rsidR="00631C1B" w14:paraId="09413986" w14:textId="77777777" w:rsidTr="00631C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14:paraId="129CF913" w14:textId="2A685A89" w:rsidR="00631C1B" w:rsidRDefault="00631C1B" w:rsidP="00B05198">
            <w:pPr>
              <w:rPr>
                <w:rFonts w:eastAsia="Calibri" w:cs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v=k[A]</m:t>
                </m:r>
              </m:oMath>
            </m:oMathPara>
          </w:p>
        </w:tc>
        <w:tc>
          <w:tcPr>
            <w:tcW w:w="3668" w:type="dxa"/>
          </w:tcPr>
          <w:p w14:paraId="2B0C12FD" w14:textId="0D25DACA" w:rsidR="00631C1B" w:rsidRPr="006C0046" w:rsidRDefault="00631C1B" w:rsidP="00B051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vertAlign w:val="superscript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oMath>
            <w:r>
              <w:rPr>
                <w:rFonts w:eastAsia="Calibri" w:cs="Times New Roman"/>
                <w:b w:val="0"/>
              </w:rPr>
              <w:t xml:space="preserve"> </w:t>
            </w:r>
            <w:proofErr w:type="gramStart"/>
            <w:r>
              <w:rPr>
                <w:rFonts w:eastAsia="Calibri" w:cs="Times New Roman"/>
                <w:b w:val="0"/>
              </w:rPr>
              <w:t>constante</w:t>
            </w:r>
            <w:proofErr w:type="gramEnd"/>
            <w:r>
              <w:rPr>
                <w:rFonts w:eastAsia="Calibri" w:cs="Times New Roman"/>
                <w:b w:val="0"/>
              </w:rPr>
              <w:t xml:space="preserve"> de vitesse en </w:t>
            </w:r>
            <w:r w:rsidR="006C0046">
              <w:rPr>
                <w:rFonts w:eastAsia="Calibri" w:cs="Times New Roman"/>
                <w:b w:val="0"/>
              </w:rPr>
              <w:t>s</w:t>
            </w:r>
            <w:r w:rsidR="006C0046">
              <w:rPr>
                <w:rFonts w:eastAsia="Calibri" w:cs="Times New Roman"/>
                <w:b w:val="0"/>
                <w:vertAlign w:val="superscript"/>
              </w:rPr>
              <w:t>-1</w:t>
            </w:r>
          </w:p>
        </w:tc>
      </w:tr>
    </w:tbl>
    <w:p w14:paraId="1EF70FEB" w14:textId="4433B24E" w:rsidR="008649C4" w:rsidRDefault="008649C4" w:rsidP="00B05198">
      <w:r>
        <w:t xml:space="preserve">Cela signifie qu’à chaque instant </w:t>
      </w:r>
      <m:oMath>
        <m:r>
          <w:rPr>
            <w:rFonts w:ascii="Cambria Math" w:hAnsi="Cambria Math"/>
          </w:rPr>
          <m:t>k</m:t>
        </m:r>
        <m:r>
          <w:rPr>
            <w:rFonts w:ascii="Cambria Math" w:eastAsiaTheme="minorEastAsia" w:hAnsi="Cambria Math"/>
          </w:rPr>
          <m:t>%</m:t>
        </m:r>
      </m:oMath>
      <w:r>
        <w:t xml:space="preserve"> du produit A se transforme en B</w:t>
      </w:r>
      <w:r w:rsidR="00FA5457">
        <w:t>.</w:t>
      </w:r>
    </w:p>
    <w:tbl>
      <w:tblPr>
        <w:tblStyle w:val="Grilledetableauclaire"/>
        <w:tblW w:w="0" w:type="auto"/>
        <w:tblLook w:val="0480" w:firstRow="0" w:lastRow="0" w:firstColumn="1" w:lastColumn="0" w:noHBand="0" w:noVBand="1"/>
      </w:tblPr>
      <w:tblGrid>
        <w:gridCol w:w="1980"/>
        <w:gridCol w:w="1692"/>
        <w:gridCol w:w="1285"/>
        <w:gridCol w:w="2378"/>
      </w:tblGrid>
      <w:tr w:rsidR="00631C1B" w14:paraId="7307CF1E" w14:textId="5EEB5776" w:rsidTr="006C00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01C45F0" w14:textId="42B5D8D5" w:rsidR="00631C1B" w:rsidRDefault="00631C1B" w:rsidP="00B05198">
            <w:r>
              <w:t>Type de réaction</w:t>
            </w:r>
          </w:p>
        </w:tc>
        <w:tc>
          <w:tcPr>
            <w:tcW w:w="1692" w:type="dxa"/>
          </w:tcPr>
          <w:p w14:paraId="47B3D6B6" w14:textId="0C3C303B" w:rsidR="00631C1B" w:rsidRPr="006C0046" w:rsidRDefault="006C0046" w:rsidP="00B051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m:oMathPara>
              <m:oMath>
                <m:r>
                  <w:rPr>
                    <w:rFonts w:ascii="Cambria Math" w:hAnsi="Cambria Math"/>
                  </w:rPr>
                  <m:t>A+B→C</m:t>
                </m:r>
              </m:oMath>
            </m:oMathPara>
          </w:p>
        </w:tc>
        <w:tc>
          <w:tcPr>
            <w:tcW w:w="1285" w:type="dxa"/>
          </w:tcPr>
          <w:p w14:paraId="5940EBBE" w14:textId="7B0A5599" w:rsidR="00631C1B" w:rsidRPr="006C0046" w:rsidRDefault="004D3483" w:rsidP="00B051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m:oMathPara>
              <m:oMath>
                <m:r>
                  <w:rPr>
                    <w:rFonts w:ascii="Cambria Math" w:hAnsi="Cambria Math"/>
                  </w:rPr>
                  <m:t>2A→C</m:t>
                </m:r>
              </m:oMath>
            </m:oMathPara>
          </w:p>
        </w:tc>
        <w:tc>
          <w:tcPr>
            <w:tcW w:w="2378" w:type="dxa"/>
          </w:tcPr>
          <w:p w14:paraId="0587407C" w14:textId="2F5DFDC3" w:rsidR="00631C1B" w:rsidRPr="006C0046" w:rsidRDefault="006C0046" w:rsidP="00B051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bCs/>
              </w:rPr>
            </w:pPr>
            <m:oMathPara>
              <m:oMath>
                <m:r>
                  <w:rPr>
                    <w:rFonts w:ascii="Cambria Math" w:hAnsi="Cambria Math"/>
                  </w:rPr>
                  <m:t>A+solvant→B</m:t>
                </m:r>
              </m:oMath>
            </m:oMathPara>
          </w:p>
        </w:tc>
      </w:tr>
      <w:tr w:rsidR="00631C1B" w14:paraId="5B85475A" w14:textId="30C176C4" w:rsidTr="006C00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DA19EB3" w14:textId="3F7E6C4E" w:rsidR="00631C1B" w:rsidRDefault="00631C1B" w:rsidP="00B05198">
            <w:r>
              <w:t>Vitesse</w:t>
            </w:r>
          </w:p>
        </w:tc>
        <w:tc>
          <w:tcPr>
            <w:tcW w:w="1692" w:type="dxa"/>
          </w:tcPr>
          <w:p w14:paraId="0C51E29E" w14:textId="28A78288" w:rsidR="00631C1B" w:rsidRPr="006C0046" w:rsidRDefault="006C0046" w:rsidP="00B051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m:oMathPara>
              <m:oMath>
                <m:r>
                  <w:rPr>
                    <w:rFonts w:ascii="Cambria Math" w:hAnsi="Cambria Math"/>
                  </w:rPr>
                  <m:t>v=k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>[B]</m:t>
                </m:r>
              </m:oMath>
            </m:oMathPara>
          </w:p>
        </w:tc>
        <w:tc>
          <w:tcPr>
            <w:tcW w:w="1285" w:type="dxa"/>
          </w:tcPr>
          <w:p w14:paraId="3C6F739B" w14:textId="3FD33676" w:rsidR="00631C1B" w:rsidRPr="006C0046" w:rsidRDefault="006C0046" w:rsidP="00B051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m:oMathPara>
              <m:oMath>
                <m:r>
                  <w:rPr>
                    <w:rFonts w:ascii="Cambria Math" w:hAnsi="Cambria Math"/>
                  </w:rPr>
                  <m:t>v=k[A]²</m:t>
                </m:r>
              </m:oMath>
            </m:oMathPara>
          </w:p>
        </w:tc>
        <w:tc>
          <w:tcPr>
            <w:tcW w:w="2378" w:type="dxa"/>
          </w:tcPr>
          <w:p w14:paraId="08F60D01" w14:textId="2F55E476" w:rsidR="00631C1B" w:rsidRPr="006C0046" w:rsidRDefault="006C0046" w:rsidP="00B051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bCs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v=</m:t>
                </m:r>
                <m:r>
                  <w:rPr>
                    <w:rFonts w:ascii="Cambria Math" w:hAnsi="Cambria Math"/>
                  </w:rPr>
                  <m:t xml:space="preserve"> k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sol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p>
              </m:oMath>
            </m:oMathPara>
          </w:p>
        </w:tc>
      </w:tr>
    </w:tbl>
    <w:p w14:paraId="73BDB92A" w14:textId="0DF268FF" w:rsidR="00631C1B" w:rsidRDefault="00631C1B" w:rsidP="00B05198">
      <w:r w:rsidRPr="004D3483">
        <w:rPr>
          <w:u w:val="single"/>
        </w:rPr>
        <w:t>NB :</w:t>
      </w:r>
      <w:r>
        <w:t xml:space="preserve"> Dans le cas où un des réactifs est le solvant, la réaction ne change pas</w:t>
      </w:r>
      <w:r w:rsidR="00F730A0">
        <w:t xml:space="preserve"> car </w:t>
      </w:r>
      <w:r w:rsidR="004D3483">
        <w:t>s</w:t>
      </w:r>
      <w:r w:rsidR="00F730A0">
        <w:t xml:space="preserve">a concentration reste la même. Il y aura </w:t>
      </w:r>
      <w:r w:rsidR="004D3483">
        <w:t>en revanche</w:t>
      </w:r>
      <w:r w:rsidR="00F730A0">
        <w:t xml:space="preserve"> une diminution du volume</w:t>
      </w:r>
      <w:r>
        <w:t>.</w:t>
      </w:r>
    </w:p>
    <w:p w14:paraId="3F5228C0" w14:textId="781CC1A2" w:rsidR="00631C1B" w:rsidRDefault="00631C1B" w:rsidP="00631C1B">
      <w:pPr>
        <w:pStyle w:val="Titre3"/>
      </w:pPr>
      <w:r>
        <w:t>Équilibre chimique</w:t>
      </w:r>
    </w:p>
    <w:p w14:paraId="3690094B" w14:textId="4EC1429C" w:rsidR="006C0046" w:rsidRDefault="00FA5457" w:rsidP="006C0046">
      <w:pPr>
        <w:rPr>
          <w:rFonts w:eastAsiaTheme="minorEastAsia"/>
        </w:rPr>
      </w:pPr>
      <w:r>
        <w:t xml:space="preserve">Dans le cadre d’un équilibre chimique, c’est-à-dire de </w:t>
      </w:r>
      <m:oMath>
        <m:r>
          <w:rPr>
            <w:rFonts w:ascii="Cambria Math" w:hAnsi="Cambria Math"/>
          </w:rPr>
          <m:t>A+B⇄C+D</m:t>
        </m:r>
      </m:oMath>
      <w:r w:rsidR="006C0046">
        <w:rPr>
          <w:rFonts w:eastAsiaTheme="minorEastAsia"/>
        </w:rPr>
        <w:t>.</w:t>
      </w:r>
    </w:p>
    <w:p w14:paraId="2F31E608" w14:textId="2A9F2660" w:rsidR="00733EE8" w:rsidRPr="006C0046" w:rsidRDefault="00733EE8" w:rsidP="006C0046">
      <w:pPr>
        <w:pStyle w:val="Titre1"/>
      </w:pPr>
      <w:r>
        <w:rPr>
          <w:rFonts w:eastAsiaTheme="minorEastAsia"/>
        </w:rPr>
        <w:t>Réaction chimique avec catalyseur enzymatique</w:t>
      </w:r>
    </w:p>
    <w:p w14:paraId="02FABDA3" w14:textId="10E5CBFD" w:rsidR="00733EE8" w:rsidRDefault="00733EE8" w:rsidP="00733EE8">
      <w:r>
        <w:t>L’enzyme forme un complexe avec le substrat avec des liaisons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 w:rsidR="00733EE8" w14:paraId="568F5296" w14:textId="77777777" w:rsidTr="004D3483">
        <w:tc>
          <w:tcPr>
            <w:tcW w:w="3667" w:type="dxa"/>
          </w:tcPr>
          <w:p w14:paraId="35F815AA" w14:textId="3F799980" w:rsidR="00733EE8" w:rsidRDefault="00733EE8" w:rsidP="00733EE8">
            <w:r>
              <w:t>Hydrogène</w:t>
            </w:r>
          </w:p>
        </w:tc>
        <w:tc>
          <w:tcPr>
            <w:tcW w:w="3668" w:type="dxa"/>
          </w:tcPr>
          <w:p w14:paraId="0963D92D" w14:textId="141B527F" w:rsidR="00733EE8" w:rsidRDefault="00733EE8" w:rsidP="00733EE8">
            <w:r>
              <w:t>Van der Val</w:t>
            </w:r>
          </w:p>
        </w:tc>
      </w:tr>
    </w:tbl>
    <w:p w14:paraId="35338A80" w14:textId="630014AD" w:rsidR="00631C1B" w:rsidRPr="006C0046" w:rsidRDefault="0009609C" w:rsidP="00631C1B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⇄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ES</m:t>
              </m:r>
            </m:e>
          </m:d>
          <m:r>
            <w:rPr>
              <w:rFonts w:ascii="Cambria Math" w:eastAsiaTheme="minorEastAsia" w:hAnsi="Cambria Math"/>
            </w:rPr>
            <m:t>→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d>
          <m:r>
            <w:rPr>
              <w:rFonts w:ascii="Cambria Math" w:eastAsiaTheme="minorEastAsia" w:hAnsi="Cambria Math"/>
            </w:rPr>
            <m:t>+[P]</m:t>
          </m:r>
        </m:oMath>
      </m:oMathPara>
    </w:p>
    <w:p w14:paraId="15260DE9" w14:textId="7DF12397" w:rsidR="006C0046" w:rsidRPr="006C0046" w:rsidRDefault="006C0046" w:rsidP="00631C1B">
      <w:r>
        <w:rPr>
          <w:rFonts w:eastAsiaTheme="minorEastAsia"/>
        </w:rPr>
        <w:t xml:space="preserve">Ainsi, la réaction a pour vitesse : </w:t>
      </w:r>
      <m:oMath>
        <m:r>
          <w:rPr>
            <w:rFonts w:ascii="Cambria Math" w:hAnsi="Cambria Math"/>
          </w:rPr>
          <m:t>v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[ES]</m:t>
        </m:r>
      </m:oMath>
    </w:p>
    <w:p w14:paraId="1614589B" w14:textId="716E4AF6" w:rsidR="000636BB" w:rsidRDefault="000636BB" w:rsidP="000636BB">
      <w:pPr>
        <w:rPr>
          <w:rFonts w:eastAsiaTheme="minorEastAsia"/>
        </w:rPr>
      </w:pPr>
      <w:r>
        <w:rPr>
          <w:rFonts w:eastAsiaTheme="minorEastAsia"/>
        </w:rPr>
        <w:t>Dans cette réaction enzymatique, lorsque le complexe enzyme-substrat se forme, il est soit immédiatement 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 w:rsidR="000636BB" w14:paraId="0D8D10CF" w14:textId="77777777" w:rsidTr="00BE0E6F">
        <w:tc>
          <w:tcPr>
            <w:tcW w:w="3667" w:type="dxa"/>
          </w:tcPr>
          <w:p w14:paraId="0B1D5435" w14:textId="69E75469" w:rsidR="000636BB" w:rsidRDefault="00BD0CD5" w:rsidP="000636B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Transformé en produit</w:t>
            </w:r>
          </w:p>
        </w:tc>
        <w:tc>
          <w:tcPr>
            <w:tcW w:w="3668" w:type="dxa"/>
          </w:tcPr>
          <w:p w14:paraId="7F341EC3" w14:textId="09271774" w:rsidR="000636BB" w:rsidRDefault="000636BB" w:rsidP="000636B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(</w:t>
            </w:r>
            <w:proofErr w:type="gramStart"/>
            <w:r>
              <w:rPr>
                <w:rFonts w:eastAsiaTheme="minorEastAsia"/>
              </w:rPr>
              <w:t>ou</w:t>
            </w:r>
            <w:proofErr w:type="gramEnd"/>
            <w:r>
              <w:rPr>
                <w:rFonts w:eastAsiaTheme="minorEastAsia"/>
              </w:rPr>
              <w:t>) Dissocié</w:t>
            </w:r>
          </w:p>
        </w:tc>
      </w:tr>
      <w:tr w:rsidR="00BD0CD5" w14:paraId="2F2A2D30" w14:textId="77777777" w:rsidTr="00BE0E6F">
        <w:trPr>
          <w:trHeight w:val="450"/>
        </w:trPr>
        <w:tc>
          <w:tcPr>
            <w:tcW w:w="3667" w:type="dxa"/>
          </w:tcPr>
          <w:p w14:paraId="2DFECF4B" w14:textId="7B8C7A2A" w:rsidR="00BD0CD5" w:rsidRPr="006C0046" w:rsidRDefault="0009609C" w:rsidP="000636BB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ES</m:t>
                    </m:r>
                  </m:e>
                </m:d>
              </m:oMath>
            </m:oMathPara>
          </w:p>
        </w:tc>
        <w:tc>
          <w:tcPr>
            <w:tcW w:w="3668" w:type="dxa"/>
          </w:tcPr>
          <w:p w14:paraId="23632FB6" w14:textId="71FA6999" w:rsidR="00BD0CD5" w:rsidRPr="006C0046" w:rsidRDefault="0009609C" w:rsidP="000636BB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-1</m:t>
                    </m:r>
                  </m:sub>
                </m:sSub>
                <m:r>
                  <w:rPr>
                    <w:rFonts w:ascii="Cambria Math" w:hAnsi="Cambria Math"/>
                  </w:rPr>
                  <m:t>[ES]</m:t>
                </m:r>
              </m:oMath>
            </m:oMathPara>
          </w:p>
        </w:tc>
      </w:tr>
    </w:tbl>
    <w:p w14:paraId="6F2B4C7E" w14:textId="4186F240" w:rsidR="000636BB" w:rsidRDefault="000636BB" w:rsidP="000636BB">
      <w:pPr>
        <w:rPr>
          <w:rFonts w:eastAsiaTheme="minorEastAsia"/>
        </w:rPr>
      </w:pPr>
      <w:r w:rsidRPr="00BD0CD5">
        <w:rPr>
          <w:rFonts w:eastAsiaTheme="minorEastAsia"/>
        </w:rPr>
        <w:t>D’</w:t>
      </w:r>
      <w:r w:rsidR="00BD0CD5" w:rsidRPr="00BD0CD5">
        <w:rPr>
          <w:rFonts w:eastAsiaTheme="minorEastAsia"/>
        </w:rPr>
        <w:t xml:space="preserve">où </w:t>
      </w:r>
      <w:r w:rsidR="00BD0CD5">
        <w:rPr>
          <w:rFonts w:eastAsiaTheme="minorEastAsia"/>
        </w:rPr>
        <w:t xml:space="preserve">la vitesse de formation du complexe ES est égale à 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E][S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-1</m:t>
            </m:r>
          </m:sub>
        </m:sSub>
        <m:r>
          <w:rPr>
            <w:rFonts w:ascii="Cambria Math" w:hAnsi="Cambria Math"/>
          </w:rPr>
          <m:t>[ES]+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ES</m:t>
            </m:r>
          </m:e>
        </m:d>
      </m:oMath>
    </w:p>
    <w:p w14:paraId="52003E84" w14:textId="2D5D6FBC" w:rsidR="00BD0CD5" w:rsidRPr="00BD0CD5" w:rsidRDefault="00BD0CD5" w:rsidP="004024C4">
      <w:pPr>
        <w:pStyle w:val="Titre2"/>
        <w:rPr>
          <w:rFonts w:eastAsiaTheme="minorEastAsia"/>
        </w:rPr>
      </w:pPr>
      <w:r>
        <w:rPr>
          <w:rFonts w:eastAsiaTheme="minorEastAsia"/>
        </w:rPr>
        <w:t xml:space="preserve">Constante </w:t>
      </w:r>
      <w:r w:rsidR="0021769A">
        <w:rPr>
          <w:rFonts w:eastAsiaTheme="minorEastAsia"/>
        </w:rPr>
        <w:t xml:space="preserve">et équation de </w:t>
      </w:r>
      <w:r w:rsidR="0021769A" w:rsidRPr="0021769A">
        <w:rPr>
          <w:rFonts w:eastAsiaTheme="minorEastAsia"/>
        </w:rPr>
        <w:t>Michaelis-Menten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3667"/>
        <w:gridCol w:w="3668"/>
      </w:tblGrid>
      <w:tr w:rsidR="00D05609" w14:paraId="19CF9FD8" w14:textId="77777777" w:rsidTr="00D056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14:paraId="5B846CB5" w14:textId="7946C147" w:rsidR="00D05609" w:rsidRDefault="0009609C" w:rsidP="00631C1B"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fPr>
                  <m:num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[S]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[ES]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-1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668" w:type="dxa"/>
          </w:tcPr>
          <w:p w14:paraId="024B3226" w14:textId="1847FFF7" w:rsidR="00D05609" w:rsidRPr="00D05609" w:rsidRDefault="0009609C" w:rsidP="00631C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 w:val="0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</m:sub>
              </m:sSub>
            </m:oMath>
            <w:r w:rsidR="00D05609">
              <w:rPr>
                <w:rFonts w:eastAsiaTheme="minorEastAsia"/>
                <w:b w:val="0"/>
              </w:rPr>
              <w:t xml:space="preserve"> </w:t>
            </w:r>
            <w:proofErr w:type="gramStart"/>
            <w:r w:rsidR="00D05609">
              <w:rPr>
                <w:rFonts w:eastAsiaTheme="minorEastAsia"/>
                <w:b w:val="0"/>
              </w:rPr>
              <w:t>constante</w:t>
            </w:r>
            <w:proofErr w:type="gramEnd"/>
            <w:r w:rsidR="00D05609">
              <w:rPr>
                <w:rFonts w:eastAsiaTheme="minorEastAsia"/>
                <w:b w:val="0"/>
              </w:rPr>
              <w:t xml:space="preserve"> d’état stationnaire en mol.L-</w:t>
            </w:r>
            <w:r w:rsidR="00D05609">
              <w:rPr>
                <w:rFonts w:eastAsiaTheme="minorEastAsia"/>
                <w:b w:val="0"/>
                <w:vertAlign w:val="superscript"/>
              </w:rPr>
              <w:t>1</w:t>
            </w:r>
          </w:p>
        </w:tc>
      </w:tr>
    </w:tbl>
    <w:p w14:paraId="60343DA3" w14:textId="241ACFDF" w:rsidR="00BD0CD5" w:rsidRDefault="00BD0CD5" w:rsidP="007C7E9B">
      <w:pPr>
        <w:spacing w:line="360" w:lineRule="auto"/>
      </w:pPr>
      <w:r>
        <w:t xml:space="preserve">Pour déterminer la vitesse, </w:t>
      </w:r>
      <w:r w:rsidR="006C0046">
        <w:t xml:space="preserve">car on est </w:t>
      </w:r>
      <w:r>
        <w:t>incapable de mesurer la concentration de [ES].</w:t>
      </w:r>
      <w:r w:rsidR="00825887">
        <w:t xml:space="preserve"> </w:t>
      </w:r>
      <w:r w:rsidR="006C0046">
        <w:t xml:space="preserve">L’astuce de Michaelis-Menten est </w:t>
      </w:r>
      <w:r w:rsidR="007C7E9B">
        <w:t xml:space="preserve">d’écrire </w:t>
      </w:r>
      <m:oMath>
        <m:r>
          <w:rPr>
            <w:rFonts w:ascii="Cambria Math" w:hAnsi="Cambria Math"/>
          </w:rPr>
          <m:t>v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[ES]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[E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]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[E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0]</m:t>
                </m:r>
              </m:sub>
            </m:sSub>
          </m:den>
        </m:f>
      </m:oMath>
      <w:r w:rsidR="007C7E9B">
        <w:rPr>
          <w:rFonts w:eastAsiaTheme="minorEastAsia"/>
        </w:rPr>
        <w:t xml:space="preserve"> et d’exprimer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[E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]</m:t>
        </m:r>
      </m:oMath>
      <w:r w:rsidR="007C7E9B" w:rsidRPr="007C7E9B">
        <w:rPr>
          <w:rFonts w:eastAsiaTheme="minorEastAsia"/>
        </w:rPr>
        <w:t xml:space="preserve"> en fonction de [</w:t>
      </w:r>
      <m:oMath>
        <m:r>
          <w:rPr>
            <w:rFonts w:ascii="Cambria Math" w:hAnsi="Cambria Math"/>
          </w:rPr>
          <m:t>ES]</m:t>
        </m:r>
      </m:oMath>
      <w:r w:rsidR="004D3483">
        <w:rPr>
          <w:rFonts w:eastAsiaTheme="minorEastAsia"/>
        </w:rPr>
        <w:t xml:space="preserve"> </w:t>
      </w:r>
      <w:r w:rsidR="007210B2">
        <w:rPr>
          <w:rFonts w:eastAsiaTheme="minorEastAsia"/>
          <w:bCs/>
        </w:rPr>
        <w:t xml:space="preserve">: 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3667"/>
        <w:gridCol w:w="3668"/>
      </w:tblGrid>
      <w:tr w:rsidR="00825887" w14:paraId="5149362D" w14:textId="77777777" w:rsidTr="008258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14:paraId="2624921B" w14:textId="40EC0FCB" w:rsidR="00825887" w:rsidRDefault="0009609C" w:rsidP="00631C1B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[E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]=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+[ES]</m:t>
                </m:r>
              </m:oMath>
            </m:oMathPara>
          </w:p>
        </w:tc>
        <w:tc>
          <w:tcPr>
            <w:tcW w:w="3668" w:type="dxa"/>
          </w:tcPr>
          <w:p w14:paraId="6405E5AE" w14:textId="13709933" w:rsidR="00825887" w:rsidRDefault="00825887" w:rsidP="00631C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[E]=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[ES]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[S]</m:t>
                    </m:r>
                  </m:den>
                </m:f>
              </m:oMath>
            </m:oMathPara>
          </w:p>
        </w:tc>
      </w:tr>
    </w:tbl>
    <w:p w14:paraId="283440D0" w14:textId="66C57119" w:rsidR="00BD0CD5" w:rsidRDefault="007D2831" w:rsidP="00631C1B">
      <w:r>
        <w:t>On obtient alors pour l</w:t>
      </w:r>
      <w:r w:rsidR="00825887">
        <w:t>a vitesse (é</w:t>
      </w:r>
      <w:r w:rsidR="00BD0CD5">
        <w:t>quation de</w:t>
      </w:r>
      <w:r w:rsidR="00825887">
        <w:t>)</w:t>
      </w:r>
      <w:r w:rsidR="00BD0CD5">
        <w:t> :</w:t>
      </w:r>
    </w:p>
    <w:p w14:paraId="1B6E6242" w14:textId="1518AE42" w:rsidR="00BD0CD5" w:rsidRPr="007210B2" w:rsidRDefault="00BD0CD5" w:rsidP="00631C1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</m:t>
          </m:r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[S]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+[S]</m:t>
              </m:r>
            </m:den>
          </m:f>
        </m:oMath>
      </m:oMathPara>
    </w:p>
    <w:p w14:paraId="6EE1D744" w14:textId="5F9900A4" w:rsidR="007210B2" w:rsidRDefault="006C0046" w:rsidP="00631C1B">
      <w:pPr>
        <w:rPr>
          <w:rFonts w:eastAsiaTheme="minorEastAsia"/>
        </w:rPr>
      </w:pPr>
      <w:r>
        <w:rPr>
          <w:rFonts w:eastAsiaTheme="minorEastAsia"/>
        </w:rPr>
        <w:t>On peut d</w:t>
      </w:r>
      <w:r w:rsidR="007210B2">
        <w:rPr>
          <w:rFonts w:eastAsiaTheme="minorEastAsia"/>
        </w:rPr>
        <w:t>édu</w:t>
      </w:r>
      <w:r>
        <w:rPr>
          <w:rFonts w:eastAsiaTheme="minorEastAsia"/>
        </w:rPr>
        <w:t>ire</w:t>
      </w:r>
      <w:r w:rsidR="007210B2">
        <w:rPr>
          <w:rFonts w:eastAsiaTheme="minorEastAsia"/>
        </w:rPr>
        <w:t xml:space="preserve"> </w:t>
      </w:r>
      <w:r w:rsidR="004D3483">
        <w:rPr>
          <w:rFonts w:eastAsiaTheme="minorEastAsia"/>
        </w:rPr>
        <w:t>de</w:t>
      </w:r>
      <w:r w:rsidR="007210B2">
        <w:rPr>
          <w:rFonts w:eastAsiaTheme="minorEastAsia"/>
        </w:rPr>
        <w:t xml:space="preserve"> l’équation :</w:t>
      </w:r>
    </w:p>
    <w:tbl>
      <w:tblPr>
        <w:tblStyle w:val="Grilledetableauclaire"/>
        <w:tblW w:w="0" w:type="auto"/>
        <w:tblLook w:val="0420" w:firstRow="1" w:lastRow="0" w:firstColumn="0" w:lastColumn="0" w:noHBand="0" w:noVBand="1"/>
      </w:tblPr>
      <w:tblGrid>
        <w:gridCol w:w="1805"/>
        <w:gridCol w:w="2301"/>
        <w:gridCol w:w="3229"/>
      </w:tblGrid>
      <w:tr w:rsidR="007210B2" w14:paraId="23A1552C" w14:textId="77777777" w:rsidTr="004D34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05" w:type="dxa"/>
          </w:tcPr>
          <w:p w14:paraId="1992A927" w14:textId="506EBB72" w:rsidR="007210B2" w:rsidRDefault="004D3483" w:rsidP="00631C1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Information</w:t>
            </w:r>
          </w:p>
        </w:tc>
        <w:tc>
          <w:tcPr>
            <w:tcW w:w="2301" w:type="dxa"/>
          </w:tcPr>
          <w:p w14:paraId="2A7006C0" w14:textId="21EA67E2" w:rsidR="007210B2" w:rsidRDefault="004D3483" w:rsidP="00631C1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Idée</w:t>
            </w:r>
          </w:p>
        </w:tc>
        <w:tc>
          <w:tcPr>
            <w:tcW w:w="3229" w:type="dxa"/>
          </w:tcPr>
          <w:p w14:paraId="26BFB577" w14:textId="71820BEE" w:rsidR="007210B2" w:rsidRDefault="006C0046" w:rsidP="00631C1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Mesure</w:t>
            </w:r>
          </w:p>
        </w:tc>
      </w:tr>
      <w:tr w:rsidR="007210B2" w14:paraId="1AEFC5AB" w14:textId="77777777" w:rsidTr="004D3483">
        <w:tc>
          <w:tcPr>
            <w:tcW w:w="1805" w:type="dxa"/>
          </w:tcPr>
          <w:p w14:paraId="7F4D42A3" w14:textId="223E4EB2" w:rsidR="007210B2" w:rsidRDefault="00CF3D83" w:rsidP="00631C1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Vitesse max</w:t>
            </w:r>
          </w:p>
        </w:tc>
        <w:tc>
          <w:tcPr>
            <w:tcW w:w="2301" w:type="dxa"/>
          </w:tcPr>
          <w:p w14:paraId="52025642" w14:textId="24BBC5CB" w:rsidR="007210B2" w:rsidRDefault="00CF3D83" w:rsidP="00631C1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Quantité de substrat qui tend vers l’infini</w:t>
            </w:r>
          </w:p>
        </w:tc>
        <w:tc>
          <w:tcPr>
            <w:tcW w:w="3229" w:type="dxa"/>
          </w:tcPr>
          <w:p w14:paraId="075AE03C" w14:textId="61913D3D" w:rsidR="00CF3D83" w:rsidRPr="00CF3D83" w:rsidRDefault="00CF3D83" w:rsidP="00631C1B">
            <w:pPr>
              <w:rPr>
                <w:rFonts w:eastAsiaTheme="minorEastAsia"/>
              </w:rPr>
            </w:pPr>
            <w:r w:rsidRPr="00CF3D83">
              <w:rPr>
                <w:rFonts w:eastAsiaTheme="minorEastAsia"/>
              </w:rPr>
              <w:t>On a alors</w:t>
            </w:r>
            <w:r>
              <w:rPr>
                <w:rFonts w:eastAsiaTheme="minor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≪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oMath>
            <w:r>
              <w:rPr>
                <w:rFonts w:eastAsiaTheme="minorEastAsia"/>
              </w:rPr>
              <w:t xml:space="preserve"> d’où</w:t>
            </w:r>
          </w:p>
          <w:p w14:paraId="0432FD7E" w14:textId="77777777" w:rsidR="007210B2" w:rsidRPr="00FD526F" w:rsidRDefault="0009609C" w:rsidP="00631C1B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max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→+∞</m:t>
                        </m:r>
                      </m:lim>
                    </m:limLow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</m:func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[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]</m:t>
                </m:r>
              </m:oMath>
            </m:oMathPara>
          </w:p>
          <w:p w14:paraId="3EB4034F" w14:textId="4DF82392" w:rsidR="00FD526F" w:rsidRDefault="00FD526F" w:rsidP="00631C1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On a alors 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cat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b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max</m:t>
                      </m:r>
                    </m:sub>
                  </m:sSub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[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]</m:t>
                  </m:r>
                </m:den>
              </m:f>
            </m:oMath>
          </w:p>
        </w:tc>
      </w:tr>
      <w:tr w:rsidR="007210B2" w14:paraId="17E9B424" w14:textId="77777777" w:rsidTr="004D3483">
        <w:tc>
          <w:tcPr>
            <w:tcW w:w="1805" w:type="dxa"/>
          </w:tcPr>
          <w:p w14:paraId="7B7EEE09" w14:textId="23813744" w:rsidR="007210B2" w:rsidRDefault="00CF3D83" w:rsidP="00631C1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Efficacité de l’enzyme</w:t>
            </w:r>
          </w:p>
        </w:tc>
        <w:tc>
          <w:tcPr>
            <w:tcW w:w="2301" w:type="dxa"/>
          </w:tcPr>
          <w:p w14:paraId="4F7EC2F5" w14:textId="387F0CB6" w:rsidR="007210B2" w:rsidRDefault="00CF3D83" w:rsidP="00631C1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Plus la vitesse est grande</w:t>
            </w:r>
          </w:p>
        </w:tc>
        <w:tc>
          <w:tcPr>
            <w:tcW w:w="3229" w:type="dxa"/>
          </w:tcPr>
          <w:p w14:paraId="4D0A1C3A" w14:textId="47728238" w:rsidR="007210B2" w:rsidRDefault="00FD526F" w:rsidP="00631C1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Plus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  <w:r w:rsidR="00CF3D83">
              <w:rPr>
                <w:rFonts w:eastAsiaTheme="minorEastAsia"/>
              </w:rPr>
              <w:t xml:space="preserve"> est grand</w:t>
            </w:r>
          </w:p>
        </w:tc>
      </w:tr>
      <w:tr w:rsidR="007210B2" w14:paraId="631B4144" w14:textId="77777777" w:rsidTr="004D3483">
        <w:tc>
          <w:tcPr>
            <w:tcW w:w="1805" w:type="dxa"/>
          </w:tcPr>
          <w:p w14:paraId="7BB07F19" w14:textId="71DD5801" w:rsidR="007210B2" w:rsidRDefault="00CF3D83" w:rsidP="00631C1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Reconnaissance</w:t>
            </w:r>
          </w:p>
        </w:tc>
        <w:tc>
          <w:tcPr>
            <w:tcW w:w="2301" w:type="dxa"/>
          </w:tcPr>
          <w:p w14:paraId="3D08E0DC" w14:textId="5B773256" w:rsidR="007210B2" w:rsidRDefault="00CF3D83" w:rsidP="00631C1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Correspond à la proportion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</m:d>
                </m:num>
                <m:den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ES</m:t>
                      </m:r>
                    </m:e>
                  </m:d>
                </m:den>
              </m:f>
            </m:oMath>
          </w:p>
        </w:tc>
        <w:tc>
          <w:tcPr>
            <w:tcW w:w="3229" w:type="dxa"/>
          </w:tcPr>
          <w:p w14:paraId="7B6F6EBB" w14:textId="00D6A965" w:rsidR="007210B2" w:rsidRDefault="004D3483" w:rsidP="00631C1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Plus</w:t>
            </w:r>
            <w:r w:rsidR="00CF3D83">
              <w:rPr>
                <w:rFonts w:eastAsiaTheme="minorEastAsia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[E]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[ES]</m:t>
                  </m:r>
                </m:den>
              </m:f>
            </m:oMath>
            <w:r w:rsidR="006C0046">
              <w:rPr>
                <w:rFonts w:eastAsiaTheme="minorEastAsia"/>
              </w:rPr>
              <w:t xml:space="preserve"> est petit, d’où</w:t>
            </w:r>
          </w:p>
          <w:p w14:paraId="18A73EA7" w14:textId="53AAAD08" w:rsidR="006C0046" w:rsidRDefault="0009609C" w:rsidP="00631C1B">
            <w:pPr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[E]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[ES]</m:t>
                  </m:r>
                </m:den>
              </m:f>
              <m:r>
                <w:rPr>
                  <w:rFonts w:ascii="Cambria Math" w:eastAsiaTheme="minorEastAsia" w:hAnsi="Cambria Math"/>
                </w:rPr>
                <m:t>[S</m:t>
              </m:r>
            </m:oMath>
            <w:r w:rsidR="006C0046">
              <w:rPr>
                <w:rFonts w:eastAsiaTheme="minorEastAsia"/>
              </w:rPr>
              <w:t>] petit.</w:t>
            </w:r>
          </w:p>
        </w:tc>
      </w:tr>
    </w:tbl>
    <w:p w14:paraId="4FDB0B33" w14:textId="0EFA6B60" w:rsidR="001D6E3D" w:rsidRDefault="00CF3D83" w:rsidP="00631C1B">
      <w:pPr>
        <w:rPr>
          <w:rFonts w:eastAsiaTheme="minorEastAsia"/>
        </w:rPr>
      </w:pPr>
      <w:r w:rsidRPr="00CF3D83">
        <w:rPr>
          <w:rFonts w:eastAsiaTheme="minorEastAsia"/>
          <w:u w:val="single"/>
        </w:rPr>
        <w:t>NB :</w:t>
      </w:r>
      <w:r>
        <w:rPr>
          <w:rFonts w:eastAsiaTheme="minorEastAsia"/>
        </w:rPr>
        <w:t xml:space="preserve"> Pour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  <m:r>
              <w:rPr>
                <w:rFonts w:ascii="Cambria Math" w:hAnsi="Cambria Math"/>
              </w:rPr>
              <m:t>=K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eastAsiaTheme="minorEastAsia"/>
        </w:rPr>
        <w:t>, o</w:t>
      </w:r>
      <w:r w:rsidR="001D6E3D">
        <w:rPr>
          <w:rFonts w:eastAsiaTheme="minorEastAsia"/>
        </w:rPr>
        <w:t xml:space="preserve">n a également </w:t>
      </w:r>
      <m:oMath>
        <m:r>
          <w:rPr>
            <w:rFonts w:ascii="Cambria Math" w:hAnsi="Cambria Math"/>
          </w:rPr>
          <m:t>v=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>
        <w:rPr>
          <w:rFonts w:eastAsiaTheme="minorEastAsia"/>
        </w:rPr>
        <w:t>.</w:t>
      </w:r>
    </w:p>
    <w:p w14:paraId="37F5EADD" w14:textId="285BAF51" w:rsidR="00FD526F" w:rsidRDefault="00FD526F" w:rsidP="00631C1B">
      <w:pPr>
        <w:rPr>
          <w:rFonts w:eastAsiaTheme="minorEastAsia"/>
        </w:rPr>
      </w:pPr>
      <w:r w:rsidRPr="004D3483">
        <w:rPr>
          <w:rFonts w:eastAsiaTheme="minorEastAsia"/>
          <w:u w:val="single"/>
        </w:rPr>
        <w:t>NB :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</w:rPr>
        <w:t xml:space="preserve">correspond </w:t>
      </w:r>
      <w:r w:rsidR="005F72DB">
        <w:rPr>
          <w:rFonts w:eastAsiaTheme="minorEastAsia"/>
        </w:rPr>
        <w:t>à l’équilibre</w:t>
      </w:r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au coefficient de vitesse.</w:t>
      </w:r>
    </w:p>
    <w:p w14:paraId="31D0BA36" w14:textId="71A97BE1" w:rsidR="00A5435F" w:rsidRDefault="00A5435F" w:rsidP="00A5435F">
      <w:r>
        <w:rPr>
          <w:rFonts w:eastAsiaTheme="minorEastAsia"/>
        </w:rPr>
        <w:t>Rappel : l’absorbance est reliée à la concentration par la formule suivante :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m:rPr>
              <m:sty m:val="b"/>
            </m:rP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b"/>
            </m:rPr>
            <w:rPr>
              <w:rFonts w:ascii="Cambria Math" w:hAnsi="Cambria Math"/>
            </w:rPr>
            <m:t>ε</m:t>
          </m:r>
          <m:r>
            <m:rPr>
              <m:sty m:val="p"/>
            </m:rPr>
            <w:rPr>
              <w:rFonts w:ascii="Cambria Math" w:hAnsi="Cambria Math"/>
            </w:rPr>
            <m:t>.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C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.</m:t>
          </m:r>
          <m:r>
            <m:rPr>
              <m:sty m:val="b"/>
            </m:rPr>
            <w:rPr>
              <w:rFonts w:ascii="Cambria Math" w:hAnsi="Cambria Math"/>
            </w:rPr>
            <m:t>l</m:t>
          </m:r>
        </m:oMath>
      </m:oMathPara>
    </w:p>
    <w:p w14:paraId="48CAEA2F" w14:textId="0B7EFDB9" w:rsidR="008E439B" w:rsidRDefault="008E439B" w:rsidP="008E439B">
      <w:pPr>
        <w:pStyle w:val="Titre2"/>
        <w:rPr>
          <w:rFonts w:eastAsiaTheme="minorEastAsia"/>
        </w:rPr>
      </w:pPr>
      <w:r>
        <w:rPr>
          <w:rFonts w:eastAsiaTheme="minorEastAsia"/>
        </w:rPr>
        <w:t>Linéarisation</w:t>
      </w:r>
    </w:p>
    <w:p w14:paraId="08457181" w14:textId="77777777" w:rsidR="00CF3D83" w:rsidRDefault="00CF3D83" w:rsidP="00CF3D83">
      <w:pPr>
        <w:rPr>
          <w:rFonts w:eastAsiaTheme="minorEastAsia"/>
        </w:rPr>
      </w:pPr>
      <w:r>
        <w:rPr>
          <w:rFonts w:eastAsiaTheme="minorEastAsia"/>
        </w:rPr>
        <w:t xml:space="preserve">La vitesse peut être facilement linéarisée en posant 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v</m:t>
            </m:r>
          </m:den>
        </m:f>
      </m:oMath>
    </w:p>
    <w:p w14:paraId="6AB6B69D" w14:textId="3B2325E1" w:rsidR="00002291" w:rsidRDefault="008E439B" w:rsidP="008E439B">
      <w:r>
        <w:t>Pour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3667"/>
        <w:gridCol w:w="3668"/>
      </w:tblGrid>
      <w:tr w:rsidR="00F96E83" w14:paraId="7697234D" w14:textId="77777777" w:rsidTr="00EE2B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14:paraId="0F6EF488" w14:textId="5283B2C0" w:rsidR="00F96E83" w:rsidRDefault="0009609C" w:rsidP="008E439B"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=0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→v=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max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668" w:type="dxa"/>
          </w:tcPr>
          <w:p w14:paraId="2EA7CE03" w14:textId="66D6CE24" w:rsidR="00F96E83" w:rsidRDefault="0009609C" w:rsidP="008E43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=0→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[S]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</m:den>
                </m:f>
              </m:oMath>
            </m:oMathPara>
          </w:p>
        </w:tc>
      </w:tr>
    </w:tbl>
    <w:p w14:paraId="4EC7836B" w14:textId="77777777" w:rsidR="00123FEB" w:rsidRDefault="00123FEB" w:rsidP="00123FEB">
      <w:pPr>
        <w:pStyle w:val="Sansinterligne"/>
      </w:pP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7335"/>
      </w:tblGrid>
      <w:tr w:rsidR="00123FEB" w14:paraId="12ED0B0C" w14:textId="77777777" w:rsidTr="002225AE">
        <w:trPr>
          <w:trHeight w:val="1442"/>
        </w:trPr>
        <w:tc>
          <w:tcPr>
            <w:tcW w:w="7335" w:type="dxa"/>
          </w:tcPr>
          <w:p w14:paraId="5389ECC1" w14:textId="77777777" w:rsidR="00123FEB" w:rsidRDefault="00123FEB" w:rsidP="00123FEB">
            <w:r>
              <w:t>Point méthode :</w:t>
            </w:r>
          </w:p>
          <w:p w14:paraId="2EA28F78" w14:textId="12A5EFCA" w:rsidR="00123FEB" w:rsidRDefault="00123FEB" w:rsidP="00123FEB">
            <w:pPr>
              <w:pStyle w:val="Paragraphedeliste"/>
              <w:numPr>
                <w:ilvl w:val="0"/>
                <w:numId w:val="29"/>
              </w:numPr>
            </w:pPr>
            <w:r>
              <w:t xml:space="preserve">Pour savoir si la réaction enzymatique de type </w:t>
            </w:r>
            <w:proofErr w:type="spellStart"/>
            <w:r>
              <w:t>Michaelis-Mentens</w:t>
            </w:r>
            <w:proofErr w:type="spellEnd"/>
            <w:r>
              <w:t xml:space="preserve">, on vérifie que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</m:d>
                    </m:den>
                  </m:f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[P]</m:t>
                  </m:r>
                </m:den>
              </m:f>
            </m:oMath>
            <w:r>
              <w:rPr>
                <w:rFonts w:eastAsiaTheme="minorEastAsia"/>
              </w:rPr>
              <w:t xml:space="preserve"> est une </w:t>
            </w:r>
            <w:r>
              <w:t>droite.</w:t>
            </w:r>
          </w:p>
          <w:p w14:paraId="31B8A05E" w14:textId="0E256B87" w:rsidR="00123FEB" w:rsidRDefault="00123FEB" w:rsidP="00123FEB">
            <w:pPr>
              <w:pStyle w:val="Paragraphedeliste"/>
              <w:numPr>
                <w:ilvl w:val="0"/>
                <w:numId w:val="29"/>
              </w:numPr>
            </w:pPr>
            <w:r>
              <w:t xml:space="preserve">On détermine les constantes </w:t>
            </w:r>
            <w:proofErr w:type="spellStart"/>
            <w:r>
              <w:t>v</w:t>
            </w:r>
            <w:r w:rsidRPr="00123FEB">
              <w:rPr>
                <w:vertAlign w:val="subscript"/>
              </w:rPr>
              <w:t>max</w:t>
            </w:r>
            <w:proofErr w:type="spellEnd"/>
            <w:r>
              <w:t xml:space="preserve"> et K</w:t>
            </w:r>
            <w:r w:rsidRPr="00123FEB">
              <w:rPr>
                <w:vertAlign w:val="subscript"/>
              </w:rPr>
              <w:t>m</w:t>
            </w:r>
            <w:r>
              <w:rPr>
                <w:vertAlign w:val="subscript"/>
              </w:rPr>
              <w:t xml:space="preserve"> </w:t>
            </w:r>
            <w:r>
              <w:t>d’après le graphique.</w:t>
            </w:r>
          </w:p>
        </w:tc>
      </w:tr>
    </w:tbl>
    <w:p w14:paraId="1D30A695" w14:textId="57096E9F" w:rsidR="00FA5457" w:rsidRDefault="00D05609" w:rsidP="00D05609">
      <w:pPr>
        <w:pStyle w:val="Titre1"/>
      </w:pPr>
      <w:r>
        <w:t>Les inhibiteurs de l’activité enzymatique</w:t>
      </w:r>
    </w:p>
    <w:p w14:paraId="011B8321" w14:textId="1311B0FE" w:rsidR="00E3228C" w:rsidRDefault="00E3228C" w:rsidP="00E3228C">
      <w:r>
        <w:t>Il existe deux grands types d’inhibition :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2017"/>
        <w:gridCol w:w="2373"/>
        <w:gridCol w:w="2945"/>
      </w:tblGrid>
      <w:tr w:rsidR="001D6E3D" w14:paraId="69D2B0A4" w14:textId="77777777" w:rsidTr="007210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</w:tcPr>
          <w:p w14:paraId="44A21A52" w14:textId="77777777" w:rsidR="001D6E3D" w:rsidRDefault="001D6E3D" w:rsidP="00E3228C"/>
        </w:tc>
        <w:tc>
          <w:tcPr>
            <w:tcW w:w="2373" w:type="dxa"/>
          </w:tcPr>
          <w:p w14:paraId="5A9B3CE1" w14:textId="1282F29D" w:rsidR="001D6E3D" w:rsidRDefault="001D6E3D" w:rsidP="00E322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Compétitive</w:t>
            </w:r>
          </w:p>
        </w:tc>
        <w:tc>
          <w:tcPr>
            <w:tcW w:w="2945" w:type="dxa"/>
          </w:tcPr>
          <w:p w14:paraId="107B6B5E" w14:textId="6B07BB2E" w:rsidR="001D6E3D" w:rsidRDefault="001D6E3D" w:rsidP="00E322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Non compétitive</w:t>
            </w:r>
          </w:p>
        </w:tc>
      </w:tr>
      <w:tr w:rsidR="001D6E3D" w14:paraId="170F50FA" w14:textId="77777777" w:rsidTr="007210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</w:tcPr>
          <w:p w14:paraId="256CAD9A" w14:textId="7C052FFA" w:rsidR="001D6E3D" w:rsidRDefault="008E439B" w:rsidP="00E3228C">
            <w:r>
              <w:t>Site bloqu</w:t>
            </w:r>
            <w:r w:rsidR="007C7E9B">
              <w:t>é</w:t>
            </w:r>
            <w:r>
              <w:t xml:space="preserve"> par l’inhibiteur</w:t>
            </w:r>
          </w:p>
        </w:tc>
        <w:tc>
          <w:tcPr>
            <w:tcW w:w="2373" w:type="dxa"/>
          </w:tcPr>
          <w:p w14:paraId="06506A26" w14:textId="35C18CAC" w:rsidR="001D6E3D" w:rsidRDefault="008E439B" w:rsidP="00E322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  <w:r w:rsidR="001D6E3D">
              <w:t>econnaissance</w:t>
            </w:r>
          </w:p>
        </w:tc>
        <w:tc>
          <w:tcPr>
            <w:tcW w:w="2945" w:type="dxa"/>
          </w:tcPr>
          <w:p w14:paraId="5604F3F1" w14:textId="178D498B" w:rsidR="001D6E3D" w:rsidRDefault="008E439B" w:rsidP="00E322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="001D6E3D">
              <w:t>atalyse</w:t>
            </w:r>
          </w:p>
        </w:tc>
      </w:tr>
      <w:tr w:rsidR="006C0046" w14:paraId="45E8550B" w14:textId="77777777" w:rsidTr="007210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</w:tcPr>
          <w:p w14:paraId="66A50DEF" w14:textId="15F4B770" w:rsidR="006C0046" w:rsidRDefault="006C0046" w:rsidP="00E3228C">
            <w:r>
              <w:t>Modifie</w:t>
            </w:r>
          </w:p>
        </w:tc>
        <w:tc>
          <w:tcPr>
            <w:tcW w:w="2373" w:type="dxa"/>
          </w:tcPr>
          <w:p w14:paraId="65148A40" w14:textId="03383D8E" w:rsidR="006C0046" w:rsidRDefault="006C0046" w:rsidP="00E322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Calibri" w:cs="Times New Roman"/>
              </w:rPr>
              <w:t>Équilibre entre enzyme et substrat</w:t>
            </w:r>
          </w:p>
        </w:tc>
        <w:tc>
          <w:tcPr>
            <w:tcW w:w="2945" w:type="dxa"/>
          </w:tcPr>
          <w:p w14:paraId="60089FD3" w14:textId="35082ACB" w:rsidR="006C0046" w:rsidRDefault="006C0046" w:rsidP="00E322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Efficacité de l’enzyme</w:t>
            </w:r>
          </w:p>
        </w:tc>
      </w:tr>
      <w:tr w:rsidR="001D6E3D" w14:paraId="7547C2B8" w14:textId="77777777" w:rsidTr="007210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</w:tcPr>
          <w:p w14:paraId="79D26876" w14:textId="2FBC5664" w:rsidR="001D6E3D" w:rsidRPr="00000C87" w:rsidRDefault="001D6E3D" w:rsidP="00E3228C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Affinité enzyme-inhibiteur</w:t>
            </w:r>
          </w:p>
        </w:tc>
        <w:tc>
          <w:tcPr>
            <w:tcW w:w="2373" w:type="dxa"/>
          </w:tcPr>
          <w:p w14:paraId="79DB9A12" w14:textId="5A3D600A" w:rsidR="001D6E3D" w:rsidRDefault="0009609C" w:rsidP="00E322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[E][I]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[EI]</m:t>
                    </m:r>
                  </m:den>
                </m:f>
              </m:oMath>
            </m:oMathPara>
          </w:p>
        </w:tc>
        <w:tc>
          <w:tcPr>
            <w:tcW w:w="2945" w:type="dxa"/>
          </w:tcPr>
          <w:p w14:paraId="78B28FE8" w14:textId="784FE3FD" w:rsidR="001D6E3D" w:rsidRDefault="0009609C" w:rsidP="00E322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[E][I]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[EI]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[ES][I]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[ESI]</m:t>
                    </m:r>
                  </m:den>
                </m:f>
              </m:oMath>
            </m:oMathPara>
          </w:p>
        </w:tc>
      </w:tr>
      <w:tr w:rsidR="001D6E3D" w14:paraId="6C3DAD63" w14:textId="77777777" w:rsidTr="007210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</w:tcPr>
          <w:p w14:paraId="165BF42F" w14:textId="7DB66973" w:rsidR="001D6E3D" w:rsidRPr="007210B2" w:rsidRDefault="0009609C" w:rsidP="00E3228C"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</m:oMath>
            </m:oMathPara>
          </w:p>
        </w:tc>
        <w:tc>
          <w:tcPr>
            <w:tcW w:w="2373" w:type="dxa"/>
          </w:tcPr>
          <w:p w14:paraId="52460B46" w14:textId="0B1EC727" w:rsidR="001D6E3D" w:rsidRDefault="0009609C" w:rsidP="00E322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EI</m:t>
                    </m:r>
                  </m:e>
                </m:d>
                <m:r>
                  <w:rPr>
                    <w:rFonts w:ascii="Cambria Math" w:hAnsi="Cambria Math"/>
                  </w:rPr>
                  <m:t>+[ES]</m:t>
                </m:r>
              </m:oMath>
            </m:oMathPara>
          </w:p>
        </w:tc>
        <w:tc>
          <w:tcPr>
            <w:tcW w:w="2945" w:type="dxa"/>
          </w:tcPr>
          <w:p w14:paraId="642B4D34" w14:textId="6C7FB9F6" w:rsidR="001D6E3D" w:rsidRDefault="0009609C" w:rsidP="00E322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EI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EIS</m:t>
                    </m:r>
                  </m:e>
                </m:d>
                <m:r>
                  <w:rPr>
                    <w:rFonts w:ascii="Cambria Math" w:hAnsi="Cambria Math"/>
                  </w:rPr>
                  <m:t>+[ES]</m:t>
                </m:r>
              </m:oMath>
            </m:oMathPara>
          </w:p>
        </w:tc>
      </w:tr>
      <w:tr w:rsidR="00F96E83" w14:paraId="570B7BAC" w14:textId="77777777" w:rsidTr="007210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</w:tcPr>
          <w:p w14:paraId="07CBD7EF" w14:textId="2854E595" w:rsidR="00F96E83" w:rsidRDefault="00F96E83" w:rsidP="00E3228C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Rmq</w:t>
            </w:r>
          </w:p>
        </w:tc>
        <w:tc>
          <w:tcPr>
            <w:tcW w:w="2373" w:type="dxa"/>
          </w:tcPr>
          <w:p w14:paraId="32279AF5" w14:textId="4359E0FE" w:rsidR="00F96E83" w:rsidRDefault="0009609C" w:rsidP="00E322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oMath>
            <w:r w:rsidR="00F96E83">
              <w:rPr>
                <w:rFonts w:eastAsia="Calibri" w:cs="Times New Roman"/>
              </w:rPr>
              <w:t xml:space="preserve"> </w:t>
            </w:r>
            <w:proofErr w:type="gramStart"/>
            <w:r w:rsidR="00F96E83">
              <w:rPr>
                <w:rFonts w:eastAsia="Calibri" w:cs="Times New Roman"/>
              </w:rPr>
              <w:t>ne</w:t>
            </w:r>
            <w:proofErr w:type="gramEnd"/>
            <w:r w:rsidR="00F96E83">
              <w:rPr>
                <w:rFonts w:eastAsia="Calibri" w:cs="Times New Roman"/>
              </w:rPr>
              <w:t xml:space="preserve"> change pas</w:t>
            </w:r>
          </w:p>
        </w:tc>
        <w:tc>
          <w:tcPr>
            <w:tcW w:w="2945" w:type="dxa"/>
          </w:tcPr>
          <w:p w14:paraId="34706625" w14:textId="169A799F" w:rsidR="00F96E83" w:rsidRDefault="0009609C" w:rsidP="00E322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oMath>
            <w:r w:rsidR="00F96E83">
              <w:rPr>
                <w:rFonts w:eastAsia="Calibri" w:cs="Times New Roman"/>
              </w:rPr>
              <w:t xml:space="preserve"> </w:t>
            </w:r>
            <w:proofErr w:type="gramStart"/>
            <w:r w:rsidR="00F96E83">
              <w:rPr>
                <w:rFonts w:eastAsia="Calibri" w:cs="Times New Roman"/>
              </w:rPr>
              <w:t>ne</w:t>
            </w:r>
            <w:proofErr w:type="gramEnd"/>
            <w:r w:rsidR="00F96E83">
              <w:rPr>
                <w:rFonts w:eastAsia="Calibri" w:cs="Times New Roman"/>
              </w:rPr>
              <w:t xml:space="preserve"> change pas</w:t>
            </w:r>
          </w:p>
        </w:tc>
      </w:tr>
    </w:tbl>
    <w:p w14:paraId="3912D963" w14:textId="3522D8BA" w:rsidR="007210B2" w:rsidRDefault="00E3228C" w:rsidP="00E3228C">
      <w:r w:rsidRPr="007C7E9B">
        <w:rPr>
          <w:u w:val="single"/>
        </w:rPr>
        <w:t>NB :</w:t>
      </w:r>
      <w:r>
        <w:t xml:space="preserve"> Il existe d’autre</w:t>
      </w:r>
      <w:r w:rsidR="001D6E3D">
        <w:t>s</w:t>
      </w:r>
      <w:r>
        <w:t xml:space="preserve"> inhibiteur</w:t>
      </w:r>
      <w:r w:rsidR="001D6E3D">
        <w:t>s</w:t>
      </w:r>
      <w:r>
        <w:t xml:space="preserve"> hybride</w:t>
      </w:r>
      <w:r w:rsidR="001D6E3D">
        <w:t>s</w:t>
      </w:r>
      <w:r>
        <w:t>.</w:t>
      </w:r>
    </w:p>
    <w:p w14:paraId="6A62E30A" w14:textId="5785CD37" w:rsidR="007C7E9B" w:rsidRDefault="00E3228C" w:rsidP="007C7E9B">
      <w:pPr>
        <w:pStyle w:val="Titre2"/>
      </w:pPr>
      <w:r>
        <w:t>Inhibiteur compétitif</w:t>
      </w:r>
    </w:p>
    <w:p w14:paraId="431EA414" w14:textId="0A6071B9" w:rsidR="00FA1731" w:rsidRPr="00FA1731" w:rsidRDefault="00FA1731" w:rsidP="00FA1731">
      <w:r>
        <w:t>L’inhibiteur compétitif diminue l’affinité avec l’enzyme.</w:t>
      </w:r>
    </w:p>
    <w:p w14:paraId="6F19D617" w14:textId="0F33DEE1" w:rsidR="007C7E9B" w:rsidRPr="007C7E9B" w:rsidRDefault="0009609C" w:rsidP="007C7E9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max</m:t>
                  </m:r>
                </m:sub>
              </m:sSub>
              <m:r>
                <w:rPr>
                  <w:rFonts w:ascii="Cambria Math" w:eastAsiaTheme="minorEastAsia" w:hAnsi="Cambria Math"/>
                </w:rPr>
                <m:t>[S]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)+[S]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max</m:t>
                  </m:r>
                </m:sub>
              </m:sSub>
              <m:r>
                <w:rPr>
                  <w:rFonts w:ascii="Cambria Math" w:eastAsiaTheme="minorEastAsia" w:hAnsi="Cambria Math"/>
                </w:rPr>
                <m:t>[S]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+[S]</m:t>
              </m:r>
            </m:den>
          </m:f>
        </m:oMath>
      </m:oMathPara>
    </w:p>
    <w:p w14:paraId="457FDA0D" w14:textId="2461740B" w:rsidR="007C7E9B" w:rsidRDefault="00FD7559" w:rsidP="00FD7559">
      <w:pPr>
        <w:rPr>
          <w:rFonts w:eastAsiaTheme="minorEastAsia"/>
        </w:rPr>
      </w:pPr>
      <w:r w:rsidRPr="007C7E9B">
        <w:rPr>
          <w:u w:val="single"/>
        </w:rPr>
        <w:t>Remarque :</w:t>
      </w:r>
      <w:r>
        <w:t xml:space="preserve"> On modifie la reconnaissance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K'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(1+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  <m:r>
          <w:rPr>
            <w:rFonts w:ascii="Cambria Math" w:hAnsi="Cambria Math"/>
          </w:rPr>
          <m:t>)</m:t>
        </m:r>
      </m:oMath>
    </w:p>
    <w:p w14:paraId="49ADA136" w14:textId="1172BC21" w:rsidR="00BC04EA" w:rsidRDefault="00BC04EA" w:rsidP="00FD7559">
      <w:pPr>
        <w:rPr>
          <w:rFonts w:eastAsiaTheme="minorEastAsia"/>
        </w:rPr>
      </w:pPr>
      <w:r>
        <w:rPr>
          <w:rFonts w:eastAsiaTheme="minorEastAsia"/>
        </w:rPr>
        <w:t xml:space="preserve">La constante d’inhibition : </w:t>
      </w:r>
    </w:p>
    <w:p w14:paraId="6ED0B271" w14:textId="2E756B87" w:rsidR="00FA1731" w:rsidRPr="00EF772C" w:rsidRDefault="0009609C" w:rsidP="00FD755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.[I]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mI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den>
          </m:f>
        </m:oMath>
      </m:oMathPara>
    </w:p>
    <w:p w14:paraId="3C35941B" w14:textId="4C9ADBC1" w:rsidR="00C70664" w:rsidRDefault="0009609C" w:rsidP="00C70664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EF772C">
        <w:rPr>
          <w:rFonts w:eastAsiaTheme="minorEastAsia"/>
        </w:rPr>
        <w:t xml:space="preserve"> </w:t>
      </w:r>
      <w:proofErr w:type="gramStart"/>
      <w:r w:rsidR="00EF772C">
        <w:rPr>
          <w:rFonts w:eastAsiaTheme="minorEastAsia"/>
        </w:rPr>
        <w:t>est</w:t>
      </w:r>
      <w:proofErr w:type="gramEnd"/>
      <w:r w:rsidR="00EF772C">
        <w:rPr>
          <w:rFonts w:eastAsiaTheme="minorEastAsia"/>
        </w:rPr>
        <w:t xml:space="preserve"> la quantité d’inhibiteurs nécessaire pour complétement arrêter la réaction.</w:t>
      </w:r>
      <w:r w:rsidR="00BC04EA">
        <w:rPr>
          <w:rFonts w:eastAsiaTheme="minorEastAsia"/>
        </w:rPr>
        <w:t xml:space="preserve"> </w:t>
      </w:r>
      <w:r w:rsidR="00C70664">
        <w:rPr>
          <w:rFonts w:eastAsiaTheme="minorEastAsia"/>
        </w:rPr>
        <w:t>L</w:t>
      </w:r>
      <w:r w:rsidR="00BC04EA">
        <w:rPr>
          <w:rFonts w:eastAsiaTheme="minorEastAsia"/>
        </w:rPr>
        <w:t>’inhibition peut être levé en ajoutant du substrat.</w:t>
      </w:r>
    </w:p>
    <w:p w14:paraId="080D47BB" w14:textId="70777D6E" w:rsidR="001D6E3D" w:rsidRDefault="008E439B" w:rsidP="008E439B">
      <w:pPr>
        <w:pStyle w:val="Titre2"/>
      </w:pPr>
      <w:r>
        <w:t>Inhibiteur non compétitif</w:t>
      </w:r>
    </w:p>
    <w:p w14:paraId="3313CF36" w14:textId="0B5F54A5" w:rsidR="007C7E9B" w:rsidRPr="007C7E9B" w:rsidRDefault="0009609C" w:rsidP="007C7E9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maxI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max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den>
              </m:f>
            </m:den>
          </m:f>
        </m:oMath>
      </m:oMathPara>
    </w:p>
    <w:p w14:paraId="2838F1ED" w14:textId="675E4B3E" w:rsidR="008E439B" w:rsidRPr="00002291" w:rsidRDefault="007C7E9B" w:rsidP="00E3228C">
      <w:pPr>
        <w:rPr>
          <w:rFonts w:eastAsiaTheme="minorEastAsia"/>
        </w:rPr>
      </w:pPr>
      <w:r w:rsidRPr="007C7E9B">
        <w:rPr>
          <w:u w:val="single"/>
        </w:rPr>
        <w:t>Remarque :</w:t>
      </w:r>
      <w:r>
        <w:t xml:space="preserve"> </w:t>
      </w:r>
      <w:r w:rsidR="008E439B">
        <w:t>L’inhibiteur rend l’enzyme moins efficace</w:t>
      </w:r>
      <w:r w:rsidR="00CF3D83">
        <w:t xml:space="preserve"> (efficacité catalytique) </w:t>
      </w:r>
      <w:r w:rsidR="008E439B">
        <w:t xml:space="preserve">(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 w:rsidR="00002291">
        <w:rPr>
          <w:rFonts w:eastAsiaTheme="minorEastAsia"/>
        </w:rPr>
        <w:t xml:space="preserve"> plus petit</w:t>
      </w:r>
      <w:r w:rsidR="008E439B">
        <w:rPr>
          <w:rFonts w:eastAsiaTheme="minorEastAsia"/>
        </w:rPr>
        <w:t>)</w:t>
      </w:r>
      <w:r>
        <w:rPr>
          <w:rFonts w:eastAsiaTheme="minorEastAsia"/>
        </w:rPr>
        <w:t>.</w:t>
      </w:r>
    </w:p>
    <w:p w14:paraId="3821613C" w14:textId="2A83C685" w:rsidR="00002291" w:rsidRPr="00BC04EA" w:rsidRDefault="0009609C" w:rsidP="00002291">
      <w:pPr>
        <w:spacing w:line="36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max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[i]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den>
              </m:f>
            </m:den>
          </m:f>
          <m:r>
            <w:rPr>
              <w:rFonts w:ascii="Cambria Math" w:eastAsiaTheme="minorEastAsia" w:hAnsi="Cambria Math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[S]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+[S]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maxI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[S]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+[S]</m:t>
              </m:r>
            </m:den>
          </m:f>
        </m:oMath>
      </m:oMathPara>
    </w:p>
    <w:p w14:paraId="4D10DD8C" w14:textId="45E02234" w:rsidR="00BC04EA" w:rsidRPr="007C7E9B" w:rsidRDefault="0009609C" w:rsidP="00002291">
      <w:pPr>
        <w:spacing w:line="36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maxI</m:t>
                  </m:r>
                </m:sub>
              </m:sSub>
              <m:r>
                <w:rPr>
                  <w:rFonts w:ascii="Cambria Math" w:hAnsi="Cambria Math"/>
                </w:rPr>
                <m:t>.[I]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maxI</m:t>
                  </m:r>
                </m:sub>
              </m:sSub>
            </m:den>
          </m:f>
        </m:oMath>
      </m:oMathPara>
    </w:p>
    <w:p w14:paraId="0ED50563" w14:textId="158C793A" w:rsidR="007C7E9B" w:rsidRDefault="00352F58" w:rsidP="00352F58">
      <w:pPr>
        <w:pStyle w:val="Titre1"/>
        <w:rPr>
          <w:rFonts w:eastAsiaTheme="minorEastAsia"/>
        </w:rPr>
      </w:pPr>
      <w:r>
        <w:rPr>
          <w:rFonts w:eastAsiaTheme="minorEastAsia"/>
        </w:rPr>
        <w:t>Effet du pH et de la température</w:t>
      </w:r>
    </w:p>
    <w:p w14:paraId="49136AA1" w14:textId="434D38CA" w:rsidR="00F82F3D" w:rsidRDefault="00F82F3D" w:rsidP="00F82F3D">
      <w:r>
        <w:t xml:space="preserve">Dans la structure moléculaire, une enzyme possède des AA 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 w:rsidR="00F82F3D" w14:paraId="16206DAB" w14:textId="77777777" w:rsidTr="00C1424A">
        <w:tc>
          <w:tcPr>
            <w:tcW w:w="3667" w:type="dxa"/>
          </w:tcPr>
          <w:p w14:paraId="780E79C9" w14:textId="4670ECF2" w:rsidR="00F82F3D" w:rsidRDefault="00F82F3D" w:rsidP="00F82F3D">
            <w:r>
              <w:t>Chargé</w:t>
            </w:r>
            <w:r w:rsidR="00167B28">
              <w:t>s</w:t>
            </w:r>
            <w:r>
              <w:t xml:space="preserve"> et polaires en périphérie</w:t>
            </w:r>
          </w:p>
        </w:tc>
        <w:tc>
          <w:tcPr>
            <w:tcW w:w="3668" w:type="dxa"/>
          </w:tcPr>
          <w:p w14:paraId="5E62FA12" w14:textId="7D7D43C5" w:rsidR="00F82F3D" w:rsidRDefault="00F82F3D" w:rsidP="00F82F3D">
            <w:r>
              <w:t>Apolaire</w:t>
            </w:r>
            <w:r w:rsidR="00167B28">
              <w:t>s</w:t>
            </w:r>
            <w:r>
              <w:t xml:space="preserve"> au centre</w:t>
            </w:r>
          </w:p>
        </w:tc>
      </w:tr>
    </w:tbl>
    <w:p w14:paraId="1352D5ED" w14:textId="01F17D74" w:rsidR="00352F58" w:rsidRDefault="00352F58" w:rsidP="00F82F3D">
      <w:pPr>
        <w:pStyle w:val="Titre2"/>
      </w:pPr>
      <w:r>
        <w:t xml:space="preserve">Effet du pH </w:t>
      </w:r>
    </w:p>
    <w:p w14:paraId="7D55DA2B" w14:textId="753ED64E" w:rsidR="00C1424A" w:rsidRDefault="00352F58" w:rsidP="00C1424A">
      <w:r>
        <w:t>Le changement de pH</w:t>
      </w:r>
      <w:r w:rsidR="00F82F3D">
        <w:t xml:space="preserve"> modifie l’activité de l’enzyme car cela modifie les AA</w:t>
      </w:r>
      <w:r w:rsidR="00C1424A">
        <w:t xml:space="preserve"> polaires </w:t>
      </w:r>
      <w:r w:rsidR="00167B28">
        <w:t>notamment</w:t>
      </w:r>
      <w:r w:rsidR="00C1424A">
        <w:t xml:space="preserve"> la cystéine et les AA chargés impliqué</w:t>
      </w:r>
      <w:r w:rsidR="00123FEB">
        <w:t>s</w:t>
      </w:r>
      <w:r w:rsidR="00C1424A">
        <w:t xml:space="preserve"> sur le s</w:t>
      </w:r>
      <w:r>
        <w:t>ite reconnaissance et de catalyse</w:t>
      </w:r>
      <w:r w:rsidR="00C1424A">
        <w:t>.</w:t>
      </w:r>
    </w:p>
    <w:p w14:paraId="38525C34" w14:textId="152366C0" w:rsidR="00955603" w:rsidRDefault="00955603" w:rsidP="00352F58">
      <w:r>
        <w:t>Rappel :</w:t>
      </w:r>
      <w:r w:rsidR="00C1424A">
        <w:t xml:space="preserve"> </w:t>
      </w:r>
      <w:r w:rsidR="00F41B79">
        <w:t>Si</w:t>
      </w:r>
      <w:r w:rsidR="00C1424A">
        <w:t xml:space="preserve"> </w:t>
      </w:r>
      <w:r w:rsidR="00F41B79">
        <w:t xml:space="preserve">le </w:t>
      </w:r>
      <w:r w:rsidR="00C1424A">
        <w:t>pH</w:t>
      </w:r>
      <w:r w:rsidR="00F41B79">
        <w:t>&gt;</w:t>
      </w:r>
      <w:r w:rsidR="00C1424A">
        <w:t>pKa+1</w:t>
      </w:r>
      <w:r w:rsidR="00F41B79">
        <w:t xml:space="preserve"> alors l’espèce sera déprotonée à </w:t>
      </w:r>
      <w:r>
        <w:t>90%.</w:t>
      </w:r>
    </w:p>
    <w:p w14:paraId="219BA9F3" w14:textId="46C10421" w:rsidR="00955603" w:rsidRDefault="00F82F3D" w:rsidP="00352F58">
      <w:r w:rsidRPr="00123FEB">
        <w:rPr>
          <w:u w:val="single"/>
        </w:rPr>
        <w:t xml:space="preserve">Rmq : </w:t>
      </w:r>
      <w:r w:rsidR="00C1424A">
        <w:t>On peut</w:t>
      </w:r>
      <w:r w:rsidR="00955603">
        <w:t xml:space="preserve"> modifi</w:t>
      </w:r>
      <w:r w:rsidR="00C1424A">
        <w:t>er</w:t>
      </w:r>
      <w:r w:rsidR="00955603">
        <w:t xml:space="preserve"> le pH</w:t>
      </w:r>
      <w:r w:rsidR="00C1424A">
        <w:t xml:space="preserve"> pour</w:t>
      </w:r>
      <w:r w:rsidR="00955603">
        <w:t xml:space="preserve"> détermin</w:t>
      </w:r>
      <w:r>
        <w:t>er</w:t>
      </w:r>
      <w:r w:rsidR="00955603">
        <w:t xml:space="preserve"> les AA impliqués </w:t>
      </w:r>
      <w:r>
        <w:t>dans</w:t>
      </w:r>
      <w:r w:rsidR="00955603">
        <w:t xml:space="preserve"> la reconnaissance et la catalyse.</w:t>
      </w:r>
    </w:p>
    <w:p w14:paraId="6849DE63" w14:textId="4427B7AB" w:rsidR="00955603" w:rsidRDefault="00955603" w:rsidP="00F82F3D">
      <w:pPr>
        <w:pStyle w:val="Titre2"/>
      </w:pPr>
      <w:r>
        <w:t>Effet de la température</w:t>
      </w:r>
    </w:p>
    <w:p w14:paraId="2718B50F" w14:textId="1FF85983" w:rsidR="00F82F3D" w:rsidRDefault="00F82F3D" w:rsidP="00352F58">
      <w:r>
        <w:t>L’augmentation de la température a deux effets antagonistes sur les enzymes :</w:t>
      </w:r>
    </w:p>
    <w:p w14:paraId="53B348C5" w14:textId="12CCAC18" w:rsidR="00F82F3D" w:rsidRDefault="00F82F3D" w:rsidP="00F82F3D">
      <w:pPr>
        <w:pStyle w:val="Paragraphedeliste"/>
        <w:numPr>
          <w:ilvl w:val="0"/>
          <w:numId w:val="23"/>
        </w:numPr>
      </w:pPr>
      <w:r>
        <w:lastRenderedPageBreak/>
        <w:t>Elle augmente la rencontre entre les molécules ce qui a tendance à accélérer la réaction.</w:t>
      </w:r>
    </w:p>
    <w:p w14:paraId="50F2C3A0" w14:textId="1EA00F89" w:rsidR="00F82F3D" w:rsidRDefault="00F82F3D" w:rsidP="00F82F3D">
      <w:pPr>
        <w:pStyle w:val="Paragraphedeliste"/>
        <w:numPr>
          <w:ilvl w:val="0"/>
          <w:numId w:val="23"/>
        </w:numPr>
      </w:pPr>
      <w:r>
        <w:t xml:space="preserve">Elle provoque une dénaturation de l’enzyme et une diminution de </w:t>
      </w:r>
      <w:r w:rsidR="00C1424A">
        <w:t xml:space="preserve">son affinité avec le substrat </w:t>
      </w:r>
      <w:r>
        <w:t xml:space="preserve">en provoquant la cassure </w:t>
      </w:r>
      <w:r w:rsidRPr="00F82F3D">
        <w:t xml:space="preserve">des liaisons </w:t>
      </w:r>
      <w:r>
        <w:t xml:space="preserve">hydrogènes et </w:t>
      </w:r>
      <w:r w:rsidRPr="00F82F3D">
        <w:t>de Van der Vaal</w:t>
      </w:r>
      <w:r w:rsidR="00C1424A">
        <w:t>.</w:t>
      </w:r>
    </w:p>
    <w:p w14:paraId="68CBCA2C" w14:textId="0A2987C1" w:rsidR="003B4B4F" w:rsidRDefault="003B4B4F" w:rsidP="00F82F3D">
      <w:pPr>
        <w:pStyle w:val="Titre2"/>
      </w:pPr>
      <w:r>
        <w:t xml:space="preserve">Mécanisme de protection </w:t>
      </w:r>
    </w:p>
    <w:p w14:paraId="7649ACD5" w14:textId="35E42AAC" w:rsidR="00F41B79" w:rsidRDefault="00F41B79" w:rsidP="00F41B79">
      <w:r>
        <w:t>Les enzymes sont stabilisées par</w:t>
      </w:r>
      <w:r w:rsidR="007935CB">
        <w:t> :</w:t>
      </w:r>
    </w:p>
    <w:p w14:paraId="3DA40602" w14:textId="19B4700A" w:rsidR="00F41B79" w:rsidRDefault="007935CB" w:rsidP="00352F58">
      <w:pPr>
        <w:pStyle w:val="Paragraphedeliste"/>
        <w:numPr>
          <w:ilvl w:val="0"/>
          <w:numId w:val="24"/>
        </w:numPr>
      </w:pPr>
      <w:r>
        <w:t xml:space="preserve">Le complexe qu’elles forment avec le substrat grâce aux </w:t>
      </w:r>
      <w:r w:rsidR="003B4B4F">
        <w:t xml:space="preserve">liaisons </w:t>
      </w:r>
      <w:r>
        <w:t>hydrogènes</w:t>
      </w:r>
      <w:r w:rsidR="003B4B4F">
        <w:t xml:space="preserve"> </w:t>
      </w:r>
      <w:r>
        <w:t xml:space="preserve">et de </w:t>
      </w:r>
      <w:r w:rsidR="003B4B4F">
        <w:t>V</w:t>
      </w:r>
      <w:r>
        <w:t xml:space="preserve">an </w:t>
      </w:r>
      <w:r w:rsidR="003B4B4F">
        <w:t>D</w:t>
      </w:r>
      <w:r>
        <w:t xml:space="preserve">er </w:t>
      </w:r>
      <w:r w:rsidR="003B4B4F">
        <w:t>V</w:t>
      </w:r>
      <w:r>
        <w:t>aal.</w:t>
      </w:r>
      <w:r w:rsidR="003B4B4F">
        <w:t xml:space="preserve"> </w:t>
      </w:r>
    </w:p>
    <w:p w14:paraId="64B025C5" w14:textId="59E302F5" w:rsidR="003B4B4F" w:rsidRDefault="00F41B79" w:rsidP="00F41B79">
      <w:pPr>
        <w:pStyle w:val="Paragraphedeliste"/>
        <w:numPr>
          <w:ilvl w:val="0"/>
          <w:numId w:val="24"/>
        </w:numPr>
      </w:pPr>
      <w:r>
        <w:t>Grâce à des p</w:t>
      </w:r>
      <w:r w:rsidR="003B4B4F">
        <w:t>etit</w:t>
      </w:r>
      <w:r>
        <w:t>s</w:t>
      </w:r>
      <w:r w:rsidR="003B4B4F">
        <w:t xml:space="preserve"> cations bivalent</w:t>
      </w:r>
      <w:r w:rsidR="00123FEB">
        <w:t>s</w:t>
      </w:r>
      <w:r>
        <w:t xml:space="preserve"> </w:t>
      </w:r>
      <w:r w:rsidR="007935CB">
        <w:t xml:space="preserve">avec deux </w:t>
      </w:r>
      <w:r>
        <w:t>charges</w:t>
      </w:r>
      <w:r w:rsidR="003B4B4F">
        <w:t xml:space="preserve"> </w:t>
      </w:r>
      <w:r w:rsidR="007935CB">
        <w:t xml:space="preserve">comme </w:t>
      </w:r>
      <w:r w:rsidR="003B4B4F">
        <w:t>Mg</w:t>
      </w:r>
      <w:r w:rsidR="003B4B4F" w:rsidRPr="00F41B79">
        <w:rPr>
          <w:vertAlign w:val="superscript"/>
        </w:rPr>
        <w:t>+2</w:t>
      </w:r>
      <w:r w:rsidR="007935CB">
        <w:t xml:space="preserve">, </w:t>
      </w:r>
      <w:r w:rsidR="003B4B4F">
        <w:t>Ca</w:t>
      </w:r>
      <w:r w:rsidR="003B4B4F" w:rsidRPr="00F41B79">
        <w:rPr>
          <w:vertAlign w:val="superscript"/>
        </w:rPr>
        <w:t>2+</w:t>
      </w:r>
      <w:r w:rsidR="007935CB">
        <w:t xml:space="preserve">, </w:t>
      </w:r>
      <w:r w:rsidR="003B4B4F">
        <w:t>Zn</w:t>
      </w:r>
      <w:r w:rsidR="003B4B4F" w:rsidRPr="00F41B79">
        <w:rPr>
          <w:vertAlign w:val="superscript"/>
        </w:rPr>
        <w:t>2+</w:t>
      </w:r>
      <w:r w:rsidR="003B4B4F">
        <w:t xml:space="preserve"> </w:t>
      </w:r>
      <w:r w:rsidR="007935CB">
        <w:t xml:space="preserve">qui </w:t>
      </w:r>
      <w:r>
        <w:t>entre</w:t>
      </w:r>
      <w:r w:rsidR="00123FEB">
        <w:t>nt</w:t>
      </w:r>
      <w:r>
        <w:t xml:space="preserve"> dans la structure moléculaire et la stabilise</w:t>
      </w:r>
      <w:r w:rsidR="00123FEB">
        <w:t>nt</w:t>
      </w:r>
      <w:r>
        <w:t xml:space="preserve"> via des liaisons ioniques. Par opposition, les </w:t>
      </w:r>
      <w:r w:rsidR="003B4B4F">
        <w:t xml:space="preserve">métaux lourds </w:t>
      </w:r>
      <w:r>
        <w:t xml:space="preserve">comme le plomb </w:t>
      </w:r>
      <w:r w:rsidR="003B4B4F">
        <w:t>Pb</w:t>
      </w:r>
      <w:r w:rsidR="003B4B4F" w:rsidRPr="00F41B79">
        <w:rPr>
          <w:vertAlign w:val="superscript"/>
        </w:rPr>
        <w:t>2+</w:t>
      </w:r>
      <w:r>
        <w:rPr>
          <w:vertAlign w:val="superscript"/>
        </w:rPr>
        <w:t xml:space="preserve"> </w:t>
      </w:r>
      <w:r>
        <w:t xml:space="preserve">et le mercure </w:t>
      </w:r>
      <w:r w:rsidR="003B4B4F">
        <w:t>Hg</w:t>
      </w:r>
      <w:r w:rsidR="003B4B4F" w:rsidRPr="00F41B79">
        <w:rPr>
          <w:vertAlign w:val="superscript"/>
        </w:rPr>
        <w:t>2+</w:t>
      </w:r>
      <w:r w:rsidR="00123FEB">
        <w:t xml:space="preserve">, </w:t>
      </w:r>
      <w:r>
        <w:t xml:space="preserve">qui sont </w:t>
      </w:r>
      <w:r w:rsidR="003B4B4F">
        <w:t>beaucoup plus gros</w:t>
      </w:r>
      <w:r w:rsidR="00123FEB">
        <w:t xml:space="preserve">, </w:t>
      </w:r>
      <w:r>
        <w:t xml:space="preserve">auront tendance à </w:t>
      </w:r>
      <w:r w:rsidR="003B4B4F">
        <w:t>distord</w:t>
      </w:r>
      <w:r>
        <w:t>re</w:t>
      </w:r>
      <w:r w:rsidR="003B4B4F">
        <w:t xml:space="preserve"> la structure des enzymes</w:t>
      </w:r>
      <w:r>
        <w:t>.</w:t>
      </w:r>
    </w:p>
    <w:p w14:paraId="1DCEDA11" w14:textId="6EA7E663" w:rsidR="00F41B79" w:rsidRDefault="00F41B79" w:rsidP="00F41B79">
      <w:r w:rsidRPr="00123FEB">
        <w:rPr>
          <w:u w:val="single"/>
        </w:rPr>
        <w:t>NB :</w:t>
      </w:r>
      <w:r>
        <w:t xml:space="preserve"> les métaux lourds sont des inhibiteurs toxiques.</w:t>
      </w:r>
    </w:p>
    <w:p w14:paraId="3A3E54BC" w14:textId="10F41109" w:rsidR="00DB4DE3" w:rsidRDefault="00DB4DE3" w:rsidP="00DB4DE3">
      <w:pPr>
        <w:pStyle w:val="Titre1"/>
      </w:pPr>
      <w:r>
        <w:t>Interaction ligand récepteur</w:t>
      </w:r>
    </w:p>
    <w:p w14:paraId="7E3E33AC" w14:textId="3789E6DD" w:rsidR="00DB4DE3" w:rsidRPr="00DB4DE3" w:rsidRDefault="00DB4DE3" w:rsidP="00DB4DE3">
      <w:r>
        <w:t xml:space="preserve">On considère le ligand </w:t>
      </w:r>
      <w:r w:rsidR="00FB2333">
        <w:t>comme</w:t>
      </w:r>
      <w:r>
        <w:t xml:space="preserve"> la molécule qui se déplace et qui interagit avec </w:t>
      </w:r>
      <w:r w:rsidR="00FB2333">
        <w:t>une autre molécule</w:t>
      </w:r>
      <w:r w:rsidR="00123FEB">
        <w:t>,</w:t>
      </w:r>
      <w:r w:rsidR="00FB2333">
        <w:t xml:space="preserve"> appelé</w:t>
      </w:r>
      <w:r w:rsidR="00123FEB">
        <w:t>e</w:t>
      </w:r>
      <w:r w:rsidR="00FB2333">
        <w:t xml:space="preserve"> </w:t>
      </w:r>
      <w:r>
        <w:t>récepteur</w:t>
      </w:r>
      <w:r w:rsidR="00123FEB">
        <w:t>,</w:t>
      </w:r>
      <w:r w:rsidR="00FB2333">
        <w:t xml:space="preserve"> qui se trouve </w:t>
      </w:r>
      <w:r w:rsidR="00123FEB">
        <w:t>souvent</w:t>
      </w:r>
      <w:r w:rsidR="005B700C">
        <w:t xml:space="preserve"> à</w:t>
      </w:r>
      <w:r>
        <w:t xml:space="preserve"> l’intérieur de la cellule.</w:t>
      </w:r>
    </w:p>
    <w:p w14:paraId="5957C733" w14:textId="506B8DF6" w:rsidR="00F22283" w:rsidRDefault="00F22283" w:rsidP="00F22283">
      <w:pPr>
        <w:pStyle w:val="Titre2"/>
      </w:pPr>
      <w:r>
        <w:t>Les ligands en biologie</w:t>
      </w:r>
    </w:p>
    <w:p w14:paraId="0CAD9BE1" w14:textId="34E14C61" w:rsidR="00DB4DE3" w:rsidRDefault="00F22283" w:rsidP="00DB4DE3">
      <w:r>
        <w:t>En biologie, les ligands sont soit de type :</w:t>
      </w:r>
    </w:p>
    <w:tbl>
      <w:tblPr>
        <w:tblStyle w:val="Grilledetableauclaire"/>
        <w:tblW w:w="5000" w:type="pct"/>
        <w:tblLook w:val="0420" w:firstRow="1" w:lastRow="0" w:firstColumn="0" w:lastColumn="0" w:noHBand="0" w:noVBand="1"/>
      </w:tblPr>
      <w:tblGrid>
        <w:gridCol w:w="1915"/>
        <w:gridCol w:w="2537"/>
        <w:gridCol w:w="2883"/>
      </w:tblGrid>
      <w:tr w:rsidR="00F22283" w14:paraId="54B2050B" w14:textId="77777777" w:rsidTr="00F222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15" w:type="dxa"/>
          </w:tcPr>
          <w:p w14:paraId="771473FF" w14:textId="77777777" w:rsidR="00F22283" w:rsidRDefault="00F22283" w:rsidP="00DB4DE3"/>
        </w:tc>
        <w:tc>
          <w:tcPr>
            <w:tcW w:w="2537" w:type="dxa"/>
          </w:tcPr>
          <w:p w14:paraId="018BAA53" w14:textId="344285D1" w:rsidR="00F22283" w:rsidRDefault="00F22283" w:rsidP="00DB4DE3">
            <w:r>
              <w:t>Liposoluble</w:t>
            </w:r>
          </w:p>
        </w:tc>
        <w:tc>
          <w:tcPr>
            <w:tcW w:w="2883" w:type="dxa"/>
          </w:tcPr>
          <w:p w14:paraId="6611D1FF" w14:textId="07AC58DC" w:rsidR="00F22283" w:rsidRDefault="00F22283" w:rsidP="00DB4DE3">
            <w:r>
              <w:t>Hydrosoluble</w:t>
            </w:r>
          </w:p>
        </w:tc>
      </w:tr>
      <w:tr w:rsidR="00F22283" w14:paraId="76DA967B" w14:textId="77777777" w:rsidTr="00F22283">
        <w:tc>
          <w:tcPr>
            <w:tcW w:w="1915" w:type="dxa"/>
          </w:tcPr>
          <w:p w14:paraId="7914D1A1" w14:textId="7AEF5C34" w:rsidR="00F22283" w:rsidRDefault="00F22283" w:rsidP="00DB4DE3">
            <w:r>
              <w:t xml:space="preserve">Position du </w:t>
            </w:r>
            <w:r w:rsidR="00754552">
              <w:t>récepteur</w:t>
            </w:r>
          </w:p>
        </w:tc>
        <w:tc>
          <w:tcPr>
            <w:tcW w:w="2537" w:type="dxa"/>
          </w:tcPr>
          <w:p w14:paraId="53AA3D90" w14:textId="686255D3" w:rsidR="00F22283" w:rsidRDefault="00F22283" w:rsidP="00DB4DE3">
            <w:proofErr w:type="spellStart"/>
            <w:r>
              <w:t>A</w:t>
            </w:r>
            <w:proofErr w:type="spellEnd"/>
            <w:r>
              <w:t xml:space="preserve"> l’intérieur de la cellule</w:t>
            </w:r>
          </w:p>
        </w:tc>
        <w:tc>
          <w:tcPr>
            <w:tcW w:w="2883" w:type="dxa"/>
          </w:tcPr>
          <w:p w14:paraId="45089F78" w14:textId="758700D9" w:rsidR="00F22283" w:rsidRDefault="00754552" w:rsidP="00DB4DE3">
            <w:r>
              <w:t>À</w:t>
            </w:r>
            <w:r w:rsidR="00F22283">
              <w:t xml:space="preserve"> l’extérieur de la cellule</w:t>
            </w:r>
          </w:p>
        </w:tc>
      </w:tr>
    </w:tbl>
    <w:p w14:paraId="58DB3EA3" w14:textId="25DBDBF0" w:rsidR="00754552" w:rsidRDefault="00754552" w:rsidP="00DB4DE3">
      <w:r w:rsidRPr="00123FEB">
        <w:rPr>
          <w:u w:val="single"/>
        </w:rPr>
        <w:t>Rmq :</w:t>
      </w:r>
      <w:r>
        <w:t xml:space="preserve"> le récepteur est parfois appelé site de reconnaissance.</w:t>
      </w:r>
    </w:p>
    <w:p w14:paraId="22B9F446" w14:textId="04876285" w:rsidR="00FB2333" w:rsidRDefault="00F22283" w:rsidP="00DB4DE3">
      <w:r>
        <w:t>Les principaux récepteurs en biologie sont :</w:t>
      </w:r>
    </w:p>
    <w:p w14:paraId="2AC77379" w14:textId="27F7809F" w:rsidR="00DB4DE3" w:rsidRDefault="00F22283" w:rsidP="00F22283">
      <w:pPr>
        <w:pStyle w:val="Paragraphedeliste"/>
        <w:numPr>
          <w:ilvl w:val="0"/>
          <w:numId w:val="26"/>
        </w:numPr>
      </w:pPr>
      <w:r>
        <w:t>Les k</w:t>
      </w:r>
      <w:r w:rsidR="00FB2333">
        <w:t>inase</w:t>
      </w:r>
      <w:r>
        <w:t>s</w:t>
      </w:r>
      <w:r w:rsidR="00FB2333">
        <w:t xml:space="preserve"> </w:t>
      </w:r>
      <w:r>
        <w:t>(</w:t>
      </w:r>
      <w:r w:rsidR="00FB2333">
        <w:t xml:space="preserve">protéine </w:t>
      </w:r>
      <w:r>
        <w:t xml:space="preserve">capable de </w:t>
      </w:r>
      <w:r w:rsidR="00FB2333">
        <w:t>phosphoryl</w:t>
      </w:r>
      <w:r>
        <w:t>er</w:t>
      </w:r>
      <w:r w:rsidR="00665F38">
        <w:t>)</w:t>
      </w:r>
      <w:r w:rsidR="005B700C">
        <w:t>.</w:t>
      </w:r>
    </w:p>
    <w:p w14:paraId="0E7CDBB8" w14:textId="77777777" w:rsidR="00F22283" w:rsidRDefault="00F22283" w:rsidP="00DB4DE3">
      <w:pPr>
        <w:pStyle w:val="Paragraphedeliste"/>
        <w:numPr>
          <w:ilvl w:val="0"/>
          <w:numId w:val="26"/>
        </w:numPr>
      </w:pPr>
      <w:r>
        <w:t>Les r</w:t>
      </w:r>
      <w:r w:rsidR="00FB2333">
        <w:t>écepteurs couplés aux protéines G</w:t>
      </w:r>
      <w:r w:rsidR="005B700C">
        <w:t>.</w:t>
      </w:r>
    </w:p>
    <w:p w14:paraId="38036243" w14:textId="5D0E1F70" w:rsidR="00754552" w:rsidRDefault="00F22283" w:rsidP="00F22283">
      <w:pPr>
        <w:pStyle w:val="Paragraphedeliste"/>
        <w:numPr>
          <w:ilvl w:val="0"/>
          <w:numId w:val="26"/>
        </w:numPr>
      </w:pPr>
      <w:r>
        <w:t>Les f</w:t>
      </w:r>
      <w:r w:rsidR="00FB2333">
        <w:t>acteurs de transcription</w:t>
      </w:r>
      <w:r w:rsidR="00665F38">
        <w:t>.</w:t>
      </w:r>
    </w:p>
    <w:p w14:paraId="0A0E95B9" w14:textId="49A31A1C" w:rsidR="00F22283" w:rsidRDefault="00754552" w:rsidP="00754552">
      <w:r>
        <w:t>En fonction du type d’action qu</w:t>
      </w:r>
      <w:r w:rsidR="00665F38">
        <w:t>e</w:t>
      </w:r>
      <w:r>
        <w:t xml:space="preserve"> provoque</w:t>
      </w:r>
      <w:r w:rsidR="00665F38">
        <w:t xml:space="preserve"> le ligand</w:t>
      </w:r>
      <w:r>
        <w:t>, on dit qu’</w:t>
      </w:r>
      <w:r w:rsidR="00665F38">
        <w:t>il</w:t>
      </w:r>
      <w:r>
        <w:t xml:space="preserve"> est 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 w:rsidR="00FB2333" w14:paraId="0F02B42B" w14:textId="77777777" w:rsidTr="005B700C">
        <w:trPr>
          <w:trHeight w:val="372"/>
        </w:trPr>
        <w:tc>
          <w:tcPr>
            <w:tcW w:w="3667" w:type="dxa"/>
          </w:tcPr>
          <w:p w14:paraId="05B6E980" w14:textId="06A5E618" w:rsidR="00FB2333" w:rsidRDefault="00FB2333" w:rsidP="00DB4DE3">
            <w:r>
              <w:t xml:space="preserve">Agoniste </w:t>
            </w:r>
            <w:r w:rsidR="00F22283">
              <w:t>lorsqu’il</w:t>
            </w:r>
            <w:r>
              <w:t xml:space="preserve"> active</w:t>
            </w:r>
            <w:r w:rsidR="00F22283">
              <w:t>/</w:t>
            </w:r>
            <w:r>
              <w:t>d</w:t>
            </w:r>
            <w:r w:rsidR="00F22283">
              <w:t>é</w:t>
            </w:r>
            <w:r>
              <w:t>clenche</w:t>
            </w:r>
          </w:p>
        </w:tc>
        <w:tc>
          <w:tcPr>
            <w:tcW w:w="3668" w:type="dxa"/>
          </w:tcPr>
          <w:p w14:paraId="55288853" w14:textId="17F9B007" w:rsidR="00FB2333" w:rsidRDefault="00FB2333" w:rsidP="00DB4DE3">
            <w:r>
              <w:t xml:space="preserve">Antagoniste </w:t>
            </w:r>
            <w:r w:rsidR="00754552">
              <w:t>lorsqu’il</w:t>
            </w:r>
            <w:r>
              <w:t xml:space="preserve"> bloque l’activité </w:t>
            </w:r>
          </w:p>
        </w:tc>
      </w:tr>
    </w:tbl>
    <w:p w14:paraId="765A4251" w14:textId="4A4ED590" w:rsidR="00F22283" w:rsidRDefault="00754552" w:rsidP="00754552">
      <w:pPr>
        <w:pStyle w:val="Titre2"/>
      </w:pPr>
      <w:r>
        <w:t>Formalisation de l’interaction ligand récepteur</w:t>
      </w:r>
      <w:r w:rsidR="00F22283">
        <w:t xml:space="preserve"> </w:t>
      </w:r>
    </w:p>
    <w:p w14:paraId="25EE2473" w14:textId="4580B047" w:rsidR="004C4E44" w:rsidRPr="00754552" w:rsidRDefault="004C4E44" w:rsidP="00DB4DE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R+L↔RL</m:t>
          </m:r>
        </m:oMath>
      </m:oMathPara>
    </w:p>
    <w:p w14:paraId="0722C1C8" w14:textId="7130F7F0" w:rsidR="00754552" w:rsidRDefault="00754552" w:rsidP="00DB4DE3">
      <w:r>
        <w:rPr>
          <w:rFonts w:eastAsiaTheme="minorEastAsia"/>
        </w:rPr>
        <w:t>On note</w:t>
      </w:r>
      <w:r w:rsidR="003D3C59">
        <w:rPr>
          <w:rFonts w:eastAsiaTheme="minorEastAsia"/>
        </w:rPr>
        <w:t> :</w:t>
      </w:r>
    </w:p>
    <w:tbl>
      <w:tblPr>
        <w:tblStyle w:val="Grilledetableauclaire"/>
        <w:tblW w:w="0" w:type="auto"/>
        <w:tblLook w:val="0420" w:firstRow="1" w:lastRow="0" w:firstColumn="0" w:lastColumn="0" w:noHBand="0" w:noVBand="1"/>
      </w:tblPr>
      <w:tblGrid>
        <w:gridCol w:w="3667"/>
        <w:gridCol w:w="3668"/>
      </w:tblGrid>
      <w:tr w:rsidR="00D9096B" w14:paraId="129B2CF5" w14:textId="77777777" w:rsidTr="003D3C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67" w:type="dxa"/>
          </w:tcPr>
          <w:p w14:paraId="7D440CBA" w14:textId="1317DB95" w:rsidR="00D9096B" w:rsidRDefault="00D9096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Association</w:t>
            </w:r>
          </w:p>
        </w:tc>
        <w:tc>
          <w:tcPr>
            <w:tcW w:w="3668" w:type="dxa"/>
          </w:tcPr>
          <w:p w14:paraId="36A9291E" w14:textId="084E4582" w:rsidR="00D9096B" w:rsidRDefault="00754552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D</w:t>
            </w:r>
            <w:r w:rsidR="00D9096B">
              <w:rPr>
                <w:rFonts w:eastAsia="Times New Roman" w:cs="Times New Roman"/>
              </w:rPr>
              <w:t>issociation</w:t>
            </w:r>
          </w:p>
        </w:tc>
      </w:tr>
      <w:tr w:rsidR="00D9096B" w14:paraId="6350951F" w14:textId="77777777" w:rsidTr="003D3C59">
        <w:tc>
          <w:tcPr>
            <w:tcW w:w="3667" w:type="dxa"/>
          </w:tcPr>
          <w:p w14:paraId="66C1A191" w14:textId="6DE9B875" w:rsidR="00D9096B" w:rsidRPr="00D9096B" w:rsidRDefault="0009609C">
            <w:pPr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ass</m:t>
                  </m:r>
                </m:sub>
              </m:sSub>
            </m:oMath>
            <w:proofErr w:type="gramStart"/>
            <w:r w:rsidR="00D9096B">
              <w:rPr>
                <w:rFonts w:eastAsiaTheme="minorEastAsia"/>
              </w:rPr>
              <w:t>vitesse</w:t>
            </w:r>
            <w:proofErr w:type="gramEnd"/>
          </w:p>
          <w:p w14:paraId="7D590698" w14:textId="474CC22A" w:rsidR="00D9096B" w:rsidRDefault="0009609C">
            <w:pPr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oMath>
            <w:r w:rsidR="00D9096B">
              <w:rPr>
                <w:rFonts w:eastAsiaTheme="minorEastAsia"/>
              </w:rPr>
              <w:t xml:space="preserve"> </w:t>
            </w:r>
            <w:proofErr w:type="gramStart"/>
            <w:r w:rsidR="00D9096B">
              <w:rPr>
                <w:rFonts w:eastAsiaTheme="minorEastAsia"/>
              </w:rPr>
              <w:t>constante</w:t>
            </w:r>
            <w:proofErr w:type="gramEnd"/>
            <w:r w:rsidR="00D9096B">
              <w:rPr>
                <w:rFonts w:eastAsiaTheme="minorEastAsia"/>
              </w:rPr>
              <w:t xml:space="preserve"> d’association</w:t>
            </w:r>
          </w:p>
        </w:tc>
        <w:tc>
          <w:tcPr>
            <w:tcW w:w="3668" w:type="dxa"/>
          </w:tcPr>
          <w:p w14:paraId="0AD606DE" w14:textId="0216BF49" w:rsidR="00D9096B" w:rsidRPr="00D9096B" w:rsidRDefault="0009609C">
            <w:pPr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diss</m:t>
                  </m:r>
                </m:sub>
              </m:sSub>
            </m:oMath>
            <w:proofErr w:type="gramStart"/>
            <w:r w:rsidR="00D9096B">
              <w:rPr>
                <w:rFonts w:eastAsiaTheme="minorEastAsia"/>
              </w:rPr>
              <w:t>vitesse</w:t>
            </w:r>
            <w:proofErr w:type="gramEnd"/>
          </w:p>
          <w:p w14:paraId="5B5EEA55" w14:textId="744718B9" w:rsidR="00D9096B" w:rsidRDefault="0009609C">
            <w:pPr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oMath>
            <w:r w:rsidR="00D9096B">
              <w:rPr>
                <w:rFonts w:eastAsiaTheme="minorEastAsia"/>
              </w:rPr>
              <w:t xml:space="preserve"> </w:t>
            </w:r>
            <w:proofErr w:type="gramStart"/>
            <w:r w:rsidR="00D9096B">
              <w:rPr>
                <w:rFonts w:eastAsiaTheme="minorEastAsia"/>
              </w:rPr>
              <w:t>constante</w:t>
            </w:r>
            <w:proofErr w:type="gramEnd"/>
            <w:r w:rsidR="00D9096B">
              <w:rPr>
                <w:rFonts w:eastAsiaTheme="minorEastAsia"/>
              </w:rPr>
              <w:t xml:space="preserve"> </w:t>
            </w:r>
            <w:r w:rsidR="00BF70CF">
              <w:rPr>
                <w:rFonts w:eastAsiaTheme="minorEastAsia"/>
              </w:rPr>
              <w:t xml:space="preserve">de </w:t>
            </w:r>
            <w:r w:rsidR="00D9096B">
              <w:rPr>
                <w:rFonts w:eastAsiaTheme="minorEastAsia"/>
              </w:rPr>
              <w:t>dissociation</w:t>
            </w:r>
          </w:p>
        </w:tc>
      </w:tr>
    </w:tbl>
    <w:p w14:paraId="02540FCE" w14:textId="668C5B14" w:rsidR="004B4584" w:rsidRPr="004B4584" w:rsidRDefault="003D3C59" w:rsidP="009B094E">
      <w:pPr>
        <w:rPr>
          <w:rFonts w:eastAsiaTheme="minorEastAsia"/>
        </w:rPr>
      </w:pPr>
      <w:r>
        <w:rPr>
          <w:rStyle w:val="Accentuation"/>
          <w:color w:val="000000" w:themeColor="text1"/>
        </w:rPr>
        <w:t xml:space="preserve">À l’équilibre </w:t>
      </w:r>
      <w:r w:rsidR="009B094E">
        <w:rPr>
          <w:rStyle w:val="Accentuation"/>
          <w:color w:val="000000" w:themeColor="text1"/>
        </w:rPr>
        <w:t>la vitesse d’association est égale à celle de dissociation. Les concentrations des différentes espèces chimiques n’évoluent plus</w:t>
      </w:r>
      <w:r>
        <w:rPr>
          <w:rFonts w:eastAsiaTheme="minorEastAsia"/>
        </w:rPr>
        <w:t>.</w:t>
      </w:r>
      <w:r w:rsidR="004B4584">
        <w:rPr>
          <w:rFonts w:eastAsiaTheme="minorEastAsia"/>
        </w:rPr>
        <w:t xml:space="preserve"> On a</w:t>
      </w:r>
      <w:r w:rsidR="00BF70CF">
        <w:rPr>
          <w:rFonts w:eastAsiaTheme="minorEastAsia"/>
        </w:rPr>
        <w:t xml:space="preserve"> </w:t>
      </w:r>
      <w:r w:rsidR="004B4584">
        <w:rPr>
          <w:iCs/>
          <w:color w:val="000000" w:themeColor="text1"/>
        </w:rPr>
        <w:t xml:space="preserve">: </w:t>
      </w:r>
    </w:p>
    <w:tbl>
      <w:tblPr>
        <w:tblStyle w:val="Grilledetableauclaire"/>
        <w:tblW w:w="4980" w:type="pct"/>
        <w:tblLook w:val="0400" w:firstRow="0" w:lastRow="0" w:firstColumn="0" w:lastColumn="0" w:noHBand="0" w:noVBand="1"/>
      </w:tblPr>
      <w:tblGrid>
        <w:gridCol w:w="3653"/>
        <w:gridCol w:w="3653"/>
      </w:tblGrid>
      <w:tr w:rsidR="004B4584" w14:paraId="5E0DF48F" w14:textId="3B3B9CBF" w:rsidTr="004B4584">
        <w:tc>
          <w:tcPr>
            <w:tcW w:w="3653" w:type="dxa"/>
          </w:tcPr>
          <w:p w14:paraId="0134C56D" w14:textId="426E122A" w:rsidR="004B4584" w:rsidRDefault="004B4584" w:rsidP="004B458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La constante d’affinité à l’équilibre</w:t>
            </w:r>
          </w:p>
        </w:tc>
        <w:tc>
          <w:tcPr>
            <w:tcW w:w="3653" w:type="dxa"/>
          </w:tcPr>
          <w:p w14:paraId="5C5C5AA3" w14:textId="7A28904D" w:rsidR="004B4584" w:rsidRDefault="004B4584" w:rsidP="004B458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La quantité de récepteur </w:t>
            </w:r>
          </w:p>
        </w:tc>
      </w:tr>
      <w:tr w:rsidR="004B4584" w14:paraId="3FAD3CB5" w14:textId="077AE63D" w:rsidTr="004B4584">
        <w:trPr>
          <w:trHeight w:val="390"/>
        </w:trPr>
        <w:tc>
          <w:tcPr>
            <w:tcW w:w="3653" w:type="dxa"/>
          </w:tcPr>
          <w:p w14:paraId="23CF3F3D" w14:textId="13BBA343" w:rsidR="004B4584" w:rsidRDefault="0009609C" w:rsidP="004B4584">
            <w:pPr>
              <w:rPr>
                <w:rFonts w:eastAsia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diss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ass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w:bookmarkStart w:id="0" w:name="_Hlk66192880"/>
                    <m:r>
                      <w:rPr>
                        <w:rFonts w:ascii="Cambria Math" w:eastAsiaTheme="minorEastAsia" w:hAnsi="Cambria Math"/>
                      </w:rPr>
                      <m:t>[L]</m:t>
                    </m:r>
                    <w:bookmarkEnd w:id="0"/>
                    <m:r>
                      <w:rPr>
                        <w:rFonts w:ascii="Cambria Math" w:eastAsiaTheme="minorEastAsia" w:hAnsi="Cambria Math"/>
                      </w:rPr>
                      <m:t>[R]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[LR]</m:t>
                    </m:r>
                  </m:den>
                </m:f>
              </m:oMath>
            </m:oMathPara>
          </w:p>
        </w:tc>
        <w:tc>
          <w:tcPr>
            <w:tcW w:w="3653" w:type="dxa"/>
          </w:tcPr>
          <w:p w14:paraId="3E9D9D6D" w14:textId="608685FE" w:rsidR="004B4584" w:rsidRDefault="0009609C" w:rsidP="004B4584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[R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]=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+[RL]</m:t>
                </m:r>
              </m:oMath>
            </m:oMathPara>
          </w:p>
        </w:tc>
      </w:tr>
    </w:tbl>
    <w:p w14:paraId="2C8C8CD3" w14:textId="14FA1A4B" w:rsidR="001A7E30" w:rsidRPr="001A7E30" w:rsidRDefault="003D3C59" w:rsidP="009B094E">
      <w:pPr>
        <w:rPr>
          <w:rFonts w:eastAsiaTheme="minorEastAsia"/>
        </w:rPr>
      </w:pPr>
      <w:r>
        <w:rPr>
          <w:rFonts w:eastAsiaTheme="minorEastAsia"/>
        </w:rPr>
        <w:t>On obtient alors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 w:rsidR="001A7E30" w14:paraId="4D278EE3" w14:textId="77777777" w:rsidTr="001A7E30">
        <w:tc>
          <w:tcPr>
            <w:tcW w:w="3667" w:type="dxa"/>
          </w:tcPr>
          <w:p w14:paraId="7E731501" w14:textId="0467470C" w:rsidR="001A7E30" w:rsidRDefault="001A7E30" w:rsidP="009B094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Concentration de [RL]</w:t>
            </w:r>
          </w:p>
        </w:tc>
        <w:tc>
          <w:tcPr>
            <w:tcW w:w="3668" w:type="dxa"/>
          </w:tcPr>
          <w:p w14:paraId="1FF9CC83" w14:textId="2072E8B3" w:rsidR="001A7E30" w:rsidRPr="003A418B" w:rsidRDefault="001A7E30" w:rsidP="009B094E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Proportion de [RL]</w:t>
            </w:r>
          </w:p>
        </w:tc>
      </w:tr>
      <w:tr w:rsidR="001A7E30" w14:paraId="6A296C8C" w14:textId="77777777" w:rsidTr="004B4584">
        <w:trPr>
          <w:trHeight w:val="621"/>
        </w:trPr>
        <w:tc>
          <w:tcPr>
            <w:tcW w:w="3667" w:type="dxa"/>
          </w:tcPr>
          <w:p w14:paraId="4B1B9EAB" w14:textId="3689478A" w:rsidR="001A7E30" w:rsidRDefault="0009609C" w:rsidP="009B094E">
            <w:pPr>
              <w:rPr>
                <w:rFonts w:eastAsiaTheme="minorEastAsia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RL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.[L]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+[L]</m:t>
                    </m:r>
                  </m:den>
                </m:f>
              </m:oMath>
            </m:oMathPara>
          </w:p>
        </w:tc>
        <w:tc>
          <w:tcPr>
            <w:tcW w:w="3668" w:type="dxa"/>
          </w:tcPr>
          <w:p w14:paraId="7DA2D099" w14:textId="0F896709" w:rsidR="001A7E30" w:rsidRDefault="0009609C" w:rsidP="009B094E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[RL]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[R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]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[L]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+[L]</m:t>
                    </m:r>
                  </m:den>
                </m:f>
              </m:oMath>
            </m:oMathPara>
          </w:p>
        </w:tc>
      </w:tr>
    </w:tbl>
    <w:p w14:paraId="7EEC0983" w14:textId="6E9F0475" w:rsidR="001A7E30" w:rsidRDefault="009277D1" w:rsidP="001A7E30">
      <w:pPr>
        <w:rPr>
          <w:rFonts w:eastAsiaTheme="minorEastAsia"/>
        </w:rPr>
      </w:pPr>
      <w:r w:rsidRPr="00BF70CF">
        <w:rPr>
          <w:rFonts w:eastAsiaTheme="minorEastAsia"/>
          <w:u w:val="single"/>
        </w:rPr>
        <w:t>Rmq :</w:t>
      </w:r>
      <w:r>
        <w:rPr>
          <w:rFonts w:eastAsiaTheme="minorEastAsia"/>
        </w:rPr>
        <w:t xml:space="preserve"> lorsque </w:t>
      </w:r>
      <m:oMath>
        <m:r>
          <w:rPr>
            <w:rFonts w:ascii="Cambria Math" w:eastAsiaTheme="minorEastAsia" w:hAnsi="Cambria Math"/>
          </w:rPr>
          <m:t>RL=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 on 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r>
          <w:rPr>
            <w:rFonts w:ascii="Cambria Math" w:eastAsiaTheme="minorEastAsia" w:hAnsi="Cambria Math"/>
          </w:rPr>
          <m:t>=L</m:t>
        </m:r>
      </m:oMath>
      <w:r>
        <w:rPr>
          <w:rFonts w:eastAsiaTheme="minorEastAsia"/>
        </w:rPr>
        <w:t>.</w:t>
      </w:r>
    </w:p>
    <w:p w14:paraId="02B21AD6" w14:textId="741D22F9" w:rsidR="009277D1" w:rsidRDefault="009277D1" w:rsidP="009277D1">
      <w:pPr>
        <w:pStyle w:val="Titre3"/>
        <w:rPr>
          <w:rFonts w:eastAsiaTheme="minorEastAsia"/>
        </w:rPr>
      </w:pPr>
      <w:r>
        <w:rPr>
          <w:rFonts w:eastAsiaTheme="minorEastAsia"/>
        </w:rPr>
        <w:t>Linéarisation</w:t>
      </w:r>
    </w:p>
    <w:p w14:paraId="0864BE88" w14:textId="77777777" w:rsidR="009B38D3" w:rsidRDefault="009B38D3" w:rsidP="009B38D3">
      <w:pPr>
        <w:rPr>
          <w:rFonts w:eastAsiaTheme="minorEastAsia"/>
        </w:rPr>
      </w:pPr>
      <w:r>
        <w:t xml:space="preserve">On utilise la linéarisation pour déterminer : </w:t>
      </w:r>
    </w:p>
    <w:p w14:paraId="7DEF77B3" w14:textId="6170670A" w:rsidR="009B38D3" w:rsidRPr="009B38D3" w:rsidRDefault="0009609C" w:rsidP="009B38D3">
      <w:pPr>
        <w:pStyle w:val="Paragraphedeliste"/>
        <w:numPr>
          <w:ilvl w:val="0"/>
          <w:numId w:val="28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</m:oMath>
      <w:r w:rsidR="009B38D3" w:rsidRPr="009B38D3">
        <w:rPr>
          <w:rFonts w:eastAsiaTheme="minorEastAsia"/>
        </w:rPr>
        <w:t xml:space="preserve"> </w:t>
      </w:r>
      <w:proofErr w:type="gramStart"/>
      <w:r w:rsidR="009B38D3" w:rsidRPr="009B38D3">
        <w:rPr>
          <w:rFonts w:eastAsiaTheme="minorEastAsia"/>
        </w:rPr>
        <w:t>nombre</w:t>
      </w:r>
      <w:proofErr w:type="gramEnd"/>
      <w:r w:rsidR="009B38D3" w:rsidRPr="009B38D3">
        <w:rPr>
          <w:rFonts w:eastAsiaTheme="minorEastAsia"/>
        </w:rPr>
        <w:t xml:space="preserve"> de sites récepteurs total ou capacité fixatrice.</w:t>
      </w:r>
    </w:p>
    <w:p w14:paraId="66D0096F" w14:textId="77777777" w:rsidR="009B38D3" w:rsidRDefault="0009609C" w:rsidP="009B38D3">
      <w:pPr>
        <w:pStyle w:val="Paragraphedeliste"/>
        <w:numPr>
          <w:ilvl w:val="0"/>
          <w:numId w:val="27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9B38D3" w:rsidRPr="009277D1">
        <w:rPr>
          <w:rFonts w:eastAsiaTheme="minorEastAsia"/>
        </w:rPr>
        <w:t xml:space="preserve"> </w:t>
      </w:r>
      <w:proofErr w:type="gramStart"/>
      <w:r w:rsidR="009B38D3" w:rsidRPr="009277D1">
        <w:rPr>
          <w:rFonts w:eastAsiaTheme="minorEastAsia"/>
        </w:rPr>
        <w:t>concentration</w:t>
      </w:r>
      <w:proofErr w:type="gramEnd"/>
      <w:r w:rsidR="009B38D3" w:rsidRPr="009277D1">
        <w:rPr>
          <w:rFonts w:eastAsiaTheme="minorEastAsia"/>
        </w:rPr>
        <w:t xml:space="preserve"> de récepteurs (en Mol).</w:t>
      </w:r>
    </w:p>
    <w:p w14:paraId="5606C775" w14:textId="77777777" w:rsidR="009B38D3" w:rsidRPr="009277D1" w:rsidRDefault="009B38D3" w:rsidP="009B38D3">
      <w:pPr>
        <w:pStyle w:val="Paragraphedeliste"/>
        <w:numPr>
          <w:ilvl w:val="0"/>
          <w:numId w:val="27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max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[R]</m:t>
            </m:r>
          </m:den>
        </m:f>
      </m:oMath>
      <w:r w:rsidRPr="009277D1">
        <w:rPr>
          <w:rFonts w:eastAsiaTheme="minorEastAsia"/>
        </w:rPr>
        <w:t xml:space="preserve">  </w:t>
      </w:r>
      <w:proofErr w:type="gramStart"/>
      <w:r w:rsidRPr="009277D1">
        <w:rPr>
          <w:rFonts w:eastAsiaTheme="minorEastAsia"/>
        </w:rPr>
        <w:t>nombre</w:t>
      </w:r>
      <w:proofErr w:type="gramEnd"/>
      <w:r w:rsidRPr="009277D1">
        <w:rPr>
          <w:rFonts w:eastAsiaTheme="minorEastAsia"/>
        </w:rPr>
        <w:t xml:space="preserve"> de sites par mol.</w:t>
      </w:r>
    </w:p>
    <w:p w14:paraId="45D13668" w14:textId="09D21246" w:rsidR="00925F88" w:rsidRPr="00A42323" w:rsidRDefault="009B38D3" w:rsidP="009B094E">
      <w:pPr>
        <w:rPr>
          <w:rFonts w:eastAsiaTheme="minorEastAsia"/>
          <w:lang w:val="en-GB"/>
        </w:rPr>
      </w:pPr>
      <w:r w:rsidRPr="009B38D3">
        <w:rPr>
          <w:rFonts w:eastAsiaTheme="minorEastAsia"/>
          <w:lang w:val="en-GB"/>
        </w:rPr>
        <w:lastRenderedPageBreak/>
        <w:t xml:space="preserve">On </w:t>
      </w:r>
      <w:proofErr w:type="gramStart"/>
      <w:r w:rsidRPr="009B38D3">
        <w:rPr>
          <w:rFonts w:eastAsiaTheme="minorEastAsia"/>
          <w:lang w:val="en-GB"/>
        </w:rPr>
        <w:t>a :</w:t>
      </w:r>
      <w:proofErr w:type="gramEnd"/>
      <w:r w:rsidRPr="009B38D3">
        <w:rPr>
          <w:rFonts w:eastAsiaTheme="minorEastAsia"/>
          <w:lang w:val="en-GB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en-GB"/>
              </w:rPr>
              <m:t>[</m:t>
            </m:r>
            <m:r>
              <w:rPr>
                <w:rFonts w:ascii="Cambria Math" w:eastAsiaTheme="minorEastAsia" w:hAnsi="Cambria Math"/>
              </w:rPr>
              <m:t>RL</m:t>
            </m:r>
            <m:r>
              <w:rPr>
                <w:rFonts w:ascii="Cambria Math" w:eastAsiaTheme="minorEastAsia" w:hAnsi="Cambria Math"/>
                <w:lang w:val="en-GB"/>
              </w:rPr>
              <m:t>]</m:t>
            </m:r>
          </m:num>
          <m:den>
            <m:r>
              <w:rPr>
                <w:rFonts w:ascii="Cambria Math" w:eastAsiaTheme="minorEastAsia" w:hAnsi="Cambria Math"/>
                <w:lang w:val="en-GB"/>
              </w:rPr>
              <m:t>[</m:t>
            </m:r>
            <m:r>
              <w:rPr>
                <w:rFonts w:ascii="Cambria Math" w:eastAsiaTheme="minorEastAsia" w:hAnsi="Cambria Math"/>
              </w:rPr>
              <m:t>L</m:t>
            </m:r>
            <m:r>
              <w:rPr>
                <w:rFonts w:ascii="Cambria Math" w:eastAsiaTheme="minorEastAsia" w:hAnsi="Cambria Math"/>
                <w:lang w:val="en-GB"/>
              </w:rPr>
              <m:t>]</m:t>
            </m:r>
          </m:den>
        </m:f>
        <m:r>
          <w:rPr>
            <w:rFonts w:ascii="Cambria Math" w:eastAsiaTheme="minorEastAsia" w:hAnsi="Cambria Math"/>
            <w:lang w:val="en-GB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en-GB"/>
              </w:rPr>
              <m:t>-1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</m:t>
                </m:r>
              </m:sub>
            </m:sSub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RL</m:t>
            </m:r>
          </m:e>
        </m:d>
        <m:r>
          <w:rPr>
            <w:rFonts w:ascii="Cambria Math" w:eastAsiaTheme="minorEastAsia" w:hAnsi="Cambria Math"/>
            <w:lang w:val="en-GB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</m:t>
                </m:r>
              </m:sub>
            </m:sSub>
          </m:den>
        </m:f>
      </m:oMath>
    </w:p>
    <w:p w14:paraId="6D7B103C" w14:textId="2352AAA0" w:rsidR="00774FFF" w:rsidRPr="00774FFF" w:rsidRDefault="00774FFF" w:rsidP="009B094E">
      <w:pPr>
        <w:rPr>
          <w:rFonts w:eastAsiaTheme="minorEastAsia"/>
        </w:rPr>
      </w:pPr>
      <w:r>
        <w:rPr>
          <w:rFonts w:eastAsiaTheme="minorEastAsia"/>
        </w:rPr>
        <w:t>En ordonné</w:t>
      </w:r>
      <w:r w:rsidR="00BF70CF">
        <w:rPr>
          <w:rFonts w:eastAsiaTheme="minorEastAsia"/>
        </w:rPr>
        <w:t xml:space="preserve">, </w:t>
      </w:r>
      <w:r>
        <w:rPr>
          <w:rFonts w:eastAsiaTheme="minorEastAsia"/>
        </w:rPr>
        <w:t>on a la quantité de ligand lié</w:t>
      </w:r>
      <w:r w:rsidR="00BF70CF">
        <w:rPr>
          <w:rFonts w:eastAsiaTheme="minorEastAsia"/>
        </w:rPr>
        <w:t>e</w:t>
      </w:r>
      <w:r>
        <w:rPr>
          <w:rFonts w:eastAsiaTheme="minorEastAsia"/>
        </w:rPr>
        <w:t xml:space="preserve"> par rapport à celle libre.</w:t>
      </w:r>
    </w:p>
    <w:p w14:paraId="13353E6B" w14:textId="0ADF6994" w:rsidR="00411D2A" w:rsidRDefault="009277D1" w:rsidP="009B094E">
      <w:pPr>
        <w:rPr>
          <w:rFonts w:eastAsiaTheme="minorEastAsia"/>
        </w:rPr>
      </w:pPr>
      <w:r>
        <w:rPr>
          <w:rFonts w:eastAsiaTheme="minorEastAsia"/>
        </w:rPr>
        <w:t>Les</w:t>
      </w:r>
      <w:r w:rsidR="00411D2A">
        <w:rPr>
          <w:rFonts w:eastAsiaTheme="minorEastAsia"/>
        </w:rPr>
        <w:t xml:space="preserve"> point</w:t>
      </w:r>
      <w:r>
        <w:rPr>
          <w:rFonts w:eastAsiaTheme="minorEastAsia"/>
        </w:rPr>
        <w:t>s</w:t>
      </w:r>
      <w:r w:rsidR="00411D2A">
        <w:rPr>
          <w:rFonts w:eastAsiaTheme="minorEastAsia"/>
        </w:rPr>
        <w:t xml:space="preserve"> remarquabl</w:t>
      </w:r>
      <w:r>
        <w:rPr>
          <w:rFonts w:eastAsiaTheme="minorEastAsia"/>
        </w:rPr>
        <w:t>es</w:t>
      </w:r>
      <w:r w:rsidR="00411D2A">
        <w:rPr>
          <w:rFonts w:eastAsiaTheme="minorEastAsia"/>
        </w:rPr>
        <w:t> </w:t>
      </w:r>
      <w:r>
        <w:rPr>
          <w:rFonts w:eastAsiaTheme="minorEastAsia"/>
        </w:rPr>
        <w:t xml:space="preserve">obtenus sont </w:t>
      </w:r>
      <w:r w:rsidR="00411D2A">
        <w:rPr>
          <w:rFonts w:eastAsiaTheme="minorEastAsia"/>
        </w:rPr>
        <w:t>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2283"/>
        <w:gridCol w:w="2486"/>
        <w:gridCol w:w="2566"/>
      </w:tblGrid>
      <w:tr w:rsidR="00411D2A" w:rsidRPr="00411D2A" w14:paraId="6BF387BD" w14:textId="77777777" w:rsidTr="009277D1">
        <w:trPr>
          <w:trHeight w:val="623"/>
        </w:trPr>
        <w:tc>
          <w:tcPr>
            <w:tcW w:w="2283" w:type="dxa"/>
          </w:tcPr>
          <w:p w14:paraId="00509E00" w14:textId="151F7A6D" w:rsidR="00E545EA" w:rsidRDefault="00E545EA" w:rsidP="009B094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Pour </w:t>
            </w:r>
            <m:oMath>
              <m:r>
                <w:rPr>
                  <w:rFonts w:ascii="Cambria Math" w:eastAsiaTheme="minorEastAsia" w:hAnsi="Cambria Math"/>
                </w:rPr>
                <m:t>[RL]=0</m:t>
              </m:r>
            </m:oMath>
            <w:r>
              <w:rPr>
                <w:rFonts w:eastAsiaTheme="minorEastAsia"/>
              </w:rPr>
              <w:t xml:space="preserve"> on a </w:t>
            </w:r>
          </w:p>
          <w:p w14:paraId="7D1DB33E" w14:textId="0786B585" w:rsidR="00411D2A" w:rsidRDefault="0009609C" w:rsidP="009B094E">
            <w:pPr>
              <w:rPr>
                <w:rFonts w:eastAsia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y=B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max</m:t>
                    </m:r>
                  </m:sub>
                </m:sSub>
              </m:oMath>
            </m:oMathPara>
          </w:p>
        </w:tc>
        <w:tc>
          <w:tcPr>
            <w:tcW w:w="2486" w:type="dxa"/>
          </w:tcPr>
          <w:p w14:paraId="72B05C34" w14:textId="52C2254C" w:rsidR="00411D2A" w:rsidRDefault="00411D2A" w:rsidP="009B094E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566" w:type="dxa"/>
          </w:tcPr>
          <w:p w14:paraId="72CE35D1" w14:textId="31C074AF" w:rsidR="00E545EA" w:rsidRPr="00411D2A" w:rsidRDefault="00411D2A" w:rsidP="00E545E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Pour </w:t>
            </w:r>
            <m:oMath>
              <m:r>
                <w:rPr>
                  <w:rFonts w:ascii="Cambria Math" w:eastAsiaTheme="minorEastAsia" w:hAnsi="Cambria Math"/>
                </w:rPr>
                <m:t xml:space="preserve"> y=0</m:t>
              </m:r>
            </m:oMath>
            <w:r>
              <w:rPr>
                <w:rFonts w:eastAsiaTheme="minorEastAsia"/>
              </w:rPr>
              <w:t xml:space="preserve"> on a </w:t>
            </w:r>
            <m:oMath>
              <m:r>
                <w:rPr>
                  <w:rFonts w:ascii="Cambria Math" w:eastAsiaTheme="minorEastAsia" w:hAnsi="Cambria Math"/>
                </w:rPr>
                <m:t>[RL]=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oMath>
          </w:p>
        </w:tc>
      </w:tr>
    </w:tbl>
    <w:p w14:paraId="36E0EE8D" w14:textId="17369742" w:rsidR="00411D2A" w:rsidRDefault="00E545EA" w:rsidP="009B094E">
      <w:pPr>
        <w:rPr>
          <w:rFonts w:eastAsiaTheme="minorEastAsia"/>
        </w:rPr>
      </w:pPr>
      <w:r>
        <w:rPr>
          <w:rFonts w:eastAsiaTheme="minorEastAsia"/>
        </w:rPr>
        <w:t xml:space="preserve">Attention : on ne s’intéresse </w:t>
      </w:r>
      <w:r w:rsidR="00BF70CF">
        <w:rPr>
          <w:rFonts w:eastAsiaTheme="minorEastAsia"/>
        </w:rPr>
        <w:t>qu’</w:t>
      </w:r>
      <w:r>
        <w:rPr>
          <w:rFonts w:eastAsiaTheme="minorEastAsia"/>
        </w:rPr>
        <w:t>au ligan</w:t>
      </w:r>
      <w:r w:rsidR="00774FFF">
        <w:rPr>
          <w:rFonts w:eastAsiaTheme="minorEastAsia"/>
        </w:rPr>
        <w:t>d</w:t>
      </w:r>
      <w:r w:rsidR="002D17AA">
        <w:rPr>
          <w:rFonts w:eastAsiaTheme="minorEastAsia"/>
        </w:rPr>
        <w:t> : lié</w:t>
      </w:r>
      <w:r w:rsidR="00D51475">
        <w:rPr>
          <w:rFonts w:eastAsiaTheme="minorEastAsia"/>
        </w:rPr>
        <w:t xml:space="preserve"> et libre</w:t>
      </w:r>
      <w:r>
        <w:rPr>
          <w:rFonts w:eastAsiaTheme="minorEastAsia"/>
        </w:rPr>
        <w:t>.</w:t>
      </w:r>
    </w:p>
    <w:p w14:paraId="7C8DD1C8" w14:textId="3B96AB05" w:rsidR="00FA17EF" w:rsidRDefault="00FA17EF" w:rsidP="009277D1">
      <w:pPr>
        <w:rPr>
          <w:rFonts w:eastAsiaTheme="minorEastAsia"/>
        </w:rPr>
      </w:pPr>
      <w:r w:rsidRPr="009277D1">
        <w:rPr>
          <w:rFonts w:eastAsiaTheme="minorEastAsia"/>
          <w:color w:val="FF0000"/>
        </w:rPr>
        <w:t xml:space="preserve">Dialyse </w:t>
      </w:r>
      <w:r>
        <w:rPr>
          <w:rFonts w:eastAsiaTheme="minorEastAsia"/>
        </w:rPr>
        <w:t>méthode de purification pour isoler certain</w:t>
      </w:r>
      <w:r w:rsidR="00BF70CF">
        <w:rPr>
          <w:rFonts w:eastAsiaTheme="minorEastAsia"/>
        </w:rPr>
        <w:t>s</w:t>
      </w:r>
      <w:r>
        <w:rPr>
          <w:rFonts w:eastAsiaTheme="minorEastAsia"/>
        </w:rPr>
        <w:t xml:space="preserve"> composé</w:t>
      </w:r>
      <w:r w:rsidR="00BF70CF">
        <w:rPr>
          <w:rFonts w:eastAsiaTheme="minorEastAsia"/>
        </w:rPr>
        <w:t>s</w:t>
      </w:r>
      <w:r>
        <w:rPr>
          <w:rFonts w:eastAsiaTheme="minorEastAsia"/>
        </w:rPr>
        <w:t xml:space="preserve"> en fonction de leur taille. On </w:t>
      </w:r>
      <w:r w:rsidR="00BF70CF">
        <w:rPr>
          <w:rFonts w:eastAsiaTheme="minorEastAsia"/>
        </w:rPr>
        <w:t xml:space="preserve">les </w:t>
      </w:r>
      <w:r>
        <w:rPr>
          <w:rFonts w:eastAsiaTheme="minorEastAsia"/>
        </w:rPr>
        <w:t xml:space="preserve">sépare </w:t>
      </w:r>
      <w:r w:rsidR="00BF70CF">
        <w:rPr>
          <w:rFonts w:eastAsiaTheme="minorEastAsia"/>
        </w:rPr>
        <w:t>grâce</w:t>
      </w:r>
      <w:r>
        <w:rPr>
          <w:rFonts w:eastAsiaTheme="minorEastAsia"/>
        </w:rPr>
        <w:t xml:space="preserve"> </w:t>
      </w:r>
      <w:r w:rsidR="00BF70CF">
        <w:rPr>
          <w:rFonts w:eastAsiaTheme="minorEastAsia"/>
        </w:rPr>
        <w:t xml:space="preserve">à </w:t>
      </w:r>
      <w:r>
        <w:rPr>
          <w:rFonts w:eastAsiaTheme="minorEastAsia"/>
        </w:rPr>
        <w:t xml:space="preserve">une membrane </w:t>
      </w:r>
      <w:r w:rsidR="00BF70CF">
        <w:rPr>
          <w:rFonts w:eastAsiaTheme="minorEastAsia"/>
        </w:rPr>
        <w:t xml:space="preserve">qui ne </w:t>
      </w:r>
      <w:r>
        <w:rPr>
          <w:rFonts w:eastAsiaTheme="minorEastAsia"/>
        </w:rPr>
        <w:t>laisse passer</w:t>
      </w:r>
      <w:r w:rsidR="00E263E2">
        <w:rPr>
          <w:rFonts w:eastAsiaTheme="minorEastAsia"/>
        </w:rPr>
        <w:t xml:space="preserve"> que</w:t>
      </w:r>
      <w:r>
        <w:rPr>
          <w:rFonts w:eastAsiaTheme="minorEastAsia"/>
        </w:rPr>
        <w:t xml:space="preserve"> les molécules inférieur</w:t>
      </w:r>
      <w:r w:rsidR="007D0BA1">
        <w:rPr>
          <w:rFonts w:eastAsiaTheme="minorEastAsia"/>
        </w:rPr>
        <w:t>e</w:t>
      </w:r>
      <w:r>
        <w:rPr>
          <w:rFonts w:eastAsiaTheme="minorEastAsia"/>
        </w:rPr>
        <w:t xml:space="preserve">s </w:t>
      </w:r>
      <w:r w:rsidR="00C26BF5">
        <w:rPr>
          <w:rFonts w:eastAsiaTheme="minorEastAsia"/>
        </w:rPr>
        <w:t>à</w:t>
      </w:r>
      <w:r>
        <w:rPr>
          <w:rFonts w:eastAsiaTheme="minorEastAsia"/>
        </w:rPr>
        <w:t xml:space="preserve"> </w:t>
      </w:r>
      <w:r w:rsidR="00BF70CF">
        <w:rPr>
          <w:rFonts w:eastAsiaTheme="minorEastAsia"/>
        </w:rPr>
        <w:t>une certaine</w:t>
      </w:r>
      <w:r>
        <w:rPr>
          <w:rFonts w:eastAsiaTheme="minorEastAsia"/>
        </w:rPr>
        <w:t xml:space="preserve"> taille.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7335"/>
      </w:tblGrid>
      <w:tr w:rsidR="009277D1" w14:paraId="4E83B7B3" w14:textId="77777777" w:rsidTr="009B38D3">
        <w:tc>
          <w:tcPr>
            <w:tcW w:w="7335" w:type="dxa"/>
          </w:tcPr>
          <w:p w14:paraId="1A23125A" w14:textId="5A2FDCAD" w:rsidR="009277D1" w:rsidRDefault="009277D1" w:rsidP="009277D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Point méthode : dans le TD, on utilise les deux points les plus éloignés pour déterminer les coefficients de la droite.</w:t>
            </w:r>
          </w:p>
        </w:tc>
      </w:tr>
    </w:tbl>
    <w:p w14:paraId="65ECA098" w14:textId="18B94D6F" w:rsidR="00C40AF4" w:rsidRDefault="006B7464" w:rsidP="005B700C">
      <w:pPr>
        <w:pStyle w:val="Titre2"/>
        <w:rPr>
          <w:rFonts w:eastAsiaTheme="minorEastAsia"/>
        </w:rPr>
      </w:pPr>
      <w:r>
        <w:rPr>
          <w:rFonts w:eastAsiaTheme="minorEastAsia"/>
        </w:rPr>
        <w:t>Protocole</w:t>
      </w:r>
      <w:r w:rsidR="00C40AF4">
        <w:rPr>
          <w:rFonts w:eastAsiaTheme="minorEastAsia"/>
        </w:rPr>
        <w:t xml:space="preserve"> expérimental</w:t>
      </w:r>
    </w:p>
    <w:p w14:paraId="4CD90F66" w14:textId="1C8D77EA" w:rsidR="00C40AF4" w:rsidRDefault="003B7162" w:rsidP="00F22283">
      <w:pPr>
        <w:rPr>
          <w:rFonts w:eastAsiaTheme="minorEastAsia"/>
        </w:rPr>
      </w:pPr>
      <w:r>
        <w:t>L</w:t>
      </w:r>
      <w:r w:rsidR="006B7464">
        <w:t>a quantité de ligand</w:t>
      </w:r>
      <w:r w:rsidR="00BF70CF">
        <w:t>s</w:t>
      </w:r>
      <w:r w:rsidR="006B7464">
        <w:t xml:space="preserve"> et de récepteurs</w:t>
      </w:r>
      <w:r>
        <w:t xml:space="preserve"> initial</w:t>
      </w:r>
      <w:r w:rsidR="00BF70CF">
        <w:t>e</w:t>
      </w:r>
      <w:r>
        <w:t xml:space="preserve"> est connue.</w:t>
      </w:r>
      <w:r w:rsidR="006B7464">
        <w:t xml:space="preserve"> </w:t>
      </w:r>
      <w:r>
        <w:t xml:space="preserve">Pour mesurer les nombres l’association des deux composées, on fait interagir les deux composés en solution. Pour connaitre la quantité de </w:t>
      </w:r>
      <w:r w:rsidR="00F22283">
        <w:t>ligands récepteurs, o</w:t>
      </w:r>
      <w:r>
        <w:rPr>
          <w:rFonts w:eastAsiaTheme="minorEastAsia"/>
        </w:rPr>
        <w:t xml:space="preserve">n utilise un filtre qui </w:t>
      </w:r>
      <w:r w:rsidR="00F22283">
        <w:rPr>
          <w:rFonts w:eastAsiaTheme="minorEastAsia"/>
        </w:rPr>
        <w:t>es imperméable au</w:t>
      </w:r>
      <w:r>
        <w:rPr>
          <w:rFonts w:eastAsiaTheme="minorEastAsia"/>
        </w:rPr>
        <w:t xml:space="preserve"> récepteur </w:t>
      </w:r>
      <w:r w:rsidR="00F22283">
        <w:rPr>
          <w:rFonts w:eastAsiaTheme="minorEastAsia"/>
        </w:rPr>
        <w:t>et perméable au ligand non lié. On peut</w:t>
      </w:r>
      <w:r w:rsidR="00BF70CF">
        <w:rPr>
          <w:rFonts w:eastAsiaTheme="minorEastAsia"/>
        </w:rPr>
        <w:t xml:space="preserve"> alors</w:t>
      </w:r>
      <w:r w:rsidR="00F22283">
        <w:rPr>
          <w:rFonts w:eastAsiaTheme="minorEastAsia"/>
        </w:rPr>
        <w:t xml:space="preserve"> mesurer la concentration de ce dernier et déduire les autres.</w:t>
      </w:r>
    </w:p>
    <w:p w14:paraId="33DBD08F" w14:textId="7D624376" w:rsidR="006B7464" w:rsidRDefault="006B7464" w:rsidP="006B7464">
      <w:pPr>
        <w:pStyle w:val="Titre3"/>
        <w:rPr>
          <w:rFonts w:eastAsiaTheme="minorEastAsia"/>
        </w:rPr>
      </w:pPr>
      <w:r>
        <w:rPr>
          <w:rFonts w:eastAsiaTheme="minorEastAsia"/>
        </w:rPr>
        <w:t>Ligand non spécifique</w:t>
      </w:r>
    </w:p>
    <w:p w14:paraId="501F51F8" w14:textId="1DD9AE2A" w:rsidR="00C40AF4" w:rsidRDefault="005B700C" w:rsidP="006B7464">
      <w:pPr>
        <w:rPr>
          <w:rFonts w:eastAsiaTheme="minorEastAsia"/>
        </w:rPr>
      </w:pPr>
      <w:r>
        <w:rPr>
          <w:rFonts w:eastAsiaTheme="minorEastAsia"/>
        </w:rPr>
        <w:t>Certains ligan</w:t>
      </w:r>
      <w:r w:rsidR="003470FC">
        <w:rPr>
          <w:rFonts w:eastAsiaTheme="minorEastAsia"/>
        </w:rPr>
        <w:t>d</w:t>
      </w:r>
      <w:r>
        <w:rPr>
          <w:rFonts w:eastAsiaTheme="minorEastAsia"/>
        </w:rPr>
        <w:t xml:space="preserve">s ne sont pas spécifiques c’est-à-dire qu’en plus d’être </w:t>
      </w:r>
      <w:r w:rsidR="003470FC">
        <w:rPr>
          <w:rFonts w:eastAsiaTheme="minorEastAsia"/>
        </w:rPr>
        <w:t xml:space="preserve">d’interagir avec les parties spécifiques du récepteur, ils sont capables de se lier avec des régions non spécifiques du récepteur ou d’autres molécules. </w:t>
      </w:r>
      <w:r w:rsidR="00C40AF4">
        <w:rPr>
          <w:rFonts w:eastAsiaTheme="minorEastAsia"/>
        </w:rPr>
        <w:t>Dans le cas</w:t>
      </w:r>
      <w:r w:rsidR="003470FC">
        <w:rPr>
          <w:rFonts w:eastAsiaTheme="minorEastAsia"/>
        </w:rPr>
        <w:t xml:space="preserve">, il faut réaliser une seconde expérience </w:t>
      </w:r>
      <w:r w:rsidR="00C40AF4">
        <w:rPr>
          <w:rFonts w:eastAsiaTheme="minorEastAsia"/>
        </w:rPr>
        <w:t>pour connaitre le nombre de liants non spécifique</w:t>
      </w:r>
      <w:r>
        <w:rPr>
          <w:rFonts w:eastAsiaTheme="minorEastAsia"/>
        </w:rPr>
        <w:t>s</w:t>
      </w:r>
      <w:r w:rsidR="00C40AF4">
        <w:rPr>
          <w:rFonts w:eastAsiaTheme="minorEastAsia"/>
        </w:rPr>
        <w:t>.</w:t>
      </w:r>
    </w:p>
    <w:p w14:paraId="3286C4E4" w14:textId="1E2BBE34" w:rsidR="00C40AF4" w:rsidRDefault="003470FC" w:rsidP="006B7464">
      <w:pPr>
        <w:rPr>
          <w:rFonts w:eastAsiaTheme="minorEastAsia"/>
        </w:rPr>
      </w:pPr>
      <w:r>
        <w:rPr>
          <w:rFonts w:eastAsiaTheme="minorEastAsia"/>
        </w:rPr>
        <w:t>O</w:t>
      </w:r>
      <w:r w:rsidR="00C40AF4">
        <w:rPr>
          <w:rFonts w:eastAsiaTheme="minorEastAsia"/>
        </w:rPr>
        <w:t xml:space="preserve">n </w:t>
      </w:r>
      <w:r>
        <w:rPr>
          <w:rFonts w:eastAsiaTheme="minorEastAsia"/>
        </w:rPr>
        <w:t xml:space="preserve">reprend la solution de départ et </w:t>
      </w:r>
      <w:r w:rsidR="00BF70CF">
        <w:rPr>
          <w:rFonts w:eastAsiaTheme="minorEastAsia"/>
        </w:rPr>
        <w:t xml:space="preserve">on </w:t>
      </w:r>
      <w:r>
        <w:rPr>
          <w:rFonts w:eastAsiaTheme="minorEastAsia"/>
        </w:rPr>
        <w:t>la sature en ligand</w:t>
      </w:r>
      <w:r w:rsidR="00BF70CF">
        <w:rPr>
          <w:rFonts w:eastAsiaTheme="minorEastAsia"/>
        </w:rPr>
        <w:t>s</w:t>
      </w:r>
      <w:r>
        <w:rPr>
          <w:rFonts w:eastAsiaTheme="minorEastAsia"/>
        </w:rPr>
        <w:t xml:space="preserve"> non marqué</w:t>
      </w:r>
      <w:r w:rsidR="00BF70CF">
        <w:rPr>
          <w:rFonts w:eastAsiaTheme="minorEastAsia"/>
        </w:rPr>
        <w:t>s</w:t>
      </w:r>
      <w:r>
        <w:rPr>
          <w:rFonts w:eastAsiaTheme="minorEastAsia"/>
        </w:rPr>
        <w:t>.</w:t>
      </w:r>
      <w:r w:rsidR="00C40AF4">
        <w:rPr>
          <w:rFonts w:eastAsiaTheme="minorEastAsia"/>
        </w:rPr>
        <w:t xml:space="preserve"> Le liant</w:t>
      </w:r>
      <w:r w:rsidR="006B7464">
        <w:rPr>
          <w:rFonts w:eastAsiaTheme="minorEastAsia"/>
        </w:rPr>
        <w:t xml:space="preserve"> </w:t>
      </w:r>
      <w:r w:rsidR="00C40AF4">
        <w:rPr>
          <w:rFonts w:eastAsiaTheme="minorEastAsia"/>
        </w:rPr>
        <w:t>marqué</w:t>
      </w:r>
      <w:r w:rsidR="006B7464">
        <w:rPr>
          <w:rFonts w:eastAsiaTheme="minorEastAsia"/>
        </w:rPr>
        <w:t xml:space="preserve"> spécifiquement lié </w:t>
      </w:r>
      <w:r>
        <w:rPr>
          <w:rFonts w:eastAsiaTheme="minorEastAsia"/>
        </w:rPr>
        <w:t>est</w:t>
      </w:r>
      <w:r w:rsidR="00C40AF4">
        <w:rPr>
          <w:rFonts w:eastAsiaTheme="minorEastAsia"/>
        </w:rPr>
        <w:t xml:space="preserve"> </w:t>
      </w:r>
      <w:r w:rsidR="006B7464">
        <w:rPr>
          <w:rFonts w:eastAsiaTheme="minorEastAsia"/>
        </w:rPr>
        <w:t xml:space="preserve">alors </w:t>
      </w:r>
      <w:r w:rsidR="00C40AF4">
        <w:rPr>
          <w:rFonts w:eastAsiaTheme="minorEastAsia"/>
        </w:rPr>
        <w:t xml:space="preserve">remplacé </w:t>
      </w:r>
      <w:r w:rsidR="006B7464">
        <w:rPr>
          <w:rFonts w:eastAsiaTheme="minorEastAsia"/>
        </w:rPr>
        <w:t xml:space="preserve">par </w:t>
      </w:r>
      <w:r w:rsidR="00BF70CF">
        <w:rPr>
          <w:rFonts w:eastAsiaTheme="minorEastAsia"/>
        </w:rPr>
        <w:t>dû</w:t>
      </w:r>
      <w:r w:rsidR="00C40AF4">
        <w:rPr>
          <w:rFonts w:eastAsiaTheme="minorEastAsia"/>
        </w:rPr>
        <w:t xml:space="preserve"> </w:t>
      </w:r>
      <w:r w:rsidR="004E6AFD">
        <w:rPr>
          <w:rFonts w:eastAsiaTheme="minorEastAsia"/>
        </w:rPr>
        <w:t xml:space="preserve">non </w:t>
      </w:r>
      <w:r w:rsidR="004E6AFD">
        <w:rPr>
          <w:rFonts w:eastAsiaTheme="minorEastAsia"/>
        </w:rPr>
        <w:t>marqués</w:t>
      </w:r>
      <w:r w:rsidR="006B7464">
        <w:rPr>
          <w:rFonts w:eastAsiaTheme="minorEastAsia"/>
        </w:rPr>
        <w:t xml:space="preserve"> mais la quantité de</w:t>
      </w:r>
      <w:r w:rsidR="004E6AFD">
        <w:rPr>
          <w:rFonts w:eastAsiaTheme="minorEastAsia"/>
        </w:rPr>
        <w:t xml:space="preserve"> liant </w:t>
      </w:r>
      <w:r w:rsidR="006B7464">
        <w:rPr>
          <w:rFonts w:eastAsiaTheme="minorEastAsia"/>
        </w:rPr>
        <w:t xml:space="preserve">marqué </w:t>
      </w:r>
      <w:r w:rsidR="004E6AFD">
        <w:rPr>
          <w:rFonts w:eastAsiaTheme="minorEastAsia"/>
        </w:rPr>
        <w:t xml:space="preserve">non spécifique </w:t>
      </w:r>
      <w:r w:rsidR="006B7464">
        <w:rPr>
          <w:rFonts w:eastAsiaTheme="minorEastAsia"/>
        </w:rPr>
        <w:t>n’est pas modifiée</w:t>
      </w:r>
      <w:r w:rsidR="004E6AFD">
        <w:rPr>
          <w:rFonts w:eastAsiaTheme="minorEastAsia"/>
        </w:rPr>
        <w:t>.</w:t>
      </w:r>
    </w:p>
    <w:p w14:paraId="58D254A8" w14:textId="2DDB0A77" w:rsidR="004E6AFD" w:rsidRDefault="004E6AFD" w:rsidP="006B7464">
      <w:pPr>
        <w:rPr>
          <w:rFonts w:eastAsiaTheme="minorEastAsia"/>
        </w:rPr>
      </w:pPr>
      <w:r>
        <w:rPr>
          <w:rFonts w:eastAsiaTheme="minorEastAsia"/>
        </w:rPr>
        <w:t>Expérience A :</w:t>
      </w:r>
      <w:r w:rsidR="006B7464">
        <w:rPr>
          <w:rFonts w:eastAsiaTheme="minorEastAsia"/>
        </w:rPr>
        <w:t xml:space="preserve"> </w:t>
      </w:r>
      <w:r>
        <w:rPr>
          <w:rFonts w:eastAsiaTheme="minorEastAsia"/>
        </w:rPr>
        <w:t>Li</w:t>
      </w:r>
      <w:r w:rsidR="006B7464">
        <w:rPr>
          <w:rFonts w:eastAsiaTheme="minorEastAsia"/>
        </w:rPr>
        <w:t>g</w:t>
      </w:r>
      <w:r>
        <w:rPr>
          <w:rFonts w:eastAsiaTheme="minorEastAsia"/>
        </w:rPr>
        <w:t>an</w:t>
      </w:r>
      <w:r w:rsidR="006B7464">
        <w:rPr>
          <w:rFonts w:eastAsiaTheme="minorEastAsia"/>
        </w:rPr>
        <w:t>d</w:t>
      </w:r>
      <w:r>
        <w:rPr>
          <w:rFonts w:eastAsiaTheme="minorEastAsia"/>
        </w:rPr>
        <w:t xml:space="preserve"> </w:t>
      </w:r>
      <w:r w:rsidR="006B7464">
        <w:rPr>
          <w:rFonts w:eastAsiaTheme="minorEastAsia"/>
        </w:rPr>
        <w:t xml:space="preserve">marqué </w:t>
      </w:r>
      <w:r>
        <w:rPr>
          <w:rFonts w:eastAsiaTheme="minorEastAsia"/>
        </w:rPr>
        <w:t>n</w:t>
      </w:r>
      <w:r w:rsidR="006B7464">
        <w:rPr>
          <w:rFonts w:eastAsiaTheme="minorEastAsia"/>
        </w:rPr>
        <w:t>on lié</w:t>
      </w:r>
    </w:p>
    <w:p w14:paraId="182ADAB4" w14:textId="7AC6115B" w:rsidR="004E6AFD" w:rsidRDefault="004E6AFD" w:rsidP="006B7464">
      <w:pPr>
        <w:rPr>
          <w:rFonts w:eastAsiaTheme="minorEastAsia"/>
        </w:rPr>
      </w:pPr>
      <w:r>
        <w:rPr>
          <w:rFonts w:eastAsiaTheme="minorEastAsia"/>
        </w:rPr>
        <w:t>Expérience B : Li</w:t>
      </w:r>
      <w:r w:rsidR="006B7464">
        <w:rPr>
          <w:rFonts w:eastAsiaTheme="minorEastAsia"/>
        </w:rPr>
        <w:t>g</w:t>
      </w:r>
      <w:r>
        <w:rPr>
          <w:rFonts w:eastAsiaTheme="minorEastAsia"/>
        </w:rPr>
        <w:t>an</w:t>
      </w:r>
      <w:r w:rsidR="006B7464">
        <w:rPr>
          <w:rFonts w:eastAsiaTheme="minorEastAsia"/>
        </w:rPr>
        <w:t>d</w:t>
      </w:r>
      <w:r>
        <w:rPr>
          <w:rFonts w:eastAsiaTheme="minorEastAsia"/>
        </w:rPr>
        <w:t xml:space="preserve"> </w:t>
      </w:r>
      <w:r w:rsidR="006B7464">
        <w:rPr>
          <w:rFonts w:eastAsiaTheme="minorEastAsia"/>
        </w:rPr>
        <w:t xml:space="preserve">manqué </w:t>
      </w:r>
      <w:r>
        <w:rPr>
          <w:rFonts w:eastAsiaTheme="minorEastAsia"/>
        </w:rPr>
        <w:t>spécifique</w:t>
      </w:r>
      <w:r w:rsidR="006B7464">
        <w:rPr>
          <w:rFonts w:eastAsiaTheme="minorEastAsia"/>
        </w:rPr>
        <w:t xml:space="preserve"> + ligand marqué non lié</w:t>
      </w:r>
    </w:p>
    <w:p w14:paraId="5BBC3CC8" w14:textId="3CD71A1E" w:rsidR="00C40AF4" w:rsidRDefault="004E6AFD" w:rsidP="00F22283">
      <w:pPr>
        <w:rPr>
          <w:rFonts w:eastAsiaTheme="minorEastAsia"/>
        </w:rPr>
      </w:pPr>
      <w:r>
        <w:rPr>
          <w:rFonts w:eastAsiaTheme="minorEastAsia"/>
        </w:rPr>
        <w:t>La d</w:t>
      </w:r>
      <w:r w:rsidR="00C40AF4">
        <w:rPr>
          <w:rFonts w:eastAsiaTheme="minorEastAsia"/>
        </w:rPr>
        <w:t xml:space="preserve">ifférence </w:t>
      </w:r>
      <w:r>
        <w:rPr>
          <w:rFonts w:eastAsiaTheme="minorEastAsia"/>
        </w:rPr>
        <w:t>des concentrations permet d’obtenir le liant non spécifique.</w:t>
      </w:r>
    </w:p>
    <w:sectPr w:rsidR="00C40AF4" w:rsidSect="00AB3B85">
      <w:footerReference w:type="default" r:id="rId8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6BA61A" w14:textId="77777777" w:rsidR="0009609C" w:rsidRDefault="0009609C" w:rsidP="00990075">
      <w:pPr>
        <w:spacing w:after="0" w:line="240" w:lineRule="auto"/>
      </w:pPr>
      <w:r>
        <w:separator/>
      </w:r>
    </w:p>
  </w:endnote>
  <w:endnote w:type="continuationSeparator" w:id="0">
    <w:p w14:paraId="7435B434" w14:textId="77777777" w:rsidR="0009609C" w:rsidRDefault="0009609C" w:rsidP="009900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C99F56" w14:textId="5628F81E" w:rsidR="00570E0F" w:rsidRDefault="00570E0F">
    <w:pPr>
      <w:pStyle w:val="Pieddepage"/>
    </w:pPr>
    <w:r>
      <w:t>PNE</w:t>
    </w:r>
    <w:r>
      <w:ptab w:relativeTo="margin" w:alignment="center" w:leader="none"/>
    </w:r>
    <w:r>
      <w:t>Enzymologie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22C3C8" w14:textId="77777777" w:rsidR="0009609C" w:rsidRDefault="0009609C" w:rsidP="00990075">
      <w:pPr>
        <w:spacing w:after="0" w:line="240" w:lineRule="auto"/>
      </w:pPr>
      <w:r>
        <w:separator/>
      </w:r>
    </w:p>
  </w:footnote>
  <w:footnote w:type="continuationSeparator" w:id="0">
    <w:p w14:paraId="1273547C" w14:textId="77777777" w:rsidR="0009609C" w:rsidRDefault="0009609C" w:rsidP="009900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49.5pt;height:22.5pt;visibility:visible;mso-wrap-style:square" o:bullet="t">
        <v:imagedata r:id="rId1" o:title=""/>
      </v:shape>
    </w:pict>
  </w:numPicBullet>
  <w:abstractNum w:abstractNumId="0" w15:restartNumberingAfterBreak="0">
    <w:nsid w:val="077F5054"/>
    <w:multiLevelType w:val="hybridMultilevel"/>
    <w:tmpl w:val="FACE7E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45A78"/>
    <w:multiLevelType w:val="hybridMultilevel"/>
    <w:tmpl w:val="F4D8AD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499B"/>
    <w:multiLevelType w:val="hybridMultilevel"/>
    <w:tmpl w:val="0B7E53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D05C4D"/>
    <w:multiLevelType w:val="hybridMultilevel"/>
    <w:tmpl w:val="F4F887B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462056"/>
    <w:multiLevelType w:val="hybridMultilevel"/>
    <w:tmpl w:val="90801E5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5D36B81"/>
    <w:multiLevelType w:val="hybridMultilevel"/>
    <w:tmpl w:val="22547D0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BED16AF"/>
    <w:multiLevelType w:val="hybridMultilevel"/>
    <w:tmpl w:val="E5B60D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ED762C"/>
    <w:multiLevelType w:val="hybridMultilevel"/>
    <w:tmpl w:val="79B22DC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FFB1155"/>
    <w:multiLevelType w:val="hybridMultilevel"/>
    <w:tmpl w:val="1C540B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537D2C"/>
    <w:multiLevelType w:val="hybridMultilevel"/>
    <w:tmpl w:val="98184252"/>
    <w:lvl w:ilvl="0" w:tplc="A24EF57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8003A1"/>
    <w:multiLevelType w:val="hybridMultilevel"/>
    <w:tmpl w:val="D34A58B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D426F61"/>
    <w:multiLevelType w:val="hybridMultilevel"/>
    <w:tmpl w:val="999EC5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F56B24"/>
    <w:multiLevelType w:val="hybridMultilevel"/>
    <w:tmpl w:val="4156CA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BC261E"/>
    <w:multiLevelType w:val="hybridMultilevel"/>
    <w:tmpl w:val="073CCC5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AA75F6A"/>
    <w:multiLevelType w:val="hybridMultilevel"/>
    <w:tmpl w:val="46A47F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A246CD"/>
    <w:multiLevelType w:val="hybridMultilevel"/>
    <w:tmpl w:val="AEC405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A11077"/>
    <w:multiLevelType w:val="hybridMultilevel"/>
    <w:tmpl w:val="2AC051F8"/>
    <w:lvl w:ilvl="0" w:tplc="47B8D5D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60684D"/>
    <w:multiLevelType w:val="hybridMultilevel"/>
    <w:tmpl w:val="456EDD5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526C94"/>
    <w:multiLevelType w:val="hybridMultilevel"/>
    <w:tmpl w:val="7160F82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46696A6B"/>
    <w:multiLevelType w:val="hybridMultilevel"/>
    <w:tmpl w:val="D84C9D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63194E"/>
    <w:multiLevelType w:val="hybridMultilevel"/>
    <w:tmpl w:val="ED16EE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946AEA"/>
    <w:multiLevelType w:val="hybridMultilevel"/>
    <w:tmpl w:val="A7E8E4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625960"/>
    <w:multiLevelType w:val="hybridMultilevel"/>
    <w:tmpl w:val="2404261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AAE219D"/>
    <w:multiLevelType w:val="hybridMultilevel"/>
    <w:tmpl w:val="93000A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FE698E"/>
    <w:multiLevelType w:val="hybridMultilevel"/>
    <w:tmpl w:val="FAF2E06C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0A27CCA"/>
    <w:multiLevelType w:val="hybridMultilevel"/>
    <w:tmpl w:val="293EB6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0E4A9B"/>
    <w:multiLevelType w:val="hybridMultilevel"/>
    <w:tmpl w:val="DE18E67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277888"/>
    <w:multiLevelType w:val="hybridMultilevel"/>
    <w:tmpl w:val="ADD2EBC2"/>
    <w:lvl w:ilvl="0" w:tplc="040C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8" w15:restartNumberingAfterBreak="0">
    <w:nsid w:val="73CB0A8A"/>
    <w:multiLevelType w:val="hybridMultilevel"/>
    <w:tmpl w:val="12C8C4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2"/>
  </w:num>
  <w:num w:numId="3">
    <w:abstractNumId w:val="7"/>
  </w:num>
  <w:num w:numId="4">
    <w:abstractNumId w:val="0"/>
  </w:num>
  <w:num w:numId="5">
    <w:abstractNumId w:val="5"/>
  </w:num>
  <w:num w:numId="6">
    <w:abstractNumId w:val="3"/>
  </w:num>
  <w:num w:numId="7">
    <w:abstractNumId w:val="9"/>
  </w:num>
  <w:num w:numId="8">
    <w:abstractNumId w:val="16"/>
  </w:num>
  <w:num w:numId="9">
    <w:abstractNumId w:val="25"/>
  </w:num>
  <w:num w:numId="10">
    <w:abstractNumId w:val="10"/>
  </w:num>
  <w:num w:numId="11">
    <w:abstractNumId w:val="11"/>
  </w:num>
  <w:num w:numId="12">
    <w:abstractNumId w:val="1"/>
  </w:num>
  <w:num w:numId="13">
    <w:abstractNumId w:val="27"/>
  </w:num>
  <w:num w:numId="14">
    <w:abstractNumId w:val="15"/>
  </w:num>
  <w:num w:numId="15">
    <w:abstractNumId w:val="18"/>
  </w:num>
  <w:num w:numId="16">
    <w:abstractNumId w:val="28"/>
  </w:num>
  <w:num w:numId="17">
    <w:abstractNumId w:val="2"/>
  </w:num>
  <w:num w:numId="18">
    <w:abstractNumId w:val="4"/>
  </w:num>
  <w:num w:numId="19">
    <w:abstractNumId w:val="17"/>
  </w:num>
  <w:num w:numId="20">
    <w:abstractNumId w:val="26"/>
  </w:num>
  <w:num w:numId="21">
    <w:abstractNumId w:val="12"/>
  </w:num>
  <w:num w:numId="22">
    <w:abstractNumId w:val="21"/>
  </w:num>
  <w:num w:numId="23">
    <w:abstractNumId w:val="8"/>
  </w:num>
  <w:num w:numId="24">
    <w:abstractNumId w:val="19"/>
  </w:num>
  <w:num w:numId="25">
    <w:abstractNumId w:val="14"/>
  </w:num>
  <w:num w:numId="26">
    <w:abstractNumId w:val="23"/>
  </w:num>
  <w:num w:numId="27">
    <w:abstractNumId w:val="20"/>
  </w:num>
  <w:num w:numId="28">
    <w:abstractNumId w:val="6"/>
  </w:num>
  <w:num w:numId="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7A2"/>
    <w:rsid w:val="00002291"/>
    <w:rsid w:val="00002F08"/>
    <w:rsid w:val="00014046"/>
    <w:rsid w:val="00017366"/>
    <w:rsid w:val="00026595"/>
    <w:rsid w:val="00026A48"/>
    <w:rsid w:val="000302EC"/>
    <w:rsid w:val="00034E40"/>
    <w:rsid w:val="000561DE"/>
    <w:rsid w:val="000629A2"/>
    <w:rsid w:val="000636BB"/>
    <w:rsid w:val="00066AE0"/>
    <w:rsid w:val="00066F64"/>
    <w:rsid w:val="00067B8E"/>
    <w:rsid w:val="000718D4"/>
    <w:rsid w:val="00071DE8"/>
    <w:rsid w:val="0007620B"/>
    <w:rsid w:val="00087521"/>
    <w:rsid w:val="0009609C"/>
    <w:rsid w:val="000A37A2"/>
    <w:rsid w:val="000A4A0E"/>
    <w:rsid w:val="000A7FFC"/>
    <w:rsid w:val="000B3EA6"/>
    <w:rsid w:val="000B7B74"/>
    <w:rsid w:val="000D5654"/>
    <w:rsid w:val="000D6216"/>
    <w:rsid w:val="000E5237"/>
    <w:rsid w:val="000F3DDC"/>
    <w:rsid w:val="00123FEB"/>
    <w:rsid w:val="001268C1"/>
    <w:rsid w:val="00127AEB"/>
    <w:rsid w:val="00133979"/>
    <w:rsid w:val="00136AF7"/>
    <w:rsid w:val="001377F4"/>
    <w:rsid w:val="00145504"/>
    <w:rsid w:val="00146633"/>
    <w:rsid w:val="00153E9F"/>
    <w:rsid w:val="001649BB"/>
    <w:rsid w:val="00165876"/>
    <w:rsid w:val="00167B28"/>
    <w:rsid w:val="00185601"/>
    <w:rsid w:val="00186E8F"/>
    <w:rsid w:val="001A7E30"/>
    <w:rsid w:val="001B30A7"/>
    <w:rsid w:val="001C0526"/>
    <w:rsid w:val="001C2802"/>
    <w:rsid w:val="001D1595"/>
    <w:rsid w:val="001D5F2D"/>
    <w:rsid w:val="001D6E3D"/>
    <w:rsid w:val="001D7234"/>
    <w:rsid w:val="001E0566"/>
    <w:rsid w:val="001E39BF"/>
    <w:rsid w:val="001E6A22"/>
    <w:rsid w:val="001F5664"/>
    <w:rsid w:val="00205A1D"/>
    <w:rsid w:val="00211D4E"/>
    <w:rsid w:val="00211E38"/>
    <w:rsid w:val="0021769A"/>
    <w:rsid w:val="002177A4"/>
    <w:rsid w:val="002225AE"/>
    <w:rsid w:val="00225B49"/>
    <w:rsid w:val="00227E58"/>
    <w:rsid w:val="00231BD6"/>
    <w:rsid w:val="00232646"/>
    <w:rsid w:val="00234A12"/>
    <w:rsid w:val="00241058"/>
    <w:rsid w:val="00244D59"/>
    <w:rsid w:val="00256032"/>
    <w:rsid w:val="00265320"/>
    <w:rsid w:val="002655B2"/>
    <w:rsid w:val="00272A2B"/>
    <w:rsid w:val="0028132C"/>
    <w:rsid w:val="002817E2"/>
    <w:rsid w:val="002B4D81"/>
    <w:rsid w:val="002B6AEB"/>
    <w:rsid w:val="002B7968"/>
    <w:rsid w:val="002C701D"/>
    <w:rsid w:val="002D17AA"/>
    <w:rsid w:val="002D2C0B"/>
    <w:rsid w:val="002F6B47"/>
    <w:rsid w:val="00304412"/>
    <w:rsid w:val="00305D48"/>
    <w:rsid w:val="0031131B"/>
    <w:rsid w:val="00314F21"/>
    <w:rsid w:val="003351B7"/>
    <w:rsid w:val="003360A5"/>
    <w:rsid w:val="003403AB"/>
    <w:rsid w:val="00343C16"/>
    <w:rsid w:val="003470FC"/>
    <w:rsid w:val="003471C6"/>
    <w:rsid w:val="00352F58"/>
    <w:rsid w:val="0037087E"/>
    <w:rsid w:val="00377350"/>
    <w:rsid w:val="003943C6"/>
    <w:rsid w:val="003A3146"/>
    <w:rsid w:val="003B0ADE"/>
    <w:rsid w:val="003B4B4F"/>
    <w:rsid w:val="003B7162"/>
    <w:rsid w:val="003C53B1"/>
    <w:rsid w:val="003C65B3"/>
    <w:rsid w:val="003D3C59"/>
    <w:rsid w:val="003D6BE7"/>
    <w:rsid w:val="003F0195"/>
    <w:rsid w:val="003F173D"/>
    <w:rsid w:val="003F5C4F"/>
    <w:rsid w:val="003F6DAD"/>
    <w:rsid w:val="004024C4"/>
    <w:rsid w:val="00405A59"/>
    <w:rsid w:val="00411D2A"/>
    <w:rsid w:val="00413A26"/>
    <w:rsid w:val="00421977"/>
    <w:rsid w:val="00424548"/>
    <w:rsid w:val="004302CB"/>
    <w:rsid w:val="00433029"/>
    <w:rsid w:val="004339BB"/>
    <w:rsid w:val="004642A6"/>
    <w:rsid w:val="004746D7"/>
    <w:rsid w:val="00477B39"/>
    <w:rsid w:val="004907D7"/>
    <w:rsid w:val="004913FE"/>
    <w:rsid w:val="00495A7B"/>
    <w:rsid w:val="004B43F0"/>
    <w:rsid w:val="004B4584"/>
    <w:rsid w:val="004C4E44"/>
    <w:rsid w:val="004C5F96"/>
    <w:rsid w:val="004D3483"/>
    <w:rsid w:val="004E370A"/>
    <w:rsid w:val="004E6AFD"/>
    <w:rsid w:val="004F4302"/>
    <w:rsid w:val="004F635B"/>
    <w:rsid w:val="004F75ED"/>
    <w:rsid w:val="005064A2"/>
    <w:rsid w:val="0052167F"/>
    <w:rsid w:val="005223D7"/>
    <w:rsid w:val="00525D67"/>
    <w:rsid w:val="00527F34"/>
    <w:rsid w:val="0054163F"/>
    <w:rsid w:val="00542055"/>
    <w:rsid w:val="00543D59"/>
    <w:rsid w:val="0055009A"/>
    <w:rsid w:val="00551DB4"/>
    <w:rsid w:val="00570D1C"/>
    <w:rsid w:val="00570E0F"/>
    <w:rsid w:val="00573070"/>
    <w:rsid w:val="0057572A"/>
    <w:rsid w:val="00580CE7"/>
    <w:rsid w:val="00582D9E"/>
    <w:rsid w:val="00592A7F"/>
    <w:rsid w:val="005B700C"/>
    <w:rsid w:val="005C5E8C"/>
    <w:rsid w:val="005C76DB"/>
    <w:rsid w:val="005D6243"/>
    <w:rsid w:val="005F3832"/>
    <w:rsid w:val="005F48D0"/>
    <w:rsid w:val="005F72DB"/>
    <w:rsid w:val="00601C14"/>
    <w:rsid w:val="00605821"/>
    <w:rsid w:val="00605DB6"/>
    <w:rsid w:val="00615AED"/>
    <w:rsid w:val="006222F3"/>
    <w:rsid w:val="00631C1B"/>
    <w:rsid w:val="00657EEA"/>
    <w:rsid w:val="00660695"/>
    <w:rsid w:val="00661ABE"/>
    <w:rsid w:val="006625F9"/>
    <w:rsid w:val="00665F38"/>
    <w:rsid w:val="006842B4"/>
    <w:rsid w:val="006923AE"/>
    <w:rsid w:val="006A1522"/>
    <w:rsid w:val="006A2431"/>
    <w:rsid w:val="006A53E5"/>
    <w:rsid w:val="006A6E41"/>
    <w:rsid w:val="006B7464"/>
    <w:rsid w:val="006C0046"/>
    <w:rsid w:val="006C1BC2"/>
    <w:rsid w:val="006C451B"/>
    <w:rsid w:val="006C5FF9"/>
    <w:rsid w:val="006D01AD"/>
    <w:rsid w:val="006D5CCE"/>
    <w:rsid w:val="006E2975"/>
    <w:rsid w:val="006F3575"/>
    <w:rsid w:val="006F3A55"/>
    <w:rsid w:val="00700D92"/>
    <w:rsid w:val="00705C01"/>
    <w:rsid w:val="007075B8"/>
    <w:rsid w:val="00712E6C"/>
    <w:rsid w:val="00716524"/>
    <w:rsid w:val="00720D18"/>
    <w:rsid w:val="007210B2"/>
    <w:rsid w:val="007217AB"/>
    <w:rsid w:val="00732647"/>
    <w:rsid w:val="00733EE8"/>
    <w:rsid w:val="0073440D"/>
    <w:rsid w:val="00754552"/>
    <w:rsid w:val="007568CD"/>
    <w:rsid w:val="00756ACA"/>
    <w:rsid w:val="00757761"/>
    <w:rsid w:val="00763016"/>
    <w:rsid w:val="00774FFF"/>
    <w:rsid w:val="00783BE6"/>
    <w:rsid w:val="0078665D"/>
    <w:rsid w:val="00791749"/>
    <w:rsid w:val="007935CB"/>
    <w:rsid w:val="0079537C"/>
    <w:rsid w:val="007A00BA"/>
    <w:rsid w:val="007A2BCD"/>
    <w:rsid w:val="007C76EB"/>
    <w:rsid w:val="007C7E9B"/>
    <w:rsid w:val="007D0BA1"/>
    <w:rsid w:val="007D2831"/>
    <w:rsid w:val="007D2EA8"/>
    <w:rsid w:val="007D4508"/>
    <w:rsid w:val="007E264F"/>
    <w:rsid w:val="007E7E25"/>
    <w:rsid w:val="007F1DCB"/>
    <w:rsid w:val="007F54E4"/>
    <w:rsid w:val="00800AD1"/>
    <w:rsid w:val="00801C8F"/>
    <w:rsid w:val="0080569C"/>
    <w:rsid w:val="00806B00"/>
    <w:rsid w:val="00807C61"/>
    <w:rsid w:val="00825887"/>
    <w:rsid w:val="00844BF8"/>
    <w:rsid w:val="0084744E"/>
    <w:rsid w:val="00847661"/>
    <w:rsid w:val="008610C6"/>
    <w:rsid w:val="008649C4"/>
    <w:rsid w:val="008772B1"/>
    <w:rsid w:val="00891167"/>
    <w:rsid w:val="00894C24"/>
    <w:rsid w:val="008A2AF1"/>
    <w:rsid w:val="008A41C0"/>
    <w:rsid w:val="008B2278"/>
    <w:rsid w:val="008C281B"/>
    <w:rsid w:val="008C5661"/>
    <w:rsid w:val="008D3EC4"/>
    <w:rsid w:val="008D78C4"/>
    <w:rsid w:val="008E439B"/>
    <w:rsid w:val="008E4CB8"/>
    <w:rsid w:val="008F42F9"/>
    <w:rsid w:val="00902B7A"/>
    <w:rsid w:val="00906FF4"/>
    <w:rsid w:val="009077C9"/>
    <w:rsid w:val="0091108A"/>
    <w:rsid w:val="00915750"/>
    <w:rsid w:val="009218E1"/>
    <w:rsid w:val="0092310C"/>
    <w:rsid w:val="00925B20"/>
    <w:rsid w:val="00925F88"/>
    <w:rsid w:val="009277D1"/>
    <w:rsid w:val="00932611"/>
    <w:rsid w:val="00946CDC"/>
    <w:rsid w:val="0095081C"/>
    <w:rsid w:val="0095183B"/>
    <w:rsid w:val="00955603"/>
    <w:rsid w:val="009734B1"/>
    <w:rsid w:val="00981A74"/>
    <w:rsid w:val="00990075"/>
    <w:rsid w:val="00992DB1"/>
    <w:rsid w:val="0099393E"/>
    <w:rsid w:val="009946DC"/>
    <w:rsid w:val="00995CE8"/>
    <w:rsid w:val="009A52BB"/>
    <w:rsid w:val="009B094E"/>
    <w:rsid w:val="009B38D3"/>
    <w:rsid w:val="009B7E9E"/>
    <w:rsid w:val="009C15E1"/>
    <w:rsid w:val="009C6A27"/>
    <w:rsid w:val="009D529E"/>
    <w:rsid w:val="009E2FEA"/>
    <w:rsid w:val="009E6E6A"/>
    <w:rsid w:val="00A069F0"/>
    <w:rsid w:val="00A14FC9"/>
    <w:rsid w:val="00A2202A"/>
    <w:rsid w:val="00A25B61"/>
    <w:rsid w:val="00A34368"/>
    <w:rsid w:val="00A3618E"/>
    <w:rsid w:val="00A405C9"/>
    <w:rsid w:val="00A42323"/>
    <w:rsid w:val="00A5435F"/>
    <w:rsid w:val="00A8149C"/>
    <w:rsid w:val="00A905AD"/>
    <w:rsid w:val="00A91A38"/>
    <w:rsid w:val="00A964B9"/>
    <w:rsid w:val="00A96A87"/>
    <w:rsid w:val="00AA0E92"/>
    <w:rsid w:val="00AA2300"/>
    <w:rsid w:val="00AA5B0A"/>
    <w:rsid w:val="00AB0CA5"/>
    <w:rsid w:val="00AB3B85"/>
    <w:rsid w:val="00B02356"/>
    <w:rsid w:val="00B05198"/>
    <w:rsid w:val="00B12298"/>
    <w:rsid w:val="00B12E8D"/>
    <w:rsid w:val="00B1785D"/>
    <w:rsid w:val="00B25E49"/>
    <w:rsid w:val="00B3019C"/>
    <w:rsid w:val="00B32B2C"/>
    <w:rsid w:val="00B42972"/>
    <w:rsid w:val="00B42C63"/>
    <w:rsid w:val="00B447C2"/>
    <w:rsid w:val="00B54951"/>
    <w:rsid w:val="00B559C4"/>
    <w:rsid w:val="00B55AAA"/>
    <w:rsid w:val="00B56FA4"/>
    <w:rsid w:val="00B844F6"/>
    <w:rsid w:val="00B93A81"/>
    <w:rsid w:val="00B93C21"/>
    <w:rsid w:val="00B93DE1"/>
    <w:rsid w:val="00B97D08"/>
    <w:rsid w:val="00BA0417"/>
    <w:rsid w:val="00BA2A6C"/>
    <w:rsid w:val="00BB5A03"/>
    <w:rsid w:val="00BC04EA"/>
    <w:rsid w:val="00BD0CD5"/>
    <w:rsid w:val="00BD1549"/>
    <w:rsid w:val="00BD18EF"/>
    <w:rsid w:val="00BD3BE1"/>
    <w:rsid w:val="00BE0E6F"/>
    <w:rsid w:val="00BE3310"/>
    <w:rsid w:val="00BE3B6D"/>
    <w:rsid w:val="00BE430A"/>
    <w:rsid w:val="00BE61A2"/>
    <w:rsid w:val="00BF2B0A"/>
    <w:rsid w:val="00BF70CF"/>
    <w:rsid w:val="00C02DDB"/>
    <w:rsid w:val="00C14019"/>
    <w:rsid w:val="00C1424A"/>
    <w:rsid w:val="00C26BF5"/>
    <w:rsid w:val="00C26CC8"/>
    <w:rsid w:val="00C36370"/>
    <w:rsid w:val="00C40AF4"/>
    <w:rsid w:val="00C40D8F"/>
    <w:rsid w:val="00C44D4D"/>
    <w:rsid w:val="00C5067C"/>
    <w:rsid w:val="00C50A94"/>
    <w:rsid w:val="00C609FE"/>
    <w:rsid w:val="00C70664"/>
    <w:rsid w:val="00C7147E"/>
    <w:rsid w:val="00C74150"/>
    <w:rsid w:val="00C76736"/>
    <w:rsid w:val="00C81B4D"/>
    <w:rsid w:val="00C861CF"/>
    <w:rsid w:val="00C93391"/>
    <w:rsid w:val="00C93760"/>
    <w:rsid w:val="00C94660"/>
    <w:rsid w:val="00C947F0"/>
    <w:rsid w:val="00CA10A9"/>
    <w:rsid w:val="00CD2900"/>
    <w:rsid w:val="00CD2E5D"/>
    <w:rsid w:val="00CF3D83"/>
    <w:rsid w:val="00CF637B"/>
    <w:rsid w:val="00D00CFE"/>
    <w:rsid w:val="00D022A1"/>
    <w:rsid w:val="00D05609"/>
    <w:rsid w:val="00D0639D"/>
    <w:rsid w:val="00D20923"/>
    <w:rsid w:val="00D24030"/>
    <w:rsid w:val="00D51475"/>
    <w:rsid w:val="00D745BF"/>
    <w:rsid w:val="00D7618F"/>
    <w:rsid w:val="00D839DC"/>
    <w:rsid w:val="00D906DA"/>
    <w:rsid w:val="00D9096B"/>
    <w:rsid w:val="00D90FDD"/>
    <w:rsid w:val="00D92BFD"/>
    <w:rsid w:val="00D957AF"/>
    <w:rsid w:val="00DB020B"/>
    <w:rsid w:val="00DB3AA4"/>
    <w:rsid w:val="00DB4102"/>
    <w:rsid w:val="00DB4DE3"/>
    <w:rsid w:val="00DC1C3D"/>
    <w:rsid w:val="00DD6A04"/>
    <w:rsid w:val="00DD7279"/>
    <w:rsid w:val="00DD7D14"/>
    <w:rsid w:val="00E007BF"/>
    <w:rsid w:val="00E249FB"/>
    <w:rsid w:val="00E263E2"/>
    <w:rsid w:val="00E31111"/>
    <w:rsid w:val="00E3145B"/>
    <w:rsid w:val="00E3228C"/>
    <w:rsid w:val="00E45D53"/>
    <w:rsid w:val="00E47600"/>
    <w:rsid w:val="00E53AD4"/>
    <w:rsid w:val="00E545EA"/>
    <w:rsid w:val="00E61728"/>
    <w:rsid w:val="00E62950"/>
    <w:rsid w:val="00E73324"/>
    <w:rsid w:val="00E74CCC"/>
    <w:rsid w:val="00E93A6B"/>
    <w:rsid w:val="00EA197B"/>
    <w:rsid w:val="00EA6AF1"/>
    <w:rsid w:val="00EC356B"/>
    <w:rsid w:val="00EC3873"/>
    <w:rsid w:val="00EC392E"/>
    <w:rsid w:val="00ED20D0"/>
    <w:rsid w:val="00EE0127"/>
    <w:rsid w:val="00EE2BE4"/>
    <w:rsid w:val="00EF1EC8"/>
    <w:rsid w:val="00EF5ABC"/>
    <w:rsid w:val="00EF772C"/>
    <w:rsid w:val="00F02658"/>
    <w:rsid w:val="00F17F0E"/>
    <w:rsid w:val="00F22283"/>
    <w:rsid w:val="00F36EFA"/>
    <w:rsid w:val="00F41B79"/>
    <w:rsid w:val="00F44CB0"/>
    <w:rsid w:val="00F70B87"/>
    <w:rsid w:val="00F72D47"/>
    <w:rsid w:val="00F730A0"/>
    <w:rsid w:val="00F771E4"/>
    <w:rsid w:val="00F82E7E"/>
    <w:rsid w:val="00F82F3D"/>
    <w:rsid w:val="00F85EBB"/>
    <w:rsid w:val="00F91369"/>
    <w:rsid w:val="00F964B3"/>
    <w:rsid w:val="00F96E83"/>
    <w:rsid w:val="00FA1731"/>
    <w:rsid w:val="00FA17EF"/>
    <w:rsid w:val="00FA186B"/>
    <w:rsid w:val="00FA5457"/>
    <w:rsid w:val="00FA6F1D"/>
    <w:rsid w:val="00FB1CDB"/>
    <w:rsid w:val="00FB2333"/>
    <w:rsid w:val="00FD526F"/>
    <w:rsid w:val="00FD592A"/>
    <w:rsid w:val="00FD7559"/>
    <w:rsid w:val="00FE74E7"/>
    <w:rsid w:val="00FE7FD8"/>
    <w:rsid w:val="00FF08A2"/>
    <w:rsid w:val="00FF3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7586EC"/>
  <w15:chartTrackingRefBased/>
  <w15:docId w15:val="{ED49A5C2-EC63-408F-BA5C-A168E31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096B"/>
    <w:rPr>
      <w:rFonts w:ascii="Open Sans Light" w:hAnsi="Open Sans Light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rsid w:val="003A3146"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 w:val="24"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rsid w:val="003A3146"/>
    <w:pPr>
      <w:pBdr>
        <w:top w:val="none" w:sz="0" w:space="0" w:color="auto"/>
      </w:pBdr>
      <w:jc w:val="left"/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A3146"/>
    <w:pPr>
      <w:keepNext/>
      <w:keepLines/>
      <w:spacing w:before="40" w:after="0"/>
      <w:outlineLvl w:val="2"/>
    </w:pPr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0A37A2"/>
    <w:rPr>
      <w:color w:val="808080"/>
    </w:rPr>
  </w:style>
  <w:style w:type="paragraph" w:styleId="Paragraphedeliste">
    <w:name w:val="List Paragraph"/>
    <w:basedOn w:val="Normal"/>
    <w:uiPriority w:val="34"/>
    <w:qFormat/>
    <w:rsid w:val="003A3146"/>
    <w:pPr>
      <w:ind w:left="720"/>
      <w:contextualSpacing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sid w:val="003A3146"/>
    <w:rPr>
      <w:rFonts w:ascii="Open Sans" w:eastAsiaTheme="majorEastAsia" w:hAnsi="Open Sans" w:cstheme="majorBidi"/>
      <w:b/>
      <w:sz w:val="24"/>
      <w:szCs w:val="32"/>
    </w:rPr>
  </w:style>
  <w:style w:type="table" w:styleId="Grilledutableau">
    <w:name w:val="Table Grid"/>
    <w:basedOn w:val="TableauNormal"/>
    <w:uiPriority w:val="39"/>
    <w:rsid w:val="00067B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">
    <w:name w:val="List Table 1 Light"/>
    <w:basedOn w:val="TableauNormal"/>
    <w:uiPriority w:val="46"/>
    <w:rsid w:val="00A96A8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rsid w:val="00A96A8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rsid w:val="003A3146"/>
    <w:pPr>
      <w:spacing w:after="0" w:line="240" w:lineRule="auto"/>
    </w:pPr>
  </w:style>
  <w:style w:type="character" w:customStyle="1" w:styleId="Titre2Car">
    <w:name w:val="Titre 2 Car"/>
    <w:aliases w:val="Titre Tableau Car"/>
    <w:basedOn w:val="Policepardfaut"/>
    <w:link w:val="Titre2"/>
    <w:uiPriority w:val="9"/>
    <w:rsid w:val="003A3146"/>
    <w:rPr>
      <w:rFonts w:ascii="Open Sans" w:eastAsiaTheme="majorEastAsia" w:hAnsi="Open Sans" w:cstheme="majorBidi"/>
      <w:b/>
      <w:sz w:val="24"/>
      <w:szCs w:val="26"/>
    </w:rPr>
  </w:style>
  <w:style w:type="paragraph" w:customStyle="1" w:styleId="graphique">
    <w:name w:val="graphique"/>
    <w:basedOn w:val="Normal"/>
    <w:link w:val="graphiqueCar"/>
    <w:rsid w:val="00E61728"/>
    <w:pPr>
      <w:spacing w:after="0" w:line="240" w:lineRule="auto"/>
    </w:pPr>
  </w:style>
  <w:style w:type="character" w:customStyle="1" w:styleId="graphiqueCar">
    <w:name w:val="graphique Car"/>
    <w:basedOn w:val="Policepardfaut"/>
    <w:link w:val="graphique"/>
    <w:rsid w:val="00E61728"/>
  </w:style>
  <w:style w:type="character" w:customStyle="1" w:styleId="Titre3Car">
    <w:name w:val="Titre 3 Car"/>
    <w:basedOn w:val="Policepardfaut"/>
    <w:link w:val="Titre3"/>
    <w:uiPriority w:val="9"/>
    <w:rsid w:val="003A3146"/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En-tte">
    <w:name w:val="header"/>
    <w:basedOn w:val="Normal"/>
    <w:link w:val="En-tteCar"/>
    <w:uiPriority w:val="99"/>
    <w:unhideWhenUsed/>
    <w:rsid w:val="009900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90075"/>
  </w:style>
  <w:style w:type="paragraph" w:styleId="Pieddepage">
    <w:name w:val="footer"/>
    <w:basedOn w:val="Normal"/>
    <w:link w:val="PieddepageCar"/>
    <w:uiPriority w:val="99"/>
    <w:unhideWhenUsed/>
    <w:rsid w:val="009900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90075"/>
  </w:style>
  <w:style w:type="character" w:styleId="Accentuation">
    <w:name w:val="Emphasis"/>
    <w:basedOn w:val="Policepardfaut"/>
    <w:uiPriority w:val="20"/>
    <w:qFormat/>
    <w:rsid w:val="003A3146"/>
    <w:rPr>
      <w:i w:val="0"/>
      <w:iCs/>
      <w:color w:val="FF0000"/>
    </w:rPr>
  </w:style>
  <w:style w:type="character" w:styleId="Accentuationintense">
    <w:name w:val="Intense Emphasis"/>
    <w:basedOn w:val="Policepardfaut"/>
    <w:uiPriority w:val="21"/>
    <w:qFormat/>
    <w:rsid w:val="003A3146"/>
    <w:rPr>
      <w:i/>
      <w:iCs/>
      <w:color w:val="4472C4" w:themeColor="accent1"/>
    </w:rPr>
  </w:style>
  <w:style w:type="table" w:styleId="Grilledetableauclaire">
    <w:name w:val="Grid Table Light"/>
    <w:aliases w:val="monTableau"/>
    <w:basedOn w:val="TableauNormal"/>
    <w:uiPriority w:val="40"/>
    <w:rsid w:val="00B1785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styleId="Tableausimple2">
    <w:name w:val="Plain Table 2"/>
    <w:basedOn w:val="TableauNormal"/>
    <w:uiPriority w:val="42"/>
    <w:rsid w:val="00E6172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aragraphe2col">
    <w:name w:val="paragraphe 2 col"/>
    <w:basedOn w:val="Normal"/>
    <w:link w:val="paragraphe2colCar"/>
    <w:rsid w:val="00E61728"/>
    <w:pPr>
      <w:spacing w:after="0" w:line="240" w:lineRule="auto"/>
      <w:jc w:val="both"/>
    </w:pPr>
    <w:rPr>
      <w:rFonts w:ascii="Microsoft JhengHei" w:hAnsi="Microsoft JhengHei"/>
      <w:sz w:val="20"/>
    </w:rPr>
  </w:style>
  <w:style w:type="character" w:customStyle="1" w:styleId="paragraphe2colCar">
    <w:name w:val="paragraphe 2 col Car"/>
    <w:basedOn w:val="Policepardfaut"/>
    <w:link w:val="paragraphe2col"/>
    <w:rsid w:val="00E61728"/>
    <w:rPr>
      <w:rFonts w:ascii="Microsoft JhengHei" w:hAnsi="Microsoft JhengHei"/>
      <w:sz w:val="20"/>
    </w:rPr>
  </w:style>
  <w:style w:type="paragraph" w:styleId="Titre">
    <w:name w:val="Title"/>
    <w:basedOn w:val="Normal"/>
    <w:next w:val="Normal"/>
    <w:link w:val="TitreCar"/>
    <w:uiPriority w:val="10"/>
    <w:qFormat/>
    <w:rsid w:val="003A31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A31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lgre">
    <w:name w:val="Subtle Emphasis"/>
    <w:basedOn w:val="Policepardfaut"/>
    <w:uiPriority w:val="19"/>
    <w:qFormat/>
    <w:rsid w:val="009B7E9E"/>
    <w:rPr>
      <w:i/>
      <w:iCs/>
      <w:color w:val="404040" w:themeColor="text1" w:themeTint="BF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A31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A3146"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sid w:val="004F430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F4302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F4302"/>
    <w:rPr>
      <w:rFonts w:ascii="Open Sans Light" w:hAnsi="Open Sans Light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F430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F4302"/>
    <w:rPr>
      <w:rFonts w:ascii="Open Sans Light" w:hAnsi="Open Sans Light"/>
      <w:b/>
      <w:b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93DE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93DE1"/>
    <w:rPr>
      <w:rFonts w:ascii="Open Sans Light" w:hAnsi="Open Sans Light"/>
      <w:i/>
      <w:iCs/>
      <w:color w:val="4472C4" w:themeColor="accent1"/>
    </w:rPr>
  </w:style>
  <w:style w:type="table" w:styleId="Tableausimple1">
    <w:name w:val="Plain Table 1"/>
    <w:basedOn w:val="TableauNormal"/>
    <w:uiPriority w:val="41"/>
    <w:rsid w:val="00700D9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8E30B-9D4E-4740-B421-EC1400C23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894</TotalTime>
  <Pages>5</Pages>
  <Words>1727</Words>
  <Characters>9501</Characters>
  <Application>Microsoft Office Word</Application>
  <DocSecurity>0</DocSecurity>
  <Lines>79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</cp:lastModifiedBy>
  <cp:revision>24</cp:revision>
  <cp:lastPrinted>2020-10-08T15:27:00Z</cp:lastPrinted>
  <dcterms:created xsi:type="dcterms:W3CDTF">2021-03-09T13:55:00Z</dcterms:created>
  <dcterms:modified xsi:type="dcterms:W3CDTF">2021-05-21T06:30:00Z</dcterms:modified>
</cp:coreProperties>
</file>