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 xml:space="preserve">La communication cellulaire est apparue chez les organismes unicellulaires comme chez les Bactéries. Elles peuvent se coordonner pour accomplir des comportements qui n’ont de sens qu’à l’échelle collective. Les avantages retirés sont alors plus importants que ce qui aurait pu être obtenu à l’échelle individuelle </w:t>
      </w:r>
      <w:r>
        <w:rPr>
          <w:i/>
          <w:iCs/>
        </w:rPr>
        <w:t>(exemple :</w:t>
      </w:r>
      <w:r>
        <w:t xml:space="preserve"> la fabrication de biofilm).</w:t>
      </w:r>
    </w:p>
    <w:p>
      <w:r>
        <w:rPr>
          <w:rStyle w:val="Accentuation"/>
        </w:rPr>
        <w:t xml:space="preserve">Détection du </w:t>
      </w:r>
      <w:proofErr w:type="spellStart"/>
      <w:r>
        <w:rPr>
          <w:rStyle w:val="Accentuation"/>
        </w:rPr>
        <w:t>quorium</w:t>
      </w:r>
      <w:proofErr w:type="spellEnd"/>
      <w:r>
        <w:t xml:space="preserve"> phénomène de détection de la densité cellulaire chez les Bactéries.</w:t>
      </w:r>
    </w:p>
    <w:p>
      <w:r>
        <w:rPr>
          <w:u w:val="single"/>
        </w:rPr>
        <w:t>Rmq :</w:t>
      </w:r>
      <w:r>
        <w:t xml:space="preserve"> Un signal ne sera perçu par une cellule que si elle possède le récepteur adéquate.</w:t>
      </w:r>
    </w:p>
    <w:p>
      <w:r>
        <w:t>L’importance de la communication cellulaire est beaucoup plus grande chez les organismes pluricellulaires qui dépendent d’elles pour coordonner l’activité de milliards de cellules. Ainsi, chez l’Homme 30% des protéines des protéines produites sont des récepteurs.</w:t>
      </w:r>
    </w:p>
    <w:p>
      <w:r>
        <w:rPr>
          <w:u w:val="single"/>
        </w:rPr>
        <w:t>Rmq :</w:t>
      </w:r>
      <w:r>
        <w:t xml:space="preserve"> Le nombre et le type de récepteurs peuvent varier durant la vie de la cellule.</w:t>
      </w:r>
    </w:p>
    <w:p>
      <w:pPr>
        <w:pStyle w:val="Titre2"/>
      </w:pPr>
      <w:r>
        <w:t>Mode de communication cellulaire</w:t>
      </w:r>
    </w:p>
    <w:p>
      <w:r>
        <w:t>Les signaux cellulaires sont majoritairement de type chimique mais ils peuvent adopter d’autres formes. Par exemple, les canaux ioniques issue dans les neurones réagissent un changement de tension (tension dépendant).</w:t>
      </w:r>
    </w:p>
    <w:p>
      <w:r>
        <w:rPr>
          <w:u w:val="single"/>
        </w:rPr>
        <w:t>Rmq :</w:t>
      </w:r>
      <w:r>
        <w:t xml:space="preserve"> Les récepteurs sont souvent des protéines.</w:t>
      </w:r>
    </w:p>
    <w:p>
      <w:pPr>
        <w:pStyle w:val="Titre3"/>
      </w:pPr>
      <w:r>
        <w:t>Signal chimique</w:t>
      </w:r>
    </w:p>
    <w:p>
      <w:r>
        <w:t>Le signal est une molécule qui interagit avec un site récepteur complémentaire à la molécule du signal. Généralement, la fixation du ligan au récepteur se fait par une liaison et provoque un changement de conformation du récepteur. Par exemple, les récepteurs transmembranaires liés :</w:t>
      </w:r>
    </w:p>
    <w:tbl>
      <w:tblPr>
        <w:tblStyle w:val="Grilledetableauclaire"/>
        <w:tblW w:w="0" w:type="auto"/>
        <w:tblLook w:val="0400" w:firstRow="0" w:lastRow="0" w:firstColumn="0" w:lastColumn="0" w:noHBand="0" w:noVBand="1"/>
      </w:tblPr>
      <w:tblGrid>
        <w:gridCol w:w="3667"/>
        <w:gridCol w:w="3668"/>
      </w:tblGrid>
      <w:tr>
        <w:tc>
          <w:tcPr>
            <w:tcW w:w="3667" w:type="dxa"/>
          </w:tcPr>
          <w:p>
            <w:r>
              <w:t>Changer de forme</w:t>
            </w:r>
          </w:p>
        </w:tc>
        <w:tc>
          <w:tcPr>
            <w:tcW w:w="3668" w:type="dxa"/>
          </w:tcPr>
          <w:p>
            <w:r>
              <w:t>S’agréger</w:t>
            </w:r>
          </w:p>
        </w:tc>
      </w:tr>
    </w:tbl>
    <w:p>
      <w:r>
        <w:t>Les récepteurs les plus répandus sont :</w:t>
      </w:r>
    </w:p>
    <w:p>
      <w:pPr>
        <w:pStyle w:val="Paragraphedeliste"/>
        <w:numPr>
          <w:ilvl w:val="0"/>
          <w:numId w:val="44"/>
        </w:numPr>
      </w:pPr>
      <w:r>
        <w:t>Les récepteurs couplés à un protéine G (RCPG). Il en existe 2 000 différentes.</w:t>
      </w:r>
    </w:p>
    <w:p>
      <w:pPr>
        <w:pStyle w:val="Paragraphedeliste"/>
        <w:numPr>
          <w:ilvl w:val="0"/>
          <w:numId w:val="44"/>
        </w:numPr>
      </w:pPr>
      <w:r>
        <w:t>Les récepteurs à activité tyrosine (tyrosine : acide aminé polaire composé d’un groupement alcool fixé sur un cycle carboné).</w:t>
      </w:r>
    </w:p>
    <w:p>
      <w:pPr>
        <w:pStyle w:val="Paragraphedeliste"/>
        <w:numPr>
          <w:ilvl w:val="0"/>
          <w:numId w:val="44"/>
        </w:numPr>
      </w:pPr>
      <w:r>
        <w:t>Les récepteurs couplet à un canal ionique.</w:t>
      </w:r>
    </w:p>
    <w:p>
      <w:r>
        <w:t>En fonction du type de médiateur, les récepteurs se situent majoritairement :</w:t>
      </w:r>
    </w:p>
    <w:tbl>
      <w:tblPr>
        <w:tblStyle w:val="Grilledetableauclaire"/>
        <w:tblW w:w="0" w:type="auto"/>
        <w:tblLook w:val="0480" w:firstRow="0" w:lastRow="0" w:firstColumn="1" w:lastColumn="0" w:noHBand="0" w:noVBand="1"/>
      </w:tblPr>
      <w:tblGrid>
        <w:gridCol w:w="1555"/>
        <w:gridCol w:w="2693"/>
        <w:gridCol w:w="3087"/>
      </w:tblGrid>
      <w:tr>
        <w:tc>
          <w:tcPr>
            <w:cnfStyle w:val="001000000000" w:firstRow="0" w:lastRow="0" w:firstColumn="1" w:lastColumn="0" w:oddVBand="0" w:evenVBand="0" w:oddHBand="0" w:evenHBand="0" w:firstRowFirstColumn="0" w:firstRowLastColumn="0" w:lastRowFirstColumn="0" w:lastRowLastColumn="0"/>
            <w:tcW w:w="1555" w:type="dxa"/>
          </w:tcPr>
          <w:p>
            <w:r>
              <w:t>Médiateur</w:t>
            </w:r>
          </w:p>
        </w:tc>
        <w:tc>
          <w:tcPr>
            <w:tcW w:w="2693" w:type="dxa"/>
          </w:tcPr>
          <w:p>
            <w:pPr>
              <w:cnfStyle w:val="000000000000" w:firstRow="0" w:lastRow="0" w:firstColumn="0" w:lastColumn="0" w:oddVBand="0" w:evenVBand="0" w:oddHBand="0" w:evenHBand="0" w:firstRowFirstColumn="0" w:firstRowLastColumn="0" w:lastRowFirstColumn="0" w:lastRowLastColumn="0"/>
            </w:pPr>
            <w:r>
              <w:t>soluble</w:t>
            </w:r>
          </w:p>
        </w:tc>
        <w:tc>
          <w:tcPr>
            <w:tcW w:w="3087" w:type="dxa"/>
          </w:tcPr>
          <w:p>
            <w:pPr>
              <w:cnfStyle w:val="000000000000" w:firstRow="0" w:lastRow="0" w:firstColumn="0" w:lastColumn="0" w:oddVBand="0" w:evenVBand="0" w:oddHBand="0" w:evenHBand="0" w:firstRowFirstColumn="0" w:firstRowLastColumn="0" w:lastRowFirstColumn="0" w:lastRowLastColumn="0"/>
            </w:pPr>
            <w:r>
              <w:t>Petites hydrophobes</w:t>
            </w:r>
          </w:p>
        </w:tc>
      </w:tr>
      <w:tr>
        <w:tc>
          <w:tcPr>
            <w:cnfStyle w:val="001000000000" w:firstRow="0" w:lastRow="0" w:firstColumn="1" w:lastColumn="0" w:oddVBand="0" w:evenVBand="0" w:oddHBand="0" w:evenHBand="0" w:firstRowFirstColumn="0" w:firstRowLastColumn="0" w:lastRowFirstColumn="0" w:lastRowLastColumn="0"/>
            <w:tcW w:w="1555" w:type="dxa"/>
          </w:tcPr>
          <w:p>
            <w:r>
              <w:t>Position des récepteurs</w:t>
            </w:r>
          </w:p>
        </w:tc>
        <w:tc>
          <w:tcPr>
            <w:tcW w:w="2693" w:type="dxa"/>
          </w:tcPr>
          <w:p>
            <w:pPr>
              <w:cnfStyle w:val="000000000000" w:firstRow="0" w:lastRow="0" w:firstColumn="0" w:lastColumn="0" w:oddVBand="0" w:evenVBand="0" w:oddHBand="0" w:evenHBand="0" w:firstRowFirstColumn="0" w:firstRowLastColumn="0" w:lastRowFirstColumn="0" w:lastRowLastColumn="0"/>
            </w:pPr>
            <w:r>
              <w:t>Membrane plasmique</w:t>
            </w:r>
          </w:p>
        </w:tc>
        <w:tc>
          <w:tcPr>
            <w:tcW w:w="3087" w:type="dxa"/>
          </w:tcPr>
          <w:p>
            <w:pPr>
              <w:cnfStyle w:val="000000000000" w:firstRow="0" w:lastRow="0" w:firstColumn="0" w:lastColumn="0" w:oddVBand="0" w:evenVBand="0" w:oddHBand="0" w:evenHBand="0" w:firstRowFirstColumn="0" w:firstRowLastColumn="0" w:lastRowFirstColumn="0" w:lastRowLastColumn="0"/>
              <w:rPr>
                <w:b/>
              </w:rPr>
            </w:pPr>
            <w:r>
              <w:t>Cytosol</w:t>
            </w:r>
          </w:p>
          <w:p>
            <w:pPr>
              <w:cnfStyle w:val="000000000000" w:firstRow="0" w:lastRow="0" w:firstColumn="0" w:lastColumn="0" w:oddVBand="0" w:evenVBand="0" w:oddHBand="0" w:evenHBand="0" w:firstRowFirstColumn="0" w:firstRowLastColumn="0" w:lastRowFirstColumn="0" w:lastRowLastColumn="0"/>
            </w:pPr>
            <w:r>
              <w:t>Noyau</w:t>
            </w:r>
          </w:p>
        </w:tc>
      </w:tr>
      <w:tr>
        <w:tc>
          <w:tcPr>
            <w:cnfStyle w:val="001000000000" w:firstRow="0" w:lastRow="0" w:firstColumn="1" w:lastColumn="0" w:oddVBand="0" w:evenVBand="0" w:oddHBand="0" w:evenHBand="0" w:firstRowFirstColumn="0" w:firstRowLastColumn="0" w:lastRowFirstColumn="0" w:lastRowLastColumn="0"/>
            <w:tcW w:w="1555" w:type="dxa"/>
          </w:tcPr>
          <w:p>
            <w:r>
              <w:t>Exemple de médiateurs</w:t>
            </w:r>
          </w:p>
        </w:tc>
        <w:tc>
          <w:tcPr>
            <w:tcW w:w="2693" w:type="dxa"/>
          </w:tcPr>
          <w:p>
            <w:pPr>
              <w:cnfStyle w:val="000000000000" w:firstRow="0" w:lastRow="0" w:firstColumn="0" w:lastColumn="0" w:oddVBand="0" w:evenVBand="0" w:oddHBand="0" w:evenHBand="0" w:firstRowFirstColumn="0" w:firstRowLastColumn="0" w:lastRowFirstColumn="0" w:lastRowLastColumn="0"/>
            </w:pPr>
          </w:p>
        </w:tc>
        <w:tc>
          <w:tcPr>
            <w:tcW w:w="3087" w:type="dxa"/>
          </w:tcPr>
          <w:p>
            <w:pPr>
              <w:cnfStyle w:val="000000000000" w:firstRow="0" w:lastRow="0" w:firstColumn="0" w:lastColumn="0" w:oddVBand="0" w:evenVBand="0" w:oddHBand="0" w:evenHBand="0" w:firstRowFirstColumn="0" w:firstRowLastColumn="0" w:lastRowFirstColumn="0" w:lastRowLastColumn="0"/>
            </w:pPr>
            <w:r>
              <w:t>hormones thyroïdiennes, stéroïdes vitamine D</w:t>
            </w:r>
          </w:p>
        </w:tc>
      </w:tr>
    </w:tbl>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 xml:space="preserve">C’est par l’intermédiaire des virus que d’importantes découvertes ont été faires sur la compréhension des mécanismes moléculaires et sur la </w:t>
      </w:r>
      <w:r>
        <w:lastRenderedPageBreak/>
        <w:t>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w:t>
      </w:r>
      <w:r>
        <w:t xml:space="preserve"> ensemble des cellules qu’un virus est capable d’infecter.</w:t>
      </w:r>
    </w:p>
    <w:p>
      <w:r>
        <w:t>Les deux étapes réplication</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2"/>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pPr>
        <w:pStyle w:val="Titre2"/>
      </w:pPr>
      <w:r>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lastRenderedPageBreak/>
        <w:t>La sortie de la cellule hôte</w:t>
      </w:r>
    </w:p>
    <w:p>
      <w:r>
        <w:t xml:space="preserve">Une fois produit, les composants viraux s’assemblent spontanément et sorte de la cellule par bourgeonnement par 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t>Les activités humaines à travers la mondialisation ont aussi facilité la circulation des virus :</w:t>
      </w:r>
    </w:p>
    <w:p>
      <w:pPr>
        <w:pStyle w:val="Paragraphedeliste"/>
        <w:numPr>
          <w:ilvl w:val="0"/>
          <w:numId w:val="43"/>
        </w:numPr>
      </w:pPr>
      <w:r>
        <w:t>Multiplié les brassages de population.</w:t>
      </w:r>
    </w:p>
    <w:p>
      <w:pPr>
        <w:pStyle w:val="Paragraphedeliste"/>
        <w:numPr>
          <w:ilvl w:val="0"/>
          <w:numId w:val="43"/>
        </w:numPr>
      </w:pPr>
      <w:r>
        <w:t>Popularisé certaines pratiques qui favorisent les cas de transmission (l’utilisation de seringues pour s’injecter de la drogue, de pratiques sexuelles).</w:t>
      </w:r>
    </w:p>
    <w:p>
      <w:pPr>
        <w:pStyle w:val="Paragraphedeliste"/>
        <w:numPr>
          <w:ilvl w:val="0"/>
          <w:numId w:val="43"/>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t>Gérer les ressources matérielles et énergétiques de la cellule</w:t>
      </w:r>
    </w:p>
    <w:p>
      <w:r>
        <w:rPr>
          <w:rStyle w:val="Accentuation"/>
        </w:rPr>
        <w:lastRenderedPageBreak/>
        <w:t>Bioénergétique</w:t>
      </w:r>
      <w:r>
        <w:t xml:space="preserve"> étude de la gestion de l’énergie dans la cellule.</w:t>
      </w:r>
    </w:p>
    <w:p>
      <w:r>
        <w:rPr>
          <w:rStyle w:val="Accentuation"/>
        </w:rPr>
        <w:t>Énergie</w:t>
      </w:r>
      <w:r>
        <w:t xml:space="preserve"> pouvoir de changer la disposition de la matière.</w:t>
      </w:r>
    </w:p>
    <w:p>
      <w:r>
        <w:t>La lumière est un type d’énergie cinétique.</w:t>
      </w:r>
    </w:p>
    <w:p>
      <w:pPr>
        <w:pStyle w:val="Titre1"/>
      </w:pPr>
      <w:r>
        <w:t>Le comportement</w:t>
      </w:r>
    </w:p>
    <w:p>
      <w:r>
        <w:t>Comme le comportement est essentiel à la survie et à la reproduction, il est soumis importante à la sélection naturelle.</w:t>
      </w:r>
    </w:p>
    <w:p>
      <w:r>
        <w:t>Tout milieu naturel présente une certaine variation spatiale émergence des comportements.</w:t>
      </w:r>
    </w:p>
    <w:p>
      <w:r>
        <w:t>L’étude du comportement s’intéresse :</w:t>
      </w:r>
    </w:p>
    <w:p>
      <w:pPr>
        <w:pStyle w:val="Paragraphedeliste"/>
        <w:numPr>
          <w:ilvl w:val="0"/>
          <w:numId w:val="43"/>
        </w:numPr>
      </w:pPr>
      <w:r>
        <w:t>Aux causes immédiates, aux raisons d’être (contexte évolutif) et aux stimulus.</w:t>
      </w:r>
    </w:p>
    <w:p>
      <w:pPr>
        <w:pStyle w:val="Paragraphedeliste"/>
        <w:numPr>
          <w:ilvl w:val="0"/>
          <w:numId w:val="43"/>
        </w:numPr>
      </w:pPr>
      <w:r>
        <w:t>Aux variations possibles et à l’influence de l’expérience dans son expression.</w:t>
      </w:r>
    </w:p>
    <w:p>
      <w:r>
        <w:rPr>
          <w:rStyle w:val="Accentuation"/>
        </w:rPr>
        <w:t>Séquence stéréotypée</w:t>
      </w:r>
      <w:r>
        <w:t xml:space="preserve"> suite d’actes instinctifs invariable et non appris déclencheur externe qui provoque le comportement.</w:t>
      </w:r>
    </w:p>
    <w:p>
      <w:pPr>
        <w:pStyle w:val="Titre2"/>
      </w:pPr>
      <w:r>
        <w:t>Les stimulus environnementaux</w:t>
      </w:r>
    </w:p>
    <w:p>
      <w:pPr>
        <w:pStyle w:val="Titre3"/>
      </w:pPr>
      <w:r>
        <w:t>Les comportements périodiques</w:t>
      </w:r>
    </w:p>
    <w:p>
      <w:r>
        <w:t>De nombreux comportements sont lié à des rythmes biologique (horloge circadienne, circannuel). C’est le cas du crabe violoniste dont la reproduction a lieu en fonction du calendrier lunaire. la lune influence les marées. En es œufs soient emportés au fond de l’océan où ils seront plus à l’abris des prédateurs</w:t>
      </w:r>
    </w:p>
    <w:p>
      <w:r>
        <w:t xml:space="preserve">Crabe violoniste comportement lié au calendrier lunaire sa position et se taille sont déterminante sur les marées. </w:t>
      </w:r>
    </w:p>
    <w:p>
      <w:pPr>
        <w:pStyle w:val="Titre2"/>
      </w:pPr>
      <w:r>
        <w:t xml:space="preserve">Les comportements sociaux </w:t>
      </w:r>
    </w:p>
    <w:p>
      <w:r>
        <w:t>Certains comportements en réponse à un signal produit par un autre animal.</w:t>
      </w:r>
    </w:p>
    <w:p>
      <w:pPr>
        <w:pStyle w:val="Titre3"/>
      </w:pPr>
      <w:r>
        <w:t>La communication</w:t>
      </w:r>
    </w:p>
    <w:p>
      <w:r>
        <w:t>Les quatre modes de communication les plus répandus chez les animaux sont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Visuel</w:t>
            </w:r>
          </w:p>
        </w:tc>
        <w:tc>
          <w:tcPr>
            <w:tcW w:w="1834" w:type="dxa"/>
          </w:tcPr>
          <w:p>
            <w:r>
              <w:t>chimique</w:t>
            </w:r>
          </w:p>
        </w:tc>
        <w:tc>
          <w:tcPr>
            <w:tcW w:w="1834" w:type="dxa"/>
          </w:tcPr>
          <w:p>
            <w:r>
              <w:t>tactile</w:t>
            </w:r>
          </w:p>
        </w:tc>
        <w:tc>
          <w:tcPr>
            <w:tcW w:w="1834" w:type="dxa"/>
          </w:tcPr>
          <w:p>
            <w:r>
              <w:t>auditif</w:t>
            </w:r>
          </w:p>
        </w:tc>
      </w:tr>
    </w:tbl>
    <w:p>
      <w:r>
        <w:t>L’environnement est déterminant dans le mode de communication utilisé. Par exemple, certains modes de vies sont peu propices à l’utilisation de certains types de communications comme peu d’animaux nocturnes communiquent par en utilisant la vision.</w:t>
      </w:r>
    </w:p>
    <w:p>
      <w:r>
        <w:t xml:space="preserve">Innée fixé et invariable et apprentissage </w:t>
      </w:r>
    </w:p>
    <w:p>
      <w:r>
        <w:rPr>
          <w:u w:val="single"/>
        </w:rPr>
        <w:t>Rmq :</w:t>
      </w:r>
      <w:r>
        <w:t xml:space="preserve"> Généralement les comportements l’intensité d’expression d’un comportement est dépend pour partie de l’histoire de l’individu et de. Son environnement. C’est le résultat d’un subtil mélange entre d’innée et d’appris. C’est particulièrement vrai chez les mammifères.</w:t>
      </w:r>
    </w:p>
    <w:p>
      <w:r>
        <w:rPr>
          <w:rStyle w:val="Accentuation"/>
        </w:rPr>
        <w:t>Apprentissage</w:t>
      </w:r>
      <w:r>
        <w:t xml:space="preserve"> modification du comportement à la suite d’expériences particulières.</w:t>
      </w:r>
    </w:p>
    <w:p>
      <w:r>
        <w:rPr>
          <w:rStyle w:val="Accentuation"/>
        </w:rPr>
        <w:t>Imprégnation</w:t>
      </w:r>
      <w:r>
        <w:t xml:space="preserve"> comportement inné et appris qui a lieu pendant une période précise souvent durant une période critique de la vie de l’individu. </w:t>
      </w:r>
      <w:r>
        <w:rPr>
          <w:i/>
          <w:iCs/>
        </w:rPr>
        <w:t>Exemple : lorsque les parent et les enfants apprennent à se reconnaître.</w:t>
      </w:r>
    </w:p>
    <w:p>
      <w:r>
        <w:t>Apprentissage associatif associer une caractéristique à un autre gé</w:t>
      </w:r>
    </w:p>
    <w:p>
      <w:r>
        <w:t>Tous les animaux ne sont pas capables d’associer un sens avec un autre. Par exemple, les rats peuvent associer une odeur avec une nourriture mais pas une image.</w:t>
      </w:r>
    </w:p>
    <w:p>
      <w:r>
        <w:rPr>
          <w:rStyle w:val="Accentuation"/>
        </w:rPr>
        <w:t>Synesthésie</w:t>
      </w:r>
      <w:r>
        <w:t xml:space="preserve"> phénome neurologique qui correspond à l’association de plusieurs sens.</w:t>
      </w:r>
    </w:p>
    <w:p>
      <w:r>
        <w:lastRenderedPageBreak/>
        <w:t>Association reflet de relation susceptible de se produire dans la nature</w:t>
      </w:r>
    </w:p>
    <w:p>
      <w:r>
        <w:rPr>
          <w:rStyle w:val="Accentuation"/>
        </w:rPr>
        <w:t>Cognition</w:t>
      </w:r>
      <w:r>
        <w:t xml:space="preserve"> capacité à acquérir de la connaissance par la perception le raisonnement la mémoire et le jugement</w:t>
      </w:r>
    </w:p>
    <w:p>
      <w:r>
        <w:rPr>
          <w:rStyle w:val="Accentuation"/>
        </w:rPr>
        <w:t>Période critique</w:t>
      </w:r>
      <w:r>
        <w:t xml:space="preserve"> période durant laquelle l’acquisition d’un comportement.</w:t>
      </w:r>
    </w:p>
    <w:p>
      <w:pPr>
        <w:pStyle w:val="Titre2"/>
      </w:pPr>
      <w:r>
        <w:t>Comportement figé ou évolutif</w:t>
      </w:r>
    </w:p>
    <w:p>
      <w:r>
        <w:rPr>
          <w:u w:val="single"/>
        </w:rPr>
        <w:t>Rmq :</w:t>
      </w:r>
      <w:r>
        <w:t xml:space="preserve"> Un comportement figé n’est pas nécessairement d’origine innée. Il peut avoir été appris durant une période antérieure de la vie de l’individu.</w:t>
      </w:r>
    </w:p>
    <w:p>
      <w:r>
        <w:rPr>
          <w:rStyle w:val="Accentuation"/>
        </w:rPr>
        <w:t>Apprentissage social</w:t>
      </w:r>
      <w:r>
        <w:t xml:space="preserve"> appris en observant les autres individus.</w:t>
      </w:r>
    </w:p>
    <w:p>
      <w:r>
        <w:t>La plupart des comportements concernent directement soit :</w:t>
      </w:r>
    </w:p>
    <w:tbl>
      <w:tblPr>
        <w:tblStyle w:val="Grilledetableauclaire"/>
        <w:tblW w:w="0" w:type="auto"/>
        <w:tblLook w:val="0400" w:firstRow="0" w:lastRow="0" w:firstColumn="0" w:lastColumn="0" w:noHBand="0" w:noVBand="1"/>
      </w:tblPr>
      <w:tblGrid>
        <w:gridCol w:w="3667"/>
        <w:gridCol w:w="3668"/>
      </w:tblGrid>
      <w:tr>
        <w:tc>
          <w:tcPr>
            <w:tcW w:w="3667" w:type="dxa"/>
          </w:tcPr>
          <w:p>
            <w:r>
              <w:t>La reproduction</w:t>
            </w:r>
          </w:p>
        </w:tc>
        <w:tc>
          <w:tcPr>
            <w:tcW w:w="3668" w:type="dxa"/>
          </w:tcPr>
          <w:p>
            <w:r>
              <w:t>L’alimentation</w:t>
            </w:r>
          </w:p>
        </w:tc>
      </w:tr>
    </w:tbl>
    <w:p>
      <w:r>
        <w:rPr>
          <w:u w:val="single"/>
        </w:rPr>
        <w:t>Rmq :</w:t>
      </w:r>
      <w:r>
        <w:t xml:space="preserve"> la recherche de partenaire et la quête de nourriture sont les principales </w:t>
      </w:r>
    </w:p>
    <w:p>
      <w:pPr>
        <w:pStyle w:val="Titre3"/>
      </w:pPr>
      <w:r>
        <w:t>L’alimentation</w:t>
      </w:r>
    </w:p>
    <w:p>
      <w:r>
        <w:t>qui concerne la quête de nourriture</w:t>
      </w:r>
    </w:p>
    <w:p>
      <w:r>
        <w:t>Les comportements associés à la quête de nourriture</w:t>
      </w:r>
    </w:p>
    <w:p>
      <w:r>
        <w:t>sont influencé par minimiser le rapport temps/énergie et effort/énergie Les risques prédation risque de compromis dont le poids évolue en fonction de la relation de l’expérience et les autres êtres vivants.</w:t>
      </w:r>
    </w:p>
    <w:p>
      <w:pPr>
        <w:pStyle w:val="Titre3"/>
      </w:pPr>
      <w:r>
        <w:t>La reproduction</w:t>
      </w:r>
    </w:p>
    <w:p>
      <w:r>
        <w:t xml:space="preserve">Les comportements sexuels sont notamment liés à la promiscuité entre les individus. On </w:t>
      </w:r>
    </w:p>
    <w:tbl>
      <w:tblPr>
        <w:tblStyle w:val="Grilledetableauclaire"/>
        <w:tblW w:w="0" w:type="auto"/>
        <w:tblLook w:val="0400" w:firstRow="0" w:lastRow="0" w:firstColumn="0" w:lastColumn="0" w:noHBand="0" w:noVBand="1"/>
      </w:tblPr>
      <w:tblGrid>
        <w:gridCol w:w="3667"/>
        <w:gridCol w:w="3668"/>
      </w:tblGrid>
      <w:tr>
        <w:tc>
          <w:tcPr>
            <w:tcW w:w="3667" w:type="dxa"/>
          </w:tcPr>
          <w:p>
            <w:r>
              <w:t>Monogame</w:t>
            </w:r>
          </w:p>
        </w:tc>
        <w:tc>
          <w:tcPr>
            <w:tcW w:w="3668" w:type="dxa"/>
          </w:tcPr>
          <w:p>
            <w:r>
              <w:t>Polygame</w:t>
            </w:r>
          </w:p>
        </w:tc>
      </w:tr>
    </w:tbl>
    <w:p>
      <w:r>
        <w:rPr>
          <w:u w:val="single"/>
        </w:rPr>
        <w:t>Rmq :</w:t>
      </w:r>
      <w:r>
        <w:t xml:space="preserve"> Généralement la polygame est de type polygynie (opposition polyandrie) c’est-à-dire d’un mâle avec plusieurs femelles et que l’on trouve les majorités des cas de dimorphismes sexuels.</w:t>
      </w:r>
    </w:p>
    <w:p>
      <w:pPr>
        <w:pStyle w:val="Titre1"/>
      </w:pPr>
      <w:r>
        <w:t>Anatomie croissance et développement des végétaux</w:t>
      </w:r>
    </w:p>
    <w:p>
      <w:r>
        <w:t>Contrairement aux Animaux une plante réagit à son environnement en modifiant sa croissance.</w:t>
      </w:r>
    </w:p>
    <w:p>
      <w:r>
        <w:t>Les ressources ont besoin les plantes terrestres sont situés dans deux environnements avec des contraintes différentes :</w:t>
      </w:r>
    </w:p>
    <w:p>
      <w:pPr>
        <w:pStyle w:val="Paragraphedeliste"/>
        <w:numPr>
          <w:ilvl w:val="0"/>
          <w:numId w:val="49"/>
        </w:numPr>
      </w:pPr>
      <w:r>
        <w:t xml:space="preserve">Dans l’air où a lieu la fabrication des glucides par la photosynthèse. </w:t>
      </w:r>
    </w:p>
    <w:p>
      <w:pPr>
        <w:pStyle w:val="Paragraphedeliste"/>
        <w:numPr>
          <w:ilvl w:val="0"/>
          <w:numId w:val="49"/>
        </w:numPr>
      </w:pPr>
      <w:r>
        <w:t>Dans la terre pour y puiser l’eau et les minéraux.</w:t>
      </w:r>
    </w:p>
    <w:p>
      <w:r>
        <w:t xml:space="preserve">Pour les capter efficacement elles ont développé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(aérien)</w:t>
            </w:r>
          </w:p>
        </w:tc>
        <w:tc>
          <w:tcPr>
            <w:tcW w:w="3668" w:type="dxa"/>
          </w:tcPr>
          <w:p>
            <w:r>
              <w:t>Racinaire (souterrain)</w:t>
            </w:r>
          </w:p>
        </w:tc>
      </w:tr>
    </w:tbl>
    <w:p>
      <w:pPr>
        <w:pStyle w:val="Titre2"/>
      </w:pPr>
      <w:r>
        <w:t>Le système racinaire</w:t>
      </w:r>
    </w:p>
    <w:p>
      <w:r>
        <w:t>Les racines permettent :</w:t>
      </w:r>
    </w:p>
    <w:p>
      <w:pPr>
        <w:pStyle w:val="Paragraphedeliste"/>
        <w:numPr>
          <w:ilvl w:val="0"/>
          <w:numId w:val="45"/>
        </w:numPr>
      </w:pPr>
      <w:r>
        <w:t xml:space="preserve">La fixation </w:t>
      </w:r>
    </w:p>
    <w:p>
      <w:pPr>
        <w:pStyle w:val="Paragraphedeliste"/>
        <w:numPr>
          <w:ilvl w:val="0"/>
          <w:numId w:val="45"/>
        </w:numPr>
      </w:pPr>
      <w:r>
        <w:t>Absorbation les minéraux</w:t>
      </w:r>
    </w:p>
    <w:p>
      <w:pPr>
        <w:pStyle w:val="Paragraphedeliste"/>
        <w:numPr>
          <w:ilvl w:val="0"/>
          <w:numId w:val="45"/>
        </w:numPr>
      </w:pPr>
      <w:r>
        <w:t>(dans certain) le stockage d’eau ou de glucides</w:t>
      </w:r>
    </w:p>
    <w:tbl>
      <w:tblPr>
        <w:tblStyle w:val="Grilledetableauclaire"/>
        <w:tblW w:w="0" w:type="auto"/>
        <w:tblLook w:val="04A0" w:firstRow="1" w:lastRow="0" w:firstColumn="1" w:lastColumn="0" w:noHBand="0" w:noVBand="1"/>
      </w:tblPr>
      <w:tblGrid>
        <w:gridCol w:w="1555"/>
        <w:gridCol w:w="333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tc>
        <w:tc>
          <w:tcPr>
            <w:tcW w:w="3335" w:type="dxa"/>
          </w:tcPr>
          <w:p>
            <w:pPr>
              <w:cnfStyle w:val="100000000000" w:firstRow="1" w:lastRow="0" w:firstColumn="0" w:lastColumn="0" w:oddVBand="0" w:evenVBand="0" w:oddHBand="0" w:evenHBand="0" w:firstRowFirstColumn="0" w:firstRowLastColumn="0" w:lastRowFirstColumn="0" w:lastRowLastColumn="0"/>
            </w:pPr>
            <w:r>
              <w:t xml:space="preserve">Eudicotylédones </w:t>
            </w:r>
          </w:p>
        </w:tc>
        <w:tc>
          <w:tcPr>
            <w:tcW w:w="2445" w:type="dxa"/>
          </w:tcPr>
          <w:p>
            <w:pPr>
              <w:cnfStyle w:val="100000000000" w:firstRow="1" w:lastRow="0" w:firstColumn="0" w:lastColumn="0" w:oddVBand="0" w:evenVBand="0" w:oddHBand="0" w:evenHBand="0" w:firstRowFirstColumn="0" w:firstRowLastColumn="0" w:lastRowFirstColumn="0" w:lastRowLastColumn="0"/>
            </w:pPr>
            <w:r>
              <w:t>Monocotylédone</w:t>
            </w:r>
          </w:p>
        </w:tc>
      </w:tr>
      <w:tr>
        <w:tc>
          <w:tcPr>
            <w:cnfStyle w:val="001000000000" w:firstRow="0" w:lastRow="0" w:firstColumn="1" w:lastColumn="0" w:oddVBand="0" w:evenVBand="0" w:oddHBand="0" w:evenHBand="0" w:firstRowFirstColumn="0" w:firstRowLastColumn="0" w:lastRowFirstColumn="0" w:lastRowLastColumn="0"/>
            <w:tcW w:w="1555" w:type="dxa"/>
          </w:tcPr>
          <w:p>
            <w:r>
              <w:t>Racines</w:t>
            </w:r>
          </w:p>
        </w:tc>
        <w:tc>
          <w:tcPr>
            <w:tcW w:w="3335" w:type="dxa"/>
          </w:tcPr>
          <w:p>
            <w:pPr>
              <w:cnfStyle w:val="000000000000" w:firstRow="0" w:lastRow="0" w:firstColumn="0" w:lastColumn="0" w:oddVBand="0" w:evenVBand="0" w:oddHBand="0" w:evenHBand="0" w:firstRowFirstColumn="0" w:firstRowLastColumn="0" w:lastRowFirstColumn="0" w:lastRowLastColumn="0"/>
            </w:pPr>
            <w:r>
              <w:t>racine principale pivotante avec des petits racines latérales ou fasciculés</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 Adventives de petites racines émergent la tige</w:t>
            </w:r>
          </w:p>
        </w:tc>
      </w:tr>
      <w:tr>
        <w:tc>
          <w:tcPr>
            <w:cnfStyle w:val="001000000000" w:firstRow="0" w:lastRow="0" w:firstColumn="1" w:lastColumn="0" w:oddVBand="0" w:evenVBand="0" w:oddHBand="0" w:evenHBand="0" w:firstRowFirstColumn="0" w:firstRowLastColumn="0" w:lastRowFirstColumn="0" w:lastRowLastColumn="0"/>
            <w:tcW w:w="1555" w:type="dxa"/>
          </w:tcPr>
          <w:p>
            <w:r>
              <w:t>Pénétration dans le sol</w:t>
            </w:r>
          </w:p>
        </w:tc>
        <w:tc>
          <w:tcPr>
            <w:tcW w:w="3335" w:type="dxa"/>
          </w:tcPr>
          <w:p>
            <w:pPr>
              <w:cnfStyle w:val="000000000000" w:firstRow="0" w:lastRow="0" w:firstColumn="0" w:lastColumn="0" w:oddVBand="0" w:evenVBand="0" w:oddHBand="0" w:evenHBand="0" w:firstRowFirstColumn="0" w:firstRowLastColumn="0" w:lastRowFirstColumn="0" w:lastRowLastColumn="0"/>
            </w:pPr>
            <w:r>
              <w:t>Profonde</w:t>
            </w:r>
          </w:p>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superficiel fasciculé </w:t>
            </w:r>
          </w:p>
        </w:tc>
      </w:tr>
    </w:tbl>
    <w:p>
      <w:r>
        <w:t xml:space="preserve">Adventive  </w:t>
      </w:r>
    </w:p>
    <w:p>
      <w:r>
        <w:t>L’absorption se fait à l’extrémité des racines par les apex. Apex dotés de nombreux poils absorbants.</w:t>
      </w:r>
    </w:p>
    <w:p>
      <w:r>
        <w:t xml:space="preserve">Tige nœuds point d’attaches des feuilles ou des branches </w:t>
      </w:r>
    </w:p>
    <w:p>
      <w:r>
        <w:t>Entre nœud</w:t>
      </w:r>
    </w:p>
    <w:p>
      <w:r>
        <w:lastRenderedPageBreak/>
        <w:t>Feuille et tige bourgeon axillaire d’où peut émerger une tige latérale appelé branche</w:t>
      </w:r>
    </w:p>
    <w:p>
      <w:r>
        <w:t>Bourgeon apical (ou terminal) extrémité de la tige principale</w:t>
      </w:r>
    </w:p>
    <w:p>
      <w:r>
        <w:t xml:space="preserve">Elle croit généralement plus vote que les bourgeons axillaires </w:t>
      </w:r>
    </w:p>
    <w:p>
      <w:r>
        <w:t>Le bourgeon apical inhibe le développement des bourgeons axillaire dominance apicale</w:t>
      </w:r>
    </w:p>
    <w:p>
      <w:r>
        <w:t xml:space="preserve">Lors le bourgeon apical est endommagé ou rencontre un environnement défavorable il arrête de se développer au profit des bourgeons axillaire </w:t>
      </w:r>
    </w:p>
    <w:p>
      <w:pPr>
        <w:rPr>
          <w:i/>
          <w:iCs/>
        </w:rPr>
      </w:pPr>
      <w:r>
        <w:rPr>
          <w:i/>
          <w:iCs/>
        </w:rPr>
        <w:t>Exemples de tiges spécialisées : rhizome, stolon, bulbe et tubercule.</w:t>
      </w:r>
    </w:p>
    <w:p>
      <w:r>
        <w:t>Feuille les principaux organes de la photosynthèse</w:t>
      </w:r>
    </w:p>
    <w:tbl>
      <w:tblPr>
        <w:tblStyle w:val="Grilledetableauclaire"/>
        <w:tblW w:w="0" w:type="auto"/>
        <w:tblLook w:val="04A0" w:firstRow="1" w:lastRow="0" w:firstColumn="1" w:lastColumn="0" w:noHBand="0" w:noVBand="1"/>
      </w:tblPr>
      <w:tblGrid>
        <w:gridCol w:w="1129"/>
        <w:gridCol w:w="2552"/>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552" w:type="dxa"/>
          </w:tcPr>
          <w:p>
            <w:pPr>
              <w:cnfStyle w:val="100000000000" w:firstRow="1" w:lastRow="0" w:firstColumn="0" w:lastColumn="0" w:oddVBand="0" w:evenVBand="0" w:oddHBand="0" w:evenHBand="0" w:firstRowFirstColumn="0" w:firstRowLastColumn="0" w:lastRowFirstColumn="0" w:lastRowLastColumn="0"/>
            </w:pPr>
            <w:r>
              <w:t>Eudicotylédone</w:t>
            </w:r>
          </w:p>
        </w:tc>
        <w:tc>
          <w:tcPr>
            <w:tcW w:w="3654" w:type="dxa"/>
          </w:tcPr>
          <w:p>
            <w:pPr>
              <w:cnfStyle w:val="100000000000" w:firstRow="1" w:lastRow="0" w:firstColumn="0" w:lastColumn="0" w:oddVBand="0" w:evenVBand="0" w:oddHBand="0" w:evenHBand="0" w:firstRowFirstColumn="0" w:firstRowLastColumn="0" w:lastRowFirstColumn="0" w:lastRowLastColumn="0"/>
            </w:pPr>
            <w:r>
              <w:t>Monocotylédone/ les graminées</w:t>
            </w:r>
          </w:p>
        </w:tc>
      </w:tr>
      <w:tr>
        <w:tc>
          <w:tcPr>
            <w:cnfStyle w:val="001000000000" w:firstRow="0" w:lastRow="0" w:firstColumn="1" w:lastColumn="0" w:oddVBand="0" w:evenVBand="0" w:oddHBand="0" w:evenHBand="0" w:firstRowFirstColumn="0" w:firstRowLastColumn="0" w:lastRowFirstColumn="0" w:lastRowLastColumn="0"/>
            <w:tcW w:w="1129" w:type="dxa"/>
          </w:tcPr>
          <w:p>
            <w:r>
              <w:t>Feuille</w:t>
            </w:r>
          </w:p>
        </w:tc>
        <w:tc>
          <w:tcPr>
            <w:tcW w:w="2552" w:type="dxa"/>
          </w:tcPr>
          <w:p>
            <w:pPr>
              <w:cnfStyle w:val="000000000000" w:firstRow="0" w:lastRow="0" w:firstColumn="0" w:lastColumn="0" w:oddVBand="0" w:evenVBand="0" w:oddHBand="0" w:evenHBand="0" w:firstRowFirstColumn="0" w:firstRowLastColumn="0" w:lastRowFirstColumn="0" w:lastRowLastColumn="0"/>
            </w:pPr>
            <w:r>
              <w:t xml:space="preserve">Limbe </w:t>
            </w:r>
          </w:p>
          <w:p>
            <w:pPr>
              <w:cnfStyle w:val="000000000000" w:firstRow="0" w:lastRow="0" w:firstColumn="0" w:lastColumn="0" w:oddVBand="0" w:evenVBand="0" w:oddHBand="0" w:evenHBand="0" w:firstRowFirstColumn="0" w:firstRowLastColumn="0" w:lastRowFirstColumn="0" w:lastRowLastColumn="0"/>
            </w:pPr>
            <w:r>
              <w:t>Pétiole</w:t>
            </w:r>
          </w:p>
        </w:tc>
        <w:tc>
          <w:tcPr>
            <w:tcW w:w="3654" w:type="dxa"/>
          </w:tcPr>
          <w:p>
            <w:pPr>
              <w:cnfStyle w:val="000000000000" w:firstRow="0" w:lastRow="0" w:firstColumn="0" w:lastColumn="0" w:oddVBand="0" w:evenVBand="0" w:oddHBand="0" w:evenHBand="0" w:firstRowFirstColumn="0" w:firstRowLastColumn="0" w:lastRowFirstColumn="0" w:lastRowLastColumn="0"/>
            </w:pPr>
            <w:r>
              <w:t>Pas de pétiole</w:t>
            </w:r>
          </w:p>
        </w:tc>
      </w:tr>
      <w:tr>
        <w:tc>
          <w:tcPr>
            <w:cnfStyle w:val="001000000000" w:firstRow="0" w:lastRow="0" w:firstColumn="1" w:lastColumn="0" w:oddVBand="0" w:evenVBand="0" w:oddHBand="0" w:evenHBand="0" w:firstRowFirstColumn="0" w:firstRowLastColumn="0" w:lastRowFirstColumn="0" w:lastRowLastColumn="0"/>
            <w:tcW w:w="1129" w:type="dxa"/>
          </w:tcPr>
          <w:p>
            <w:r>
              <w:t>Nervure</w:t>
            </w:r>
          </w:p>
        </w:tc>
        <w:tc>
          <w:tcPr>
            <w:tcW w:w="2552" w:type="dxa"/>
          </w:tcPr>
          <w:p>
            <w:pPr>
              <w:cnfStyle w:val="000000000000" w:firstRow="0" w:lastRow="0" w:firstColumn="0" w:lastColumn="0" w:oddVBand="0" w:evenVBand="0" w:oddHBand="0" w:evenHBand="0" w:firstRowFirstColumn="0" w:firstRowLastColumn="0" w:lastRowFirstColumn="0" w:lastRowLastColumn="0"/>
            </w:pPr>
            <w:r>
              <w:t>Réseau ramifié</w:t>
            </w:r>
          </w:p>
        </w:tc>
        <w:tc>
          <w:tcPr>
            <w:tcW w:w="3654" w:type="dxa"/>
          </w:tcPr>
          <w:p>
            <w:pPr>
              <w:cnfStyle w:val="000000000000" w:firstRow="0" w:lastRow="0" w:firstColumn="0" w:lastColumn="0" w:oddVBand="0" w:evenVBand="0" w:oddHBand="0" w:evenHBand="0" w:firstRowFirstColumn="0" w:firstRowLastColumn="0" w:lastRowFirstColumn="0" w:lastRowLastColumn="0"/>
            </w:pPr>
            <w:r>
              <w:t>Parallèle et en longueur</w:t>
            </w:r>
          </w:p>
        </w:tc>
      </w:tr>
    </w:tbl>
    <w:p>
      <w:r>
        <w:t>Trois types de feuilles</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Simple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 penné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Certaine feuille spécialisé vrille épine, stockage reproduction</w:t>
      </w:r>
    </w:p>
    <w:p>
      <w:r>
        <w:t>Les organes des plantes sont les racines, les tiges et les feuilles.</w:t>
      </w:r>
    </w:p>
    <w:p>
      <w:r>
        <w:t>Trois types de tissus présents dans toute la plante et qui sont continus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w:t>
            </w:r>
          </w:p>
        </w:tc>
        <w:tc>
          <w:tcPr>
            <w:tcW w:w="2445" w:type="dxa"/>
          </w:tcPr>
          <w:p>
            <w:r>
              <w:t>Fondamentaux</w:t>
            </w:r>
          </w:p>
        </w:tc>
      </w:tr>
    </w:tbl>
    <w:p>
      <w:r>
        <w:t>Chaque tissue forme un tout continue que l’on retrouve dans toutes les parties de la plante.</w:t>
      </w:r>
    </w:p>
    <w:p>
      <w:pPr>
        <w:pStyle w:val="Titre3"/>
      </w:pPr>
      <w:r>
        <w:t>Les tissus de revêtement</w:t>
      </w:r>
    </w:p>
    <w:p>
      <w:r>
        <w:t>Les tissus de revêtement servent notamment à la protection. avec des caractéristiques différentes en fonction de sa position</w:t>
      </w:r>
    </w:p>
    <w:p>
      <w:r>
        <w:t>Certains tissus de revêtements spécialité :</w:t>
      </w:r>
    </w:p>
    <w:p>
      <w:pPr>
        <w:pStyle w:val="Paragraphedeliste"/>
        <w:numPr>
          <w:ilvl w:val="0"/>
          <w:numId w:val="47"/>
        </w:numPr>
      </w:pPr>
      <w:r>
        <w:t>Poils absorbants sur les racines</w:t>
      </w:r>
    </w:p>
    <w:p>
      <w:pPr>
        <w:pStyle w:val="Paragraphedeliste"/>
        <w:numPr>
          <w:ilvl w:val="0"/>
          <w:numId w:val="47"/>
        </w:numPr>
      </w:pPr>
      <w:r>
        <w:rPr>
          <w:rStyle w:val="Accentuation"/>
        </w:rPr>
        <w:t>Trichome</w:t>
      </w:r>
      <w:r>
        <w:t xml:space="preserve"> poils de protection qui protègent le système caudal contre les insectes et qui reflètent la lumière.</w:t>
      </w:r>
    </w:p>
    <w:p>
      <w:pPr>
        <w:pStyle w:val="Titre3"/>
      </w:pPr>
      <w:r>
        <w:t>Les tissus conducteurs</w:t>
      </w:r>
    </w:p>
    <w:p>
      <w:r>
        <w:t xml:space="preserve">Les tissus conducteurs constituent la stèle c’est-à-dire les vaisseaux du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Xylème</w:t>
            </w:r>
          </w:p>
        </w:tc>
        <w:tc>
          <w:tcPr>
            <w:tcW w:w="3668" w:type="dxa"/>
          </w:tcPr>
          <w:p>
            <w:pPr>
              <w:cnfStyle w:val="100000000000" w:firstRow="1" w:lastRow="0" w:firstColumn="0" w:lastColumn="0" w:oddVBand="0" w:evenVBand="0" w:oddHBand="0" w:evenHBand="0" w:firstRowFirstColumn="0" w:firstRowLastColumn="0" w:lastRowFirstColumn="0" w:lastRowLastColumn="0"/>
            </w:pPr>
            <w:r>
              <w:t>Phloème</w:t>
            </w:r>
          </w:p>
        </w:tc>
      </w:tr>
    </w:tbl>
    <w:p>
      <w:r>
        <w:t xml:space="preserve">Chez les Angiosperme tige cylindre vasculaire feuille faisceaux </w:t>
      </w:r>
      <w:proofErr w:type="spellStart"/>
      <w:r>
        <w:t>lihéroligneur</w:t>
      </w:r>
      <w:proofErr w:type="spellEnd"/>
    </w:p>
    <w:p>
      <w:pPr>
        <w:pStyle w:val="Titre3"/>
      </w:pPr>
      <w:r>
        <w:t>Les tissus fondamentaux</w:t>
      </w:r>
    </w:p>
    <w:p>
      <w:r>
        <w:t>Fondamentaux dans les cylindres des tissus conducteurs moelle cortex cortex à l’extrémité remplissage soutient stockage</w:t>
      </w:r>
    </w:p>
    <w:p>
      <w:pPr>
        <w:pStyle w:val="Titre1"/>
      </w:pPr>
      <w:r>
        <w:t>La nutrition chez les animaux</w:t>
      </w:r>
    </w:p>
    <w:p>
      <w:r>
        <w:t>La nutrition doit permettre de :</w:t>
      </w:r>
    </w:p>
    <w:p>
      <w:pPr>
        <w:pStyle w:val="Paragraphedeliste"/>
        <w:numPr>
          <w:ilvl w:val="0"/>
          <w:numId w:val="48"/>
        </w:numPr>
      </w:pPr>
      <w:r>
        <w:t>D’apporter l’énergie chimique nécessaire aux processus cellulaires</w:t>
      </w:r>
    </w:p>
    <w:p>
      <w:pPr>
        <w:pStyle w:val="Paragraphedeliste"/>
        <w:numPr>
          <w:ilvl w:val="0"/>
          <w:numId w:val="48"/>
        </w:numPr>
      </w:pPr>
      <w:r>
        <w:t>De fabriquer les molécules qui nous constitut. Ce phénome porte le nom de biosynthèse notamment le carbone organique et azote</w:t>
      </w:r>
    </w:p>
    <w:p>
      <w:pPr>
        <w:pStyle w:val="Paragraphedeliste"/>
        <w:numPr>
          <w:ilvl w:val="0"/>
          <w:numId w:val="48"/>
        </w:numPr>
      </w:pPr>
      <w:r>
        <w:t xml:space="preserve">De prélever les nutriments essentiels à l’activité cellulaire c’est-à-dire les molécules incapables de synthétiser </w:t>
      </w:r>
    </w:p>
    <w:p>
      <w:r>
        <w:t>Les êtres vivants doivent s’assurer de l’équilibre entre l’énergie dépensée et celle emmagasinée au risque de mettre en danger leur santé.</w:t>
      </w:r>
    </w:p>
    <w:p>
      <w:r>
        <w:t>Les protéines animales sont dites complètes car elles contiennent les acides aminés en proportion adéquate aux besoins humains (par opposition à celles animales dites incomplète).</w:t>
      </w:r>
    </w:p>
    <w:p>
      <w:pPr>
        <w:pStyle w:val="Titre2"/>
      </w:pPr>
      <w:r>
        <w:lastRenderedPageBreak/>
        <w:t>Les nutriments</w:t>
      </w:r>
    </w:p>
    <w:p>
      <w:r>
        <w:t>Quatre types de nutriments sont essentiels pour les Animaux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Acides gras essentiels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 au travers de l’alimentation.</w:t>
      </w:r>
    </w:p>
    <w:p>
      <w:pPr>
        <w:pStyle w:val="Titre3"/>
      </w:pPr>
      <w:r>
        <w:t>Les vitamines</w:t>
      </w:r>
    </w:p>
    <w:p>
      <w:r>
        <w:t>Les vitamines sont des molécules qui remplissent diverses fonctions. Elles sont la plupart du temps des coenzymes.</w:t>
      </w:r>
    </w:p>
    <w:p>
      <w:r>
        <w:t>L’être humain a besoin de 13 vitamines. Une carence provoque des maladies.</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(Les 8 vitamines B et la C)</w:t>
            </w:r>
          </w:p>
        </w:tc>
        <w:tc>
          <w:tcPr>
            <w:tcW w:w="3229" w:type="dxa"/>
          </w:tcPr>
          <w:p>
            <w:r>
              <w:t>Liposoluble (A, D, E et K)</w:t>
            </w:r>
          </w:p>
        </w:tc>
      </w:tr>
    </w:tbl>
    <w:p>
      <w:r>
        <w:rPr>
          <w:u w:val="single"/>
        </w:rPr>
        <w:t>Rmq :</w:t>
      </w:r>
      <w:r>
        <w:t xml:space="preserve"> les vitamines liposolubles toxiques car difficilement éliminable en </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 (Ca)</w:t>
            </w:r>
          </w:p>
        </w:tc>
        <w:tc>
          <w:tcPr>
            <w:tcW w:w="5213" w:type="dxa"/>
          </w:tcPr>
          <w:p>
            <w:r>
              <w:t>Produits laitiers, légumes vert foncé, légumineuse</w:t>
            </w:r>
          </w:p>
        </w:tc>
      </w:tr>
      <w:tr>
        <w:tc>
          <w:tcPr>
            <w:tcW w:w="2122" w:type="dxa"/>
          </w:tcPr>
          <w:p>
            <w:r>
              <w:t>Phosphore (P)</w:t>
            </w:r>
          </w:p>
        </w:tc>
        <w:tc>
          <w:tcPr>
            <w:tcW w:w="5213" w:type="dxa"/>
          </w:tcPr>
          <w:p>
            <w:r>
              <w:t>Produits laitiers, viandes, céréales</w:t>
            </w:r>
          </w:p>
        </w:tc>
      </w:tr>
      <w:tr>
        <w:tc>
          <w:tcPr>
            <w:tcW w:w="2122" w:type="dxa"/>
          </w:tcPr>
          <w:p>
            <w:r>
              <w:t>Soufre (S)</w:t>
            </w:r>
          </w:p>
        </w:tc>
        <w:tc>
          <w:tcPr>
            <w:tcW w:w="5213" w:type="dxa"/>
          </w:tcPr>
          <w:p>
            <w:r>
              <w:t>Protéines de nombreuses sources</w:t>
            </w:r>
          </w:p>
        </w:tc>
      </w:tr>
      <w:tr>
        <w:tc>
          <w:tcPr>
            <w:tcW w:w="2122" w:type="dxa"/>
          </w:tcPr>
          <w:p>
            <w:r>
              <w:t>Potassium (K)</w:t>
            </w:r>
          </w:p>
        </w:tc>
        <w:tc>
          <w:tcPr>
            <w:tcW w:w="5213" w:type="dxa"/>
          </w:tcPr>
          <w:p>
            <w:r>
              <w:t>Viandes, produits laitiers, nombreux fruits et légumes, céréales</w:t>
            </w:r>
          </w:p>
        </w:tc>
      </w:tr>
      <w:tr>
        <w:tc>
          <w:tcPr>
            <w:tcW w:w="2122" w:type="dxa"/>
          </w:tcPr>
          <w:p>
            <w:r>
              <w:t>Chlore (Cl)</w:t>
            </w:r>
          </w:p>
        </w:tc>
        <w:tc>
          <w:tcPr>
            <w:tcW w:w="5213" w:type="dxa"/>
          </w:tcPr>
          <w:p>
            <w:r>
              <w:t>Sel</w:t>
            </w:r>
          </w:p>
        </w:tc>
      </w:tr>
      <w:tr>
        <w:tc>
          <w:tcPr>
            <w:tcW w:w="2122" w:type="dxa"/>
          </w:tcPr>
          <w:p>
            <w:r>
              <w:t>Sodium (Na)</w:t>
            </w:r>
          </w:p>
        </w:tc>
        <w:tc>
          <w:tcPr>
            <w:tcW w:w="5213" w:type="dxa"/>
          </w:tcPr>
          <w:p>
            <w:r>
              <w:t xml:space="preserve">Sel </w:t>
            </w:r>
          </w:p>
        </w:tc>
      </w:tr>
      <w:tr>
        <w:tc>
          <w:tcPr>
            <w:tcW w:w="2122" w:type="dxa"/>
          </w:tcPr>
          <w:p>
            <w:r>
              <w:t>Magnésium (Mg)</w:t>
            </w:r>
          </w:p>
        </w:tc>
        <w:tc>
          <w:tcPr>
            <w:tcW w:w="5213" w:type="dxa"/>
          </w:tcPr>
          <w:p>
            <w:r>
              <w:t>Céréale à grains entier, légumes verts feuillus</w:t>
            </w:r>
          </w:p>
        </w:tc>
      </w:tr>
      <w:tr>
        <w:tc>
          <w:tcPr>
            <w:tcW w:w="2122" w:type="dxa"/>
          </w:tcPr>
          <w:p>
            <w:r>
              <w:t>Fer (Fe)</w:t>
            </w:r>
          </w:p>
        </w:tc>
        <w:tc>
          <w:tcPr>
            <w:tcW w:w="5213" w:type="dxa"/>
          </w:tcPr>
          <w:p>
            <w:r>
              <w:t>Viande, œufs, légumineuses céréales à grains entiers, légumes verts</w:t>
            </w:r>
          </w:p>
        </w:tc>
      </w:tr>
      <w:tr>
        <w:trPr>
          <w:trHeight w:val="205"/>
        </w:trPr>
        <w:tc>
          <w:tcPr>
            <w:tcW w:w="2122" w:type="dxa"/>
          </w:tcPr>
          <w:p>
            <w:r>
              <w:t>Fluor (F)</w:t>
            </w:r>
          </w:p>
        </w:tc>
        <w:tc>
          <w:tcPr>
            <w:tcW w:w="5213" w:type="dxa"/>
          </w:tcPr>
          <w:p>
            <w:r>
              <w:t>Thé et fruits de mer</w:t>
            </w:r>
          </w:p>
        </w:tc>
      </w:tr>
      <w:tr>
        <w:tc>
          <w:tcPr>
            <w:tcW w:w="2122" w:type="dxa"/>
          </w:tcPr>
          <w:p>
            <w:r>
              <w:t>Iode (I)</w:t>
            </w:r>
          </w:p>
        </w:tc>
        <w:tc>
          <w:tcPr>
            <w:tcW w:w="5213" w:type="dxa"/>
          </w:tcPr>
          <w:p>
            <w:r>
              <w:t>Fruit de mer, produits laitiers, sel iodé</w:t>
            </w:r>
          </w:p>
        </w:tc>
      </w:tr>
    </w:tbl>
    <w:p>
      <w:pPr>
        <w:pStyle w:val="Sansinterligne"/>
      </w:pP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proofErr w:type="gramStart"/>
            <w:r>
              <w:t>Ca</w:t>
            </w:r>
            <w:proofErr w:type="gramEnd"/>
            <w:r>
              <w:t> ; P ; F</w:t>
            </w:r>
          </w:p>
        </w:tc>
      </w:tr>
      <w:tr>
        <w:tc>
          <w:tcPr>
            <w:tcW w:w="5240" w:type="dxa"/>
          </w:tcPr>
          <w:p>
            <w:r>
              <w:t>Formation de suc gastrique</w:t>
            </w:r>
          </w:p>
        </w:tc>
        <w:tc>
          <w:tcPr>
            <w:tcW w:w="2095" w:type="dxa"/>
          </w:tcPr>
          <w:p>
            <w:r>
              <w:t xml:space="preserve">Cl ; </w:t>
            </w:r>
          </w:p>
        </w:tc>
      </w:tr>
      <w:tr>
        <w:tc>
          <w:tcPr>
            <w:tcW w:w="5240" w:type="dxa"/>
          </w:tcPr>
          <w:p>
            <w:r>
              <w:t>Coagulation sanguine</w:t>
            </w:r>
          </w:p>
        </w:tc>
        <w:tc>
          <w:tcPr>
            <w:tcW w:w="2095" w:type="dxa"/>
          </w:tcPr>
          <w:p>
            <w:proofErr w:type="gramStart"/>
            <w:r>
              <w:t>Ca</w:t>
            </w:r>
            <w:proofErr w:type="gramEnd"/>
            <w:r>
              <w:t xml:space="preserve"> ; </w:t>
            </w:r>
          </w:p>
        </w:tc>
      </w:tr>
      <w:tr>
        <w:tc>
          <w:tcPr>
            <w:tcW w:w="5240" w:type="dxa"/>
          </w:tcPr>
          <w:p>
            <w:r>
              <w:t>Fonctions musculaires et nerveuses</w:t>
            </w:r>
          </w:p>
        </w:tc>
        <w:tc>
          <w:tcPr>
            <w:tcW w:w="2095" w:type="dxa"/>
          </w:tcPr>
          <w:p>
            <w:proofErr w:type="gramStart"/>
            <w:r>
              <w:t>Ca</w:t>
            </w:r>
            <w:proofErr w:type="gramEnd"/>
            <w:r>
              <w:t> ;</w:t>
            </w:r>
          </w:p>
        </w:tc>
      </w:tr>
      <w:tr>
        <w:tc>
          <w:tcPr>
            <w:tcW w:w="5240" w:type="dxa"/>
          </w:tcPr>
          <w:p>
            <w:r>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t>Constituant de certains acides aminés</w:t>
            </w:r>
          </w:p>
        </w:tc>
        <w:tc>
          <w:tcPr>
            <w:tcW w:w="2095" w:type="dxa"/>
          </w:tcPr>
          <w:p>
            <w:r>
              <w:t>S</w:t>
            </w:r>
          </w:p>
        </w:tc>
      </w:tr>
      <w:tr>
        <w:tc>
          <w:tcPr>
            <w:tcW w:w="5240" w:type="dxa"/>
          </w:tcPr>
          <w:p>
            <w:r>
              <w:t>Synthèse protéique</w:t>
            </w:r>
          </w:p>
        </w:tc>
        <w:tc>
          <w:tcPr>
            <w:tcW w:w="2095" w:type="dxa"/>
          </w:tcPr>
          <w:p>
            <w:r>
              <w:t>K ;</w:t>
            </w:r>
          </w:p>
        </w:tc>
      </w:tr>
      <w:tr>
        <w:tc>
          <w:tcPr>
            <w:tcW w:w="5240" w:type="dxa"/>
          </w:tcPr>
          <w:p>
            <w:r>
              <w:t>Synthèse des nucléotides</w:t>
            </w:r>
          </w:p>
        </w:tc>
        <w:tc>
          <w:tcPr>
            <w:tcW w:w="2095" w:type="dxa"/>
          </w:tcPr>
          <w:p>
            <w:r>
              <w:t>P ;</w:t>
            </w:r>
          </w:p>
        </w:tc>
      </w:tr>
      <w:tr>
        <w:tc>
          <w:tcPr>
            <w:tcW w:w="5240" w:type="dxa"/>
          </w:tcPr>
          <w:p>
            <w:r>
              <w:t>Bioénergétique de l’ATP</w:t>
            </w:r>
          </w:p>
        </w:tc>
        <w:tc>
          <w:tcPr>
            <w:tcW w:w="2095" w:type="dxa"/>
          </w:tcPr>
          <w:p>
            <w:r>
              <w:t xml:space="preserve">Mg ;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 ;</w:t>
            </w:r>
          </w:p>
        </w:tc>
      </w:tr>
      <w:tr>
        <w:tc>
          <w:tcPr>
            <w:tcW w:w="5240" w:type="dxa"/>
          </w:tcPr>
          <w:p>
            <w:r>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 Na ;</w:t>
            </w:r>
          </w:p>
        </w:tc>
      </w:tr>
      <w:tr>
        <w:tc>
          <w:tcPr>
            <w:tcW w:w="5240" w:type="dxa"/>
          </w:tcPr>
          <w:p>
            <w:r>
              <w:t>Équilibre osmotique</w:t>
            </w:r>
          </w:p>
        </w:tc>
        <w:tc>
          <w:tcPr>
            <w:tcW w:w="2095" w:type="dxa"/>
          </w:tcPr>
          <w:p>
            <w:r>
              <w:t xml:space="preserve">Cl ; </w:t>
            </w:r>
          </w:p>
        </w:tc>
      </w:tr>
      <w:tr>
        <w:tc>
          <w:tcPr>
            <w:tcW w:w="5240" w:type="dxa"/>
          </w:tcPr>
          <w:p>
            <w:r>
              <w:t>Équilibre acidobasique</w:t>
            </w:r>
          </w:p>
        </w:tc>
        <w:tc>
          <w:tcPr>
            <w:tcW w:w="2095" w:type="dxa"/>
          </w:tcPr>
          <w:p>
            <w:r>
              <w:t>P ; K ; Cl ; Na ;</w:t>
            </w:r>
          </w:p>
        </w:tc>
      </w:tr>
    </w:tbl>
    <w:p>
      <w:r>
        <w:rPr>
          <w:rStyle w:val="Accentuation"/>
        </w:rPr>
        <w:t>Épidémiologie</w:t>
      </w:r>
      <w:r>
        <w:t xml:space="preserve"> étude de la santé et des maladies chez les populations humaines.</w:t>
      </w:r>
    </w:p>
    <w:p>
      <w:pPr>
        <w:pStyle w:val="Titre2"/>
      </w:pPr>
      <w:r>
        <w:t>L’alimentation</w:t>
      </w:r>
    </w:p>
    <w:p>
      <w:r>
        <w:t>On définit les modes d’alimentation chez les animaux en fonction du type des aliments principaux qui compose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 (végétaux)</w:t>
            </w:r>
          </w:p>
        </w:tc>
        <w:tc>
          <w:tcPr>
            <w:tcW w:w="2445" w:type="dxa"/>
          </w:tcPr>
          <w:p>
            <w:r>
              <w:t>Carnivore (animaux)</w:t>
            </w:r>
          </w:p>
        </w:tc>
        <w:tc>
          <w:tcPr>
            <w:tcW w:w="2445" w:type="dxa"/>
          </w:tcPr>
          <w:p>
            <w:r>
              <w:t>Omnivore</w:t>
            </w:r>
          </w:p>
        </w:tc>
      </w:tr>
    </w:tbl>
    <w:p>
      <w:r>
        <w:rPr>
          <w:u w:val="single"/>
        </w:rPr>
        <w:t>Rmq :</w:t>
      </w:r>
      <w:r>
        <w:t xml:space="preserve"> Tous les animaux consomment des microorganismes même malgré eux 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lastRenderedPageBreak/>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6"/>
        </w:numPr>
      </w:pPr>
      <w:r>
        <w:t>Filtration</w:t>
      </w:r>
    </w:p>
    <w:p>
      <w:pPr>
        <w:pStyle w:val="Paragraphedeliste"/>
        <w:numPr>
          <w:ilvl w:val="0"/>
          <w:numId w:val="46"/>
        </w:numPr>
      </w:pPr>
      <w:r>
        <w:t>Suspensivore animaux aquatiques qui se nourrissement en filtrant les particules en suspension dans l’eau (exemple moules, baleines).</w:t>
      </w:r>
    </w:p>
    <w:p>
      <w:pPr>
        <w:pStyle w:val="Paragraphedeliste"/>
        <w:numPr>
          <w:ilvl w:val="0"/>
          <w:numId w:val="46"/>
        </w:numPr>
      </w:pPr>
      <w:r>
        <w:t>Ingestion du substrat animaux qui vivent sur le substrat qu’ils consomment (exemple : chenille sur sa feuille)</w:t>
      </w:r>
    </w:p>
    <w:p>
      <w:pPr>
        <w:pStyle w:val="Paragraphedeliste"/>
        <w:numPr>
          <w:ilvl w:val="0"/>
          <w:numId w:val="46"/>
        </w:numPr>
      </w:pPr>
      <w:r>
        <w:t>Par aspiration aspire les liquides riches en nutriment d’une autre être vivant.</w:t>
      </w:r>
    </w:p>
    <w:p>
      <w:pPr>
        <w:pStyle w:val="Paragraphedeliste"/>
        <w:numPr>
          <w:ilvl w:val="0"/>
          <w:numId w:val="46"/>
        </w:numPr>
      </w:pPr>
      <w:r>
        <w:t>En vrac.</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Campbell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49.05pt;height:22.9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C128A7"/>
    <w:multiLevelType w:val="hybridMultilevel"/>
    <w:tmpl w:val="A220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0D71B72"/>
    <w:multiLevelType w:val="hybridMultilevel"/>
    <w:tmpl w:val="52920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BDF1C38"/>
    <w:multiLevelType w:val="hybridMultilevel"/>
    <w:tmpl w:val="A31CD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1"/>
  </w:num>
  <w:num w:numId="3">
    <w:abstractNumId w:val="13"/>
  </w:num>
  <w:num w:numId="4">
    <w:abstractNumId w:val="2"/>
  </w:num>
  <w:num w:numId="5">
    <w:abstractNumId w:val="11"/>
  </w:num>
  <w:num w:numId="6">
    <w:abstractNumId w:val="9"/>
  </w:num>
  <w:num w:numId="7">
    <w:abstractNumId w:val="15"/>
  </w:num>
  <w:num w:numId="8">
    <w:abstractNumId w:val="24"/>
  </w:num>
  <w:num w:numId="9">
    <w:abstractNumId w:val="35"/>
  </w:num>
  <w:num w:numId="10">
    <w:abstractNumId w:val="18"/>
  </w:num>
  <w:num w:numId="11">
    <w:abstractNumId w:val="20"/>
  </w:num>
  <w:num w:numId="12">
    <w:abstractNumId w:val="5"/>
  </w:num>
  <w:num w:numId="13">
    <w:abstractNumId w:val="39"/>
  </w:num>
  <w:num w:numId="14">
    <w:abstractNumId w:val="23"/>
  </w:num>
  <w:num w:numId="15">
    <w:abstractNumId w:val="28"/>
  </w:num>
  <w:num w:numId="16">
    <w:abstractNumId w:val="43"/>
  </w:num>
  <w:num w:numId="17">
    <w:abstractNumId w:val="6"/>
  </w:num>
  <w:num w:numId="18">
    <w:abstractNumId w:val="10"/>
  </w:num>
  <w:num w:numId="19">
    <w:abstractNumId w:val="27"/>
  </w:num>
  <w:num w:numId="20">
    <w:abstractNumId w:val="38"/>
  </w:num>
  <w:num w:numId="21">
    <w:abstractNumId w:val="22"/>
  </w:num>
  <w:num w:numId="22">
    <w:abstractNumId w:val="29"/>
  </w:num>
  <w:num w:numId="23">
    <w:abstractNumId w:val="46"/>
  </w:num>
  <w:num w:numId="24">
    <w:abstractNumId w:val="42"/>
  </w:num>
  <w:num w:numId="25">
    <w:abstractNumId w:val="45"/>
  </w:num>
  <w:num w:numId="26">
    <w:abstractNumId w:val="8"/>
  </w:num>
  <w:num w:numId="27">
    <w:abstractNumId w:val="1"/>
  </w:num>
  <w:num w:numId="28">
    <w:abstractNumId w:val="36"/>
  </w:num>
  <w:num w:numId="29">
    <w:abstractNumId w:val="16"/>
  </w:num>
  <w:num w:numId="30">
    <w:abstractNumId w:val="41"/>
  </w:num>
  <w:num w:numId="31">
    <w:abstractNumId w:val="26"/>
  </w:num>
  <w:num w:numId="32">
    <w:abstractNumId w:val="3"/>
  </w:num>
  <w:num w:numId="33">
    <w:abstractNumId w:val="37"/>
  </w:num>
  <w:num w:numId="34">
    <w:abstractNumId w:val="12"/>
  </w:num>
  <w:num w:numId="35">
    <w:abstractNumId w:val="32"/>
  </w:num>
  <w:num w:numId="36">
    <w:abstractNumId w:val="44"/>
  </w:num>
  <w:num w:numId="37">
    <w:abstractNumId w:val="17"/>
  </w:num>
  <w:num w:numId="38">
    <w:abstractNumId w:val="0"/>
  </w:num>
  <w:num w:numId="39">
    <w:abstractNumId w:val="48"/>
  </w:num>
  <w:num w:numId="40">
    <w:abstractNumId w:val="21"/>
  </w:num>
  <w:num w:numId="41">
    <w:abstractNumId w:val="19"/>
  </w:num>
  <w:num w:numId="42">
    <w:abstractNumId w:val="30"/>
  </w:num>
  <w:num w:numId="43">
    <w:abstractNumId w:val="33"/>
  </w:num>
  <w:num w:numId="44">
    <w:abstractNumId w:val="25"/>
  </w:num>
  <w:num w:numId="45">
    <w:abstractNumId w:val="14"/>
  </w:num>
  <w:num w:numId="46">
    <w:abstractNumId w:val="47"/>
  </w:num>
  <w:num w:numId="47">
    <w:abstractNumId w:val="40"/>
  </w:num>
  <w:num w:numId="48">
    <w:abstractNumId w:val="4"/>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8</Pages>
  <Words>2862</Words>
  <Characters>15744</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20</cp:revision>
  <cp:lastPrinted>2021-02-13T18:38:00Z</cp:lastPrinted>
  <dcterms:created xsi:type="dcterms:W3CDTF">2021-06-15T04:50:00Z</dcterms:created>
  <dcterms:modified xsi:type="dcterms:W3CDTF">2021-06-30T13:23:00Z</dcterms:modified>
</cp:coreProperties>
</file>