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</w:t>
                  </w:r>
                  <w:proofErr w:type="spellStart"/>
                  <w:r>
                    <w:rPr>
                      <w:bCs/>
                    </w:rPr>
                    <w:t>i+T</w:t>
                  </w:r>
                  <w:proofErr w:type="spellEnd"/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:</w:t>
      </w:r>
    </w:p>
    <w:p>
      <w:pPr>
        <w:pStyle w:val="Paragraphedeliste"/>
        <w:numPr>
          <w:ilvl w:val="0"/>
          <w:numId w:val="29"/>
        </w:numPr>
      </w:pPr>
      <w:r>
        <w:t xml:space="preserve">Équilibres acido-basiques </w:t>
      </w:r>
    </w:p>
    <w:p>
      <w:pPr>
        <w:pStyle w:val="Paragraphedeliste"/>
        <w:numPr>
          <w:ilvl w:val="0"/>
          <w:numId w:val="29"/>
        </w:numPr>
      </w:pPr>
      <w:r>
        <w:t>Équilibres de dissolution/précipitation</w:t>
      </w:r>
    </w:p>
    <w:p>
      <w:pPr>
        <w:pStyle w:val="Paragraphedeliste"/>
        <w:numPr>
          <w:ilvl w:val="0"/>
          <w:numId w:val="29"/>
        </w:numPr>
      </w:pPr>
      <w:r>
        <w:t>Complexes</w:t>
      </w:r>
    </w:p>
    <w:p>
      <w:pPr>
        <w:pStyle w:val="Paragraphedeliste"/>
        <w:numPr>
          <w:ilvl w:val="0"/>
          <w:numId w:val="29"/>
        </w:numPr>
      </w:pPr>
      <w:r>
        <w:t>Équilibres redox</w:t>
      </w:r>
    </w:p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ML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nL</w:t>
            </w:r>
            <w:proofErr w:type="spellEnd"/>
            <w:r>
              <w:t xml:space="preserve">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Un précipité c’est lorsque des composés en solution se regroupent et forme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 xml:space="preserve">T 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 xml:space="preserve">Pour un sel quelconque de type </w:t>
      </w:r>
      <w:proofErr w:type="spellStart"/>
      <w:r>
        <w:t>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proofErr w:type="spellStart"/>
      <w:proofErr w:type="gramStart"/>
      <w:r>
        <w:rPr>
          <w:i/>
          <w:iCs/>
          <w:lang w:val="en-GB"/>
        </w:rPr>
        <w:t>Exemple</w:t>
      </w:r>
      <w:proofErr w:type="spellEnd"/>
      <w:r>
        <w:rPr>
          <w:i/>
          <w:iCs/>
          <w:lang w:val="en-GB"/>
        </w:rPr>
        <w:t xml:space="preserve"> :</w:t>
      </w:r>
      <w:proofErr w:type="gramEnd"/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Fe(</w:t>
            </w:r>
            <w:proofErr w:type="gramEnd"/>
            <w:r>
              <w:t>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final</w:t>
            </w:r>
            <w:proofErr w:type="spellEnd"/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l’équilibre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 xml:space="preserve">En utilisant la constante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 qu’un ligand est capable de faire avec l’atome central Mono-, bi-, poly- </w:t>
      </w:r>
      <w:proofErr w:type="spellStart"/>
      <w:r>
        <w:rPr>
          <w:rFonts w:eastAsiaTheme="minorEastAsia"/>
        </w:rPr>
        <w:t>dentate</w:t>
      </w:r>
      <w:proofErr w:type="spellEnd"/>
      <w:r>
        <w:rPr>
          <w:rFonts w:eastAsiaTheme="minorEastAsia"/>
        </w:rPr>
        <w:t xml:space="preserve">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t>Rmq :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En solution aqueuse, une réaction rédox se produit soit quand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49.05pt;height:22.9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1</Pages>
  <Words>823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29</cp:revision>
  <cp:lastPrinted>2021-02-13T18:38:00Z</cp:lastPrinted>
  <dcterms:created xsi:type="dcterms:W3CDTF">2021-05-17T20:06:00Z</dcterms:created>
  <dcterms:modified xsi:type="dcterms:W3CDTF">2021-06-30T14:10:00Z</dcterms:modified>
</cp:coreProperties>
</file>