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 xml:space="preserve">Solutés 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r>
              <w:t xml:space="preserve">Poser les conditions par des équations en 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t=i+T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sont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3064"/>
        <w:gridCol w:w="1311"/>
        <w:gridCol w:w="838"/>
      </w:tblGrid>
      <w:tr>
        <w:tc>
          <w:tcPr>
            <w:tcW w:w="2122" w:type="dxa"/>
          </w:tcPr>
          <w:p>
            <w:r>
              <w:t xml:space="preserve">Acido-basiques </w:t>
            </w:r>
          </w:p>
        </w:tc>
        <w:tc>
          <w:tcPr>
            <w:tcW w:w="3064" w:type="dxa"/>
          </w:tcPr>
          <w:p>
            <w:r>
              <w:t>De dissolution/précipitation</w:t>
            </w:r>
          </w:p>
        </w:tc>
        <w:tc>
          <w:tcPr>
            <w:tcW w:w="1311" w:type="dxa"/>
          </w:tcPr>
          <w:p>
            <w:r>
              <w:t>Complexes</w:t>
            </w:r>
          </w:p>
        </w:tc>
        <w:tc>
          <w:tcPr>
            <w:tcW w:w="838" w:type="dxa"/>
          </w:tcPr>
          <w:p>
            <w:r>
              <w:t>Redox</w:t>
            </w:r>
          </w:p>
        </w:tc>
      </w:tr>
    </w:tbl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ML</w:t>
            </w:r>
            <w:r>
              <w:rPr>
                <w:vertAlign w:val="subscript"/>
              </w:rPr>
              <w:t>n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nL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>
      <w:r>
        <w:rPr>
          <w:rStyle w:val="Accentuation"/>
        </w:rPr>
        <w:t>Précipitation</w:t>
      </w:r>
      <w:r>
        <w:t xml:space="preserve"> les composés en solution se regroupent et forment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perscript"/>
        </w:rPr>
        <w:t>2+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perscript"/>
        </w:rPr>
        <w:t>2+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 (ou produit de solubilité). C’est le coefficient réactionnel (thermodynamique).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  <w:r>
        <w:rPr>
          <w:rFonts w:eastAsiaTheme="minorEastAsia"/>
        </w:rPr>
        <w:t xml:space="preserve"> 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si 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>
      <w:r>
        <w:t>Pour un sel quelconque de type 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 S correspond à la quantité maximale du solide qui peut être dissoute.</w:t>
      </w:r>
    </w:p>
    <w:p>
      <w:pPr>
        <w:rPr>
          <w:lang w:val="en-GB"/>
        </w:rPr>
      </w:pPr>
      <w:r>
        <w:rPr>
          <w:i/>
          <w:iCs/>
          <w:lang w:val="en-GB"/>
        </w:rPr>
        <w:t>Exemple :</w:t>
      </w:r>
      <w:r>
        <w:rPr>
          <w:lang w:val="en-GB"/>
        </w:rPr>
        <w:t xml:space="preserve"> Fe</w:t>
      </w:r>
      <w:r>
        <w:rPr>
          <w:vertAlign w:val="superscript"/>
          <w:lang w:val="en-GB"/>
        </w:rPr>
        <w:t xml:space="preserve">2+ </w:t>
      </w:r>
      <w:r>
        <w:rPr>
          <w:lang w:val="en-GB"/>
        </w:rPr>
        <w:t>+ 2OH</w:t>
      </w:r>
      <w:r>
        <w:rPr>
          <w:vertAlign w:val="superscript"/>
          <w:lang w:val="en-GB"/>
        </w:rPr>
        <w:t xml:space="preserve">-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Fe(OH)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lang w:val="en-GB"/>
              </w:rPr>
            </w:pP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Fe(OH)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lastRenderedPageBreak/>
              <w:t>t</w:t>
            </w:r>
            <w:r>
              <w:rPr>
                <w:vertAlign w:val="subscript"/>
              </w:rPr>
              <w:t>final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provoquent un déplacement de ce dernier dans le sens indirect.</w:t>
      </w:r>
    </w:p>
    <w:p>
      <w:r>
        <w:t>L’ajout d’une solution ayant un ion commun est solubilité plus faible que pour une solution sans ion commun ?</w:t>
      </w:r>
    </w:p>
    <w:p>
      <w:r>
        <w:t>A COMPLETER</w:t>
      </w:r>
    </w:p>
    <w:p>
      <w:pPr>
        <w:pStyle w:val="Titre3"/>
      </w:pPr>
      <w:r>
        <w:t>Influence du pH</w:t>
      </w:r>
    </w:p>
    <w:p>
      <w:r>
        <w:t>De nombreux cation métalliques réagissent avec OH</w:t>
      </w:r>
      <w:r>
        <w:rPr>
          <w:vertAlign w:val="superscript"/>
        </w:rPr>
        <w:t>-</w:t>
      </w:r>
      <w:r>
        <w:t xml:space="preserve"> et forme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minimum pour que la réaction soit à l’équilibre. </w:t>
      </w:r>
      <w:r>
        <w:t>En utilisant la constante K</w:t>
      </w:r>
      <w:r>
        <w:rPr>
          <w:vertAlign w:val="subscript"/>
        </w:rPr>
        <w:t>e</w:t>
      </w:r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>Un complexe est l’association d’un centre métallique (atome ou ion d’un métal de transition) et de molécules neutres ou d’anions appelés ligands.</w:t>
      </w:r>
    </w:p>
    <w:p>
      <w:r>
        <w:t xml:space="preserve">Complexe (ou composé de coordination) </w:t>
      </w:r>
    </w:p>
    <w:p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⇌M+L</m:t>
                </m:r>
              </m:oMath>
            </m:oMathPara>
          </w:p>
        </w:tc>
        <w:tc>
          <w:tcPr>
            <w:tcW w:w="4505" w:type="dxa"/>
          </w:tcPr>
          <w:p>
            <w:r>
              <w:t>Association dissociation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L]</m:t>
                </m:r>
              </m:oMath>
            </m:oMathPara>
          </w:p>
        </w:tc>
        <w:tc>
          <w:tcPr>
            <w:tcW w:w="4505" w:type="dxa"/>
          </w:tcPr>
          <w:p>
            <w:r>
              <w:t>Échange de ligands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>
            <w:r>
              <w:t>Échange de centres métalliques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En fonction du nombre de liaisons qu’un ligand est capable de faire avec l’atome central Mono-, bi-, poly- dentate nombre de liaisons covalentes </w:t>
      </w:r>
    </w:p>
    <w:p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M+nL⇌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On classe les ligands en fonction du nombre de </w:t>
      </w:r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β≫1</m:t>
        </m:r>
      </m:oMath>
      <w:r>
        <w:rPr>
          <w:rFonts w:eastAsiaTheme="minorEastAsia"/>
        </w:rPr>
        <w:t xml:space="preserve"> la réaction est totale.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Constante de 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][L]</m:t>
            </m:r>
          </m:den>
        </m:f>
      </m:oMath>
      <w:r>
        <w:rPr>
          <w:rFonts w:eastAsiaTheme="minorEastAsia"/>
        </w:rPr>
        <w:t xml:space="preserve"> constante de dissociation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den>
        </m:f>
      </m:oMath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Réactions successives </w:t>
      </w:r>
    </w:p>
    <w:p>
      <w:r>
        <w:t xml:space="preserve">Diagramme de dissociation </w:t>
      </w:r>
    </w:p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rPr>
          <w:u w:val="single"/>
        </w:rPr>
        <w:t>Rmq :</w:t>
      </w:r>
      <w:r>
        <w:t xml:space="preserve"> on note le couple oxydo-reduction oxy/red.</w:t>
      </w:r>
    </w:p>
    <w:p>
      <w:r>
        <w:rPr>
          <w:rStyle w:val="Accentuation"/>
        </w:rPr>
        <w:t>Attention</w:t>
      </w:r>
      <w:r>
        <w:t> Une réaction de</w:t>
      </w:r>
    </w:p>
    <w:p>
      <w:pPr>
        <w:pStyle w:val="Paragraphedeliste"/>
        <w:numPr>
          <w:ilvl w:val="0"/>
          <w:numId w:val="36"/>
        </w:numPr>
      </w:pPr>
      <w:r>
        <w:t>Oxydation est</w:t>
      </w:r>
      <w:r>
        <w:rPr>
          <w:rFonts w:eastAsiaTheme="minorEastAsia"/>
        </w:rPr>
        <w:t xml:space="preserve"> une perte  d’életrons :</w:t>
      </w:r>
      <w:r>
        <w:t xml:space="preserve"> </w:t>
      </w:r>
      <m:oMath>
        <m:r>
          <w:rPr>
            <w:rFonts w:ascii="Cambria Math" w:hAnsi="Cambria Math"/>
          </w:rPr>
          <m:t>Ox→Red+né</m:t>
        </m:r>
      </m:oMath>
    </w:p>
    <w:p>
      <w:pPr>
        <w:pStyle w:val="Paragraphedeliste"/>
        <w:numPr>
          <w:ilvl w:val="0"/>
          <w:numId w:val="35"/>
        </w:numPr>
      </w:pPr>
      <w:r>
        <w:rPr>
          <w:rFonts w:eastAsiaTheme="minorEastAsia"/>
        </w:rPr>
        <w:t xml:space="preserve">Réduction est un gain d’électrons : </w:t>
      </w:r>
      <m:oMath>
        <m:r>
          <w:rPr>
            <w:rFonts w:ascii="Cambria Math" w:hAnsi="Cambria Math"/>
          </w:rPr>
          <m:t>Red+né→Ox</m:t>
        </m:r>
      </m:oMath>
      <w:r>
        <w:rPr>
          <w:rFonts w:eastAsiaTheme="minorEastAsia"/>
        </w:rPr>
        <w:t xml:space="preserve"> </w:t>
      </w:r>
    </w:p>
    <w:p>
      <w:r>
        <w:rPr>
          <w:u w:val="single"/>
        </w:rPr>
        <w:lastRenderedPageBreak/>
        <w:t>Rmq :</w:t>
      </w:r>
      <w:r>
        <w:t xml:space="preserve">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Réaction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 solution aqueuse, une réaction rédox se produit soit 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En présence de deux couples redox.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Par l’intermédiaire d’un courant électrique qui arrive par une électrode (réaction électrochimique).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73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5" w:type="dxa"/>
          </w:tcPr>
          <w:p>
            <w:pPr>
              <w:rPr>
                <w:b w:val="0"/>
              </w:rPr>
            </w:pPr>
            <w:r>
              <w:t>Méthode du Alpha :</w:t>
            </w:r>
          </w:p>
          <w:p>
            <w:pPr>
              <w:rPr>
                <w:b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1190625" cy="1322917"/>
                  <wp:effectExtent l="0" t="0" r="0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22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1 Les couples sont placées oxydant </w:t>
            </w:r>
          </w:p>
          <w:p>
            <w:pPr>
              <w:rPr>
                <w:b w:val="0"/>
              </w:rPr>
            </w:pPr>
            <w:r>
              <w:t>Si l</w:t>
            </w:r>
          </w:p>
          <w:p>
            <w:r>
              <w:t xml:space="preserve">La réaction correspon à un transfert d’électrons : l’oxydant (Ox2) capte les électrons du réducteur (Red1). 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autres que l’hydrogène et l’oxygène.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 On déduit leur en faisant la différence de charges pour chaque coté de l’équation</w:t>
            </w:r>
          </w:p>
          <w:p>
            <w:pPr>
              <w:rPr>
                <w:b/>
              </w:rPr>
            </w:pPr>
            <w:r>
              <w:rPr>
                <w:b/>
              </w:rPr>
              <w:t xml:space="preserve">Sommer les </w:t>
            </w:r>
            <w:r>
              <w:rPr>
                <w:bCs/>
              </w:rPr>
              <w:t>deux</w:t>
            </w:r>
            <w:r>
              <w:rPr>
                <w:b/>
              </w:rPr>
              <w:t xml:space="preserve"> couples.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 :</w:t>
      </w:r>
    </w:p>
    <w:p>
      <w:r>
        <w:t xml:space="preserve">Couple rédox 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MnO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Mn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</m:oMath>
      <w:r>
        <w:t>, la demi équation rédox associée est :</w:t>
      </w:r>
    </w:p>
    <w:p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MnO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+5</m:t>
          </m:r>
          <m:r>
            <w:rPr>
              <w:rFonts w:ascii="Cambria Math" w:eastAsiaTheme="minorEastAsia" w:hAnsi="Cambria Math"/>
            </w:rPr>
            <m:t>é⇄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</m:t>
              </m:r>
            </m:e>
            <m:sup>
              <m:r>
                <w:rPr>
                  <w:rFonts w:ascii="Cambria Math" w:eastAsiaTheme="minorEastAsia" w:hAnsi="Cambria Math"/>
                </w:rPr>
                <m:t>+2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>
      <w:r>
        <w:t xml:space="preserve">Potentiel d’électrode (noté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) standard différence de potentiel entre le couple et un électrode standard. </w:t>
      </w:r>
    </w:p>
    <w:p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traduit la force de l’oxydant à récupérer les électrons et ainsi celles du réducteur à les céder.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C’est un autre nom donné à la force électro-motrice (abrégé fem). Si la fem</w:t>
      </w:r>
      <w:r>
        <w:rPr>
          <w:rFonts w:eastAsiaTheme="minorEastAsia"/>
        </w:rPr>
        <w:t>&gt;0 alors le potentiel du couple rédox est supérieur à celui de l’électrode de référence. Les électrons iraient de l’électrode de référence vers celui du redox.</w:t>
      </w:r>
    </w:p>
    <w:p>
      <w:pPr>
        <w:rPr>
          <w:rFonts w:eastAsiaTheme="minorEastAsia"/>
        </w:rPr>
      </w:pPr>
      <w:r>
        <w:rPr>
          <w:rFonts w:eastAsiaTheme="minorEastAsia"/>
        </w:rPr>
        <w:t>L’enthalpie de formation du réducteur est défini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G=-n.F.E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nbre d’électrons échangés</w:t>
            </w:r>
          </w:p>
          <w:p>
            <w:pPr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  <w:p>
            <w:pPr>
              <w:rPr>
                <w:rFonts w:ascii="Cambria Math" w:eastAsiaTheme="minorEastAsia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potentiel d’électrode (rmq : </w:t>
            </w:r>
            <m:oMath>
              <m:r>
                <w:rPr>
                  <w:rFonts w:ascii="Cambria Math" w:eastAsiaTheme="minorEastAsia" w:hAnsi="Cambria Math"/>
                </w:rPr>
                <m:t>E=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oMath>
            <w:r>
              <w:rPr>
                <w:rFonts w:eastAsiaTheme="minorEastAsia"/>
              </w:rPr>
              <w:t xml:space="preserve"> en conditon standard)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A 25°C c’est-à-dire pour E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</w:t>
      </w:r>
    </w:p>
    <w:p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nF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[ox]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[Red]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0,059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[Ox]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[Red]</m:t>
              </m:r>
            </m:den>
          </m:f>
        </m:oMath>
      </m:oMathPara>
    </w:p>
    <w:p>
      <w:pPr>
        <w:rPr>
          <w:rFonts w:eastAsiaTheme="minorEastAsia"/>
        </w:rPr>
      </w:pPr>
    </w:p>
    <w:p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0,059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Red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</m:den>
          </m:f>
        </m:oMath>
      </m:oMathPara>
    </w:p>
    <w:p>
      <w:r>
        <w:t>Le pH influe sur le potentiel d’oxydo réduction si l’équation de la réaction contient des [H</w:t>
      </w:r>
      <w:r>
        <w:rPr>
          <w:vertAlign w:val="superscript"/>
        </w:rPr>
        <w:t>+</w:t>
      </w:r>
      <w:r>
        <w:t>]</w:t>
      </w:r>
    </w:p>
    <w:p/>
    <w:p>
      <w:r>
        <w:lastRenderedPageBreak/>
        <w:t>Diagramme de prédominance</w:t>
      </w:r>
    </w:p>
    <w:p>
      <w:pPr>
        <w:rPr>
          <w:rFonts w:eastAsiaTheme="minorEastAsia"/>
        </w:rPr>
      </w:pPr>
      <w:r>
        <w:t xml:space="preserve">On considère qu’une espèce prédomine lorsque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[Ox]</m:t>
            </m:r>
          </m:num>
          <m:den>
            <m:r>
              <w:rPr>
                <w:rFonts w:ascii="Cambria Math" w:hAnsi="Cambria Math"/>
              </w:rPr>
              <m:t>[Red]</m:t>
            </m:r>
          </m:den>
        </m:f>
        <m:r>
          <w:rPr>
            <w:rFonts w:ascii="Cambria Math" w:hAnsi="Cambria Math"/>
          </w:rPr>
          <m:t>&gt;10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hAnsi="Cambria Math"/>
          </w:rPr>
          <m:t>&lt;10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une réaction entre un réducteur et un oxydant n’a lieu que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  <w:r>
        <w:rPr>
          <w:rFonts w:eastAsiaTheme="minorEastAsia"/>
        </w:rPr>
        <w:t>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Dosage</w:t>
      </w:r>
    </w:p>
    <w:p>
      <w:pPr>
        <w:rPr>
          <w:rFonts w:eastAsiaTheme="minorEastAsia"/>
        </w:rPr>
      </w:pPr>
      <w:r>
        <w:rPr>
          <w:rFonts w:eastAsiaTheme="minorEastAsia"/>
        </w:rPr>
        <w:t>Méthode pour déterminer la concentration d’une espèce en solution.</w:t>
      </w:r>
    </w:p>
    <w:p>
      <w:pPr>
        <w:rPr>
          <w:rFonts w:eastAsiaTheme="minorEastAsia"/>
        </w:rPr>
      </w:pPr>
      <w:r>
        <w:rPr>
          <w:rFonts w:eastAsiaTheme="minorEastAsia"/>
        </w:rPr>
        <w:t>On a besoin d’une autre espèce qui réagit totalement que l’on ajoute progressivement. à ’équivalent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l’espèce dont on cherche à déterminer la concentration à complémement réagit avec l’espèce ajoutée.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les deux formes de l’espèce étudiée seront à l’équilibre.</w:t>
      </w:r>
    </w:p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91EFE"/>
    <w:multiLevelType w:val="hybridMultilevel"/>
    <w:tmpl w:val="7C621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85833"/>
    <w:multiLevelType w:val="hybridMultilevel"/>
    <w:tmpl w:val="D0165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18"/>
  </w:num>
  <w:num w:numId="9">
    <w:abstractNumId w:val="27"/>
  </w:num>
  <w:num w:numId="10">
    <w:abstractNumId w:val="12"/>
  </w:num>
  <w:num w:numId="11">
    <w:abstractNumId w:val="14"/>
  </w:num>
  <w:num w:numId="12">
    <w:abstractNumId w:val="3"/>
  </w:num>
  <w:num w:numId="13">
    <w:abstractNumId w:val="29"/>
  </w:num>
  <w:num w:numId="14">
    <w:abstractNumId w:val="17"/>
  </w:num>
  <w:num w:numId="15">
    <w:abstractNumId w:val="20"/>
  </w:num>
  <w:num w:numId="16">
    <w:abstractNumId w:val="32"/>
  </w:num>
  <w:num w:numId="17">
    <w:abstractNumId w:val="4"/>
  </w:num>
  <w:num w:numId="18">
    <w:abstractNumId w:val="7"/>
  </w:num>
  <w:num w:numId="19">
    <w:abstractNumId w:val="19"/>
  </w:num>
  <w:num w:numId="20">
    <w:abstractNumId w:val="28"/>
  </w:num>
  <w:num w:numId="21">
    <w:abstractNumId w:val="16"/>
  </w:num>
  <w:num w:numId="22">
    <w:abstractNumId w:val="21"/>
  </w:num>
  <w:num w:numId="23">
    <w:abstractNumId w:val="34"/>
  </w:num>
  <w:num w:numId="24">
    <w:abstractNumId w:val="31"/>
  </w:num>
  <w:num w:numId="25">
    <w:abstractNumId w:val="33"/>
  </w:num>
  <w:num w:numId="26">
    <w:abstractNumId w:val="5"/>
  </w:num>
  <w:num w:numId="27">
    <w:abstractNumId w:val="0"/>
  </w:num>
  <w:num w:numId="28">
    <w:abstractNumId w:val="22"/>
  </w:num>
  <w:num w:numId="29">
    <w:abstractNumId w:val="1"/>
  </w:num>
  <w:num w:numId="30">
    <w:abstractNumId w:val="30"/>
  </w:num>
  <w:num w:numId="31">
    <w:abstractNumId w:val="13"/>
  </w:num>
  <w:num w:numId="32">
    <w:abstractNumId w:val="25"/>
  </w:num>
  <w:num w:numId="33">
    <w:abstractNumId w:val="15"/>
  </w:num>
  <w:num w:numId="34">
    <w:abstractNumId w:val="26"/>
  </w:num>
  <w:num w:numId="35">
    <w:abstractNumId w:val="35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4</Pages>
  <Words>1150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43</cp:revision>
  <cp:lastPrinted>2021-02-13T18:38:00Z</cp:lastPrinted>
  <dcterms:created xsi:type="dcterms:W3CDTF">2021-05-17T20:06:00Z</dcterms:created>
  <dcterms:modified xsi:type="dcterms:W3CDTF">2021-11-22T15:12:00Z</dcterms:modified>
</cp:coreProperties>
</file>