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oxy/red.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 d’életrons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(Electrode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différence de potentiel entre les espèces d’un couple dépend de leur concentration :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×ln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r>
        <w:t xml:space="preserve">A 25°C </w:t>
      </w:r>
      <w:r>
        <w:br/>
      </w: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059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r>
        <w:t>Avec échange d’électrons entre deux espèces :</w:t>
      </w:r>
    </w:p>
    <w:p>
      <m:oMathPara>
        <m:oMath>
          <m:r>
            <w:rPr>
              <w:rFonts w:ascii="Cambria Math" w:hAnsi="Cambria Math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9.55pt;height:22.4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4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48</cp:revision>
  <cp:lastPrinted>2021-02-13T18:38:00Z</cp:lastPrinted>
  <dcterms:created xsi:type="dcterms:W3CDTF">2021-05-17T20:06:00Z</dcterms:created>
  <dcterms:modified xsi:type="dcterms:W3CDTF">2022-01-09T14:36:00Z</dcterms:modified>
</cp:coreProperties>
</file>