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 xml:space="preserve">Solutés 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</w:t>
                  </w:r>
                  <w:proofErr w:type="spellStart"/>
                  <w:r>
                    <w:rPr>
                      <w:bCs/>
                    </w:rPr>
                    <w:t>i+T</w:t>
                  </w:r>
                  <w:proofErr w:type="spellEnd"/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:</w:t>
      </w:r>
    </w:p>
    <w:p>
      <w:pPr>
        <w:pStyle w:val="Paragraphedeliste"/>
        <w:numPr>
          <w:ilvl w:val="0"/>
          <w:numId w:val="29"/>
        </w:numPr>
      </w:pPr>
      <w:r>
        <w:t xml:space="preserve">Équilibres acido-basiques </w:t>
      </w:r>
    </w:p>
    <w:p>
      <w:pPr>
        <w:pStyle w:val="Paragraphedeliste"/>
        <w:numPr>
          <w:ilvl w:val="0"/>
          <w:numId w:val="29"/>
        </w:numPr>
      </w:pPr>
      <w:r>
        <w:t>Équilibres de dissolution/précipitation</w:t>
      </w:r>
    </w:p>
    <w:p>
      <w:pPr>
        <w:pStyle w:val="Paragraphedeliste"/>
        <w:numPr>
          <w:ilvl w:val="0"/>
          <w:numId w:val="29"/>
        </w:numPr>
      </w:pPr>
      <w:r>
        <w:t>Complexes</w:t>
      </w:r>
    </w:p>
    <w:p>
      <w:pPr>
        <w:pStyle w:val="Paragraphedeliste"/>
        <w:numPr>
          <w:ilvl w:val="0"/>
          <w:numId w:val="29"/>
        </w:numPr>
      </w:pPr>
      <w:r>
        <w:t>Équilibres redox</w:t>
      </w:r>
    </w:p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ML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nL</w:t>
            </w:r>
            <w:proofErr w:type="spellEnd"/>
            <w:r>
              <w:t xml:space="preserve">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t>Un précipité c’est lorsque des composés en solution se regroupent et forme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dissolution. </w:t>
      </w:r>
    </w:p>
    <w:p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 xml:space="preserve">T 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 xml:space="preserve">Pour un sel quelconque de type </w:t>
      </w:r>
      <w:proofErr w:type="spellStart"/>
      <w:r>
        <w:t>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proofErr w:type="spellStart"/>
      <w:proofErr w:type="gramStart"/>
      <w:r>
        <w:rPr>
          <w:i/>
          <w:iCs/>
          <w:lang w:val="en-GB"/>
        </w:rPr>
        <w:t>Exemple</w:t>
      </w:r>
      <w:proofErr w:type="spellEnd"/>
      <w:r>
        <w:rPr>
          <w:i/>
          <w:iCs/>
          <w:lang w:val="en-GB"/>
        </w:rPr>
        <w:t xml:space="preserve"> :</w:t>
      </w:r>
      <w:proofErr w:type="gramEnd"/>
      <w:r>
        <w:rPr>
          <w:lang w:val="en-GB"/>
        </w:rPr>
        <w:t xml:space="preserve"> Fe</w:t>
      </w:r>
      <w:r>
        <w:rPr>
          <w:vertAlign w:val="subscript"/>
          <w:lang w:val="en-GB"/>
        </w:rPr>
        <w:t>2</w:t>
      </w:r>
      <w:r>
        <w:rPr>
          <w:vertAlign w:val="superscript"/>
          <w:lang w:val="en-GB"/>
        </w:rPr>
        <w:t xml:space="preserve">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Fe(</w:t>
            </w:r>
            <w:proofErr w:type="gramEnd"/>
            <w:r>
              <w:t>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final</w:t>
            </w:r>
            <w:proofErr w:type="spellEnd"/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provoquent un déplacement de ce dernier l’équilibre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minimum pour que la réaction soit à l’équilibre. </w:t>
      </w:r>
      <w:r>
        <w:t xml:space="preserve">En utilisant la constante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</w:t>
      </w:r>
      <w:r>
        <w:t xml:space="preserve"> </w:t>
      </w:r>
      <w:r>
        <w:t>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Mono-, bi-, poly- </w:t>
      </w:r>
      <w:proofErr w:type="spellStart"/>
      <w:r>
        <w:rPr>
          <w:rFonts w:eastAsiaTheme="minorEastAsia"/>
        </w:rPr>
        <w:t>dentate</w:t>
      </w:r>
      <w:proofErr w:type="spellEnd"/>
      <w:r>
        <w:rPr>
          <w:rFonts w:eastAsiaTheme="minorEastAsia"/>
        </w:rPr>
        <w:t xml:space="preserve">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On classe les ligands en fonction du nombre de </w:t>
      </w:r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][</m:t>
            </m:r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Réaction en chaîne</w:t>
      </w:r>
    </w:p>
    <w:p/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t>Rmq :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En solution aqueuse, une réaction rédox se produit soit quand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lastRenderedPageBreak/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électrochimique).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</w:t>
            </w:r>
          </w:p>
          <w:p>
            <w:pPr>
              <w:rPr>
                <w:b/>
              </w:rPr>
            </w:pPr>
            <w:r>
              <w:rPr>
                <w:b/>
              </w:rPr>
              <w:t>Sommer les deux couples.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49.05pt;height:22.9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7"/>
  </w:num>
  <w:num w:numId="9">
    <w:abstractNumId w:val="26"/>
  </w:num>
  <w:num w:numId="10">
    <w:abstractNumId w:val="11"/>
  </w:num>
  <w:num w:numId="11">
    <w:abstractNumId w:val="13"/>
  </w:num>
  <w:num w:numId="12">
    <w:abstractNumId w:val="3"/>
  </w:num>
  <w:num w:numId="13">
    <w:abstractNumId w:val="28"/>
  </w:num>
  <w:num w:numId="14">
    <w:abstractNumId w:val="16"/>
  </w:num>
  <w:num w:numId="15">
    <w:abstractNumId w:val="19"/>
  </w:num>
  <w:num w:numId="16">
    <w:abstractNumId w:val="31"/>
  </w:num>
  <w:num w:numId="17">
    <w:abstractNumId w:val="4"/>
  </w:num>
  <w:num w:numId="18">
    <w:abstractNumId w:val="7"/>
  </w:num>
  <w:num w:numId="19">
    <w:abstractNumId w:val="18"/>
  </w:num>
  <w:num w:numId="20">
    <w:abstractNumId w:val="27"/>
  </w:num>
  <w:num w:numId="21">
    <w:abstractNumId w:val="15"/>
  </w:num>
  <w:num w:numId="22">
    <w:abstractNumId w:val="20"/>
  </w:num>
  <w:num w:numId="23">
    <w:abstractNumId w:val="33"/>
  </w:num>
  <w:num w:numId="24">
    <w:abstractNumId w:val="30"/>
  </w:num>
  <w:num w:numId="25">
    <w:abstractNumId w:val="32"/>
  </w:num>
  <w:num w:numId="26">
    <w:abstractNumId w:val="5"/>
  </w:num>
  <w:num w:numId="27">
    <w:abstractNumId w:val="0"/>
  </w:num>
  <w:num w:numId="28">
    <w:abstractNumId w:val="21"/>
  </w:num>
  <w:num w:numId="29">
    <w:abstractNumId w:val="1"/>
  </w:num>
  <w:num w:numId="30">
    <w:abstractNumId w:val="29"/>
  </w:num>
  <w:num w:numId="31">
    <w:abstractNumId w:val="12"/>
  </w:num>
  <w:num w:numId="32">
    <w:abstractNumId w:val="24"/>
  </w:num>
  <w:num w:numId="33">
    <w:abstractNumId w:val="1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27</cp:revision>
  <cp:lastPrinted>2021-02-13T18:38:00Z</cp:lastPrinted>
  <dcterms:created xsi:type="dcterms:W3CDTF">2021-05-17T20:06:00Z</dcterms:created>
  <dcterms:modified xsi:type="dcterms:W3CDTF">2021-06-30T13:22:00Z</dcterms:modified>
</cp:coreProperties>
</file>