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Une solution est un mélange liquide homogène constitué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Solvant (espèce en excès)</w:t>
            </w:r>
          </w:p>
        </w:tc>
        <w:tc>
          <w:tcPr>
            <w:tcW w:w="3668" w:type="dxa"/>
          </w:tcPr>
          <w:p>
            <w:r>
              <w:t xml:space="preserve">Solutés </w:t>
            </w:r>
          </w:p>
        </w:tc>
      </w:tr>
    </w:tbl>
    <w:p>
      <w:r>
        <w:rPr>
          <w:rStyle w:val="Accentuation"/>
        </w:rPr>
        <w:t>Électrolyte</w:t>
      </w:r>
      <w:r>
        <w:t xml:space="preserve"> composé chimique qui se dissocie en ions.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équilibré une équation de réaction</w:t>
            </w:r>
          </w:p>
          <w:p>
            <w:r>
              <w:t xml:space="preserve">Poser les conditions par des équations en </w:t>
            </w:r>
          </w:p>
          <w:p>
            <w:pPr>
              <w:rPr>
                <w:bCs/>
              </w:rPr>
            </w:pPr>
            <w:r>
              <w:rPr>
                <w:bCs/>
              </w:rPr>
              <w:t>Il faut respecter la conservation de la matière et la conservation des charges</w:t>
            </w:r>
          </w:p>
          <w:p>
            <w:pPr>
              <w:rPr>
                <w:bCs/>
              </w:rPr>
            </w:pPr>
            <w:r>
              <w:rPr>
                <w:bCs/>
              </w:rPr>
              <w:t xml:space="preserve">Point méthode : calcul des </w:t>
            </w: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733"/>
              <w:gridCol w:w="1823"/>
              <w:gridCol w:w="1819"/>
              <w:gridCol w:w="173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t=(mol)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4Al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3O</w:t>
                  </w:r>
                  <w:r>
                    <w:rPr>
                      <w:bCs/>
                      <w:vertAlign w:val="subscript"/>
                    </w:rPr>
                    <w:t>2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2Al</w:t>
                  </w:r>
                  <w:r>
                    <w:rPr>
                      <w:bCs/>
                      <w:vertAlign w:val="subscript"/>
                    </w:rPr>
                    <w:t>2</w:t>
                  </w:r>
                  <w:r>
                    <w:rPr>
                      <w:bCs/>
                    </w:rPr>
                    <w:t>O</w:t>
                  </w:r>
                  <w:r>
                    <w:rPr>
                      <w:bCs/>
                      <w:vertAlign w:val="subscript"/>
                    </w:rPr>
                    <w:t>3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t=0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4,5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33" w:type="dxa"/>
                </w:tcPr>
                <w:p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t=i+T</w:t>
                  </w:r>
                </w:p>
              </w:tc>
              <w:tc>
                <w:tcPr>
                  <w:tcW w:w="1823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7-4x</w:t>
                  </w:r>
                </w:p>
              </w:tc>
              <w:tc>
                <w:tcPr>
                  <w:tcW w:w="181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5-3x</w:t>
                  </w:r>
                </w:p>
              </w:tc>
              <w:tc>
                <w:tcPr>
                  <w:tcW w:w="1734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</w:rPr>
                  </w:pPr>
                  <w:r>
                    <w:rPr>
                      <w:bCs/>
                    </w:rPr>
                    <w:t>1+2x</w:t>
                  </w:r>
                </w:p>
              </w:tc>
            </w:tr>
          </w:tbl>
          <w:p>
            <w:pPr>
              <w:rPr>
                <w:bCs/>
              </w:rPr>
            </w:pPr>
            <w:r>
              <w:rPr>
                <w:bCs/>
              </w:rPr>
              <w:t xml:space="preserve">Le réactif limitant 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>
            <w:pPr>
              <w:rPr>
                <w:bCs/>
              </w:rPr>
            </w:pPr>
            <w:r>
              <w:rPr>
                <w:bCs/>
              </w:rPr>
              <w:t xml:space="preserve">Fraction de réactif pour Al 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4×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</w:rPr>
                <m:t>=29%</m:t>
              </m:r>
            </m:oMath>
          </w:p>
          <w:p>
            <w:pPr>
              <w:rPr>
                <w:bCs/>
              </w:rPr>
            </w:pPr>
          </w:p>
        </w:tc>
      </w:tr>
    </w:tbl>
    <w:p>
      <w:r>
        <w:t>Les différents équilibres en solution aqueuse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3064"/>
        <w:gridCol w:w="1311"/>
        <w:gridCol w:w="838"/>
      </w:tblGrid>
      <w:tr>
        <w:tc>
          <w:tcPr>
            <w:tcW w:w="2122" w:type="dxa"/>
          </w:tcPr>
          <w:p>
            <w:r>
              <w:t xml:space="preserve">Acido-basiques </w:t>
            </w:r>
          </w:p>
        </w:tc>
        <w:tc>
          <w:tcPr>
            <w:tcW w:w="3064" w:type="dxa"/>
          </w:tcPr>
          <w:p>
            <w:r>
              <w:t>De dissolution/précipitation</w:t>
            </w:r>
          </w:p>
        </w:tc>
        <w:tc>
          <w:tcPr>
            <w:tcW w:w="1311" w:type="dxa"/>
          </w:tcPr>
          <w:p>
            <w:r>
              <w:t>Complexes</w:t>
            </w:r>
          </w:p>
        </w:tc>
        <w:tc>
          <w:tcPr>
            <w:tcW w:w="838" w:type="dxa"/>
          </w:tcPr>
          <w:p>
            <w:r>
              <w:t>Redox</w:t>
            </w:r>
          </w:p>
        </w:tc>
      </w:tr>
    </w:tbl>
    <w:p>
      <w:r>
        <w:t>Chacun de ces équilibres correspond à un échange entre un donneur et un accepteur appartenant au même couple.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460"/>
        <w:gridCol w:w="1692"/>
        <w:gridCol w:w="1830"/>
        <w:gridCol w:w="23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équilibre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Donneur</w:t>
            </w:r>
          </w:p>
        </w:tc>
        <w:tc>
          <w:tcPr>
            <w:tcW w:w="18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Accepteur</w:t>
            </w:r>
          </w:p>
        </w:tc>
        <w:tc>
          <w:tcPr>
            <w:tcW w:w="235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Particule échangée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Acide-base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Acide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perscript"/>
              </w:rPr>
              <w:t>+</w:t>
            </w:r>
            <w:r>
              <w:t xml:space="preserve"> proton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Précipitation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Précipité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Cation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>complexes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ML</w:t>
            </w:r>
            <w:r>
              <w:rPr>
                <w:vertAlign w:val="subscript"/>
              </w:rPr>
              <w:t>n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 Ligand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>
            <w:r>
              <w:t xml:space="preserve"> Redox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Réducteur</w:t>
            </w:r>
          </w:p>
        </w:tc>
        <w:tc>
          <w:tcPr>
            <w:tcW w:w="18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Oxydant</w:t>
            </w:r>
          </w:p>
        </w:tc>
        <w:tc>
          <w:tcPr>
            <w:tcW w:w="235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Électron</w:t>
            </w:r>
          </w:p>
        </w:tc>
      </w:tr>
    </w:tbl>
    <w:p>
      <w:r>
        <w:rPr>
          <w:u w:val="single"/>
        </w:rPr>
        <w:t>Notation :</w:t>
      </w:r>
      <w:r>
        <w:t xml:space="preserve"> Les ions [ions] et C</w:t>
      </w:r>
      <w:r>
        <w:rPr>
          <w:vertAlign w:val="subscript"/>
        </w:rPr>
        <w:t>i</w:t>
      </w:r>
      <w:r>
        <w:t xml:space="preserve"> pour les molécules neutres.</w:t>
      </w:r>
    </w:p>
    <w:p>
      <w:pPr>
        <w:pStyle w:val="Titre1"/>
      </w:pPr>
      <w:r>
        <w:t>Équilibre acide base</w:t>
      </w:r>
    </w:p>
    <w:p>
      <w:r>
        <w:t>Référence au cours de Thermodynamique</w:t>
      </w:r>
    </w:p>
    <w:p>
      <w:pPr>
        <w:pStyle w:val="Titre1"/>
      </w:pPr>
      <w:r>
        <w:t>Équilibre de solubilisation et précipitation</w:t>
      </w:r>
    </w:p>
    <w:p>
      <w:r>
        <w:rPr>
          <w:rStyle w:val="Accentuation"/>
        </w:rPr>
        <w:t>Seuil de solubilité ou saturation</w:t>
      </w:r>
      <w:r>
        <w:t xml:space="preserve"> état lorsque le soluté ne se dissous plus.</w:t>
      </w:r>
    </w:p>
    <w:p>
      <w:r>
        <w:t>Un précipité est la réaction inverse de la dissolution. Les composés en solution se regroupent et forme un solide.</w:t>
      </w:r>
    </w:p>
    <w:p>
      <w:r>
        <w:rPr>
          <w:u w:val="single"/>
        </w:rPr>
        <w:t>Rmq :</w:t>
      </w:r>
      <w:r>
        <w:t xml:space="preserve"> La précipitation est l’inverse de la dissolution.</w:t>
      </w:r>
    </w:p>
    <w:p>
      <w:r>
        <w:t>Un précipité se forme soit par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Réaction simple</w:t>
            </w:r>
          </w:p>
        </w:tc>
        <w:tc>
          <w:tcPr>
            <w:tcW w:w="3668" w:type="dxa"/>
          </w:tcPr>
          <w:p>
            <w:r>
              <w:t xml:space="preserve">Un échange de ions </w:t>
            </w:r>
          </w:p>
        </w:tc>
      </w:tr>
    </w:tbl>
    <w:p>
      <w:pPr>
        <w:rPr>
          <w:i/>
          <w:iCs/>
        </w:rPr>
      </w:pPr>
      <w:r>
        <w:rPr>
          <w:i/>
          <w:iCs/>
        </w:rPr>
        <w:t>Exemple : Échange de cations : MgCO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Ca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  <w:r>
        <w:rPr>
          <w:rFonts w:ascii="Arial" w:hAnsi="Arial" w:cs="Arial"/>
          <w:i/>
          <w:iCs/>
        </w:rPr>
        <w:t>→</w:t>
      </w:r>
      <w:r>
        <w:rPr>
          <w:i/>
          <w:iCs/>
        </w:rPr>
        <w:t>CaCO</w:t>
      </w:r>
      <w:r>
        <w:rPr>
          <w:i/>
          <w:iCs/>
          <w:vertAlign w:val="subscript"/>
        </w:rPr>
        <w:t>3</w:t>
      </w:r>
      <w:r>
        <w:rPr>
          <w:i/>
          <w:iCs/>
        </w:rPr>
        <w:t>(s) + Mg</w:t>
      </w:r>
      <w:r>
        <w:rPr>
          <w:i/>
          <w:iCs/>
          <w:vertAlign w:val="subscript"/>
        </w:rPr>
        <w:t>2</w:t>
      </w:r>
      <w:r>
        <w:rPr>
          <w:i/>
          <w:iCs/>
          <w:vertAlign w:val="superscript"/>
        </w:rPr>
        <w:t>+</w:t>
      </w:r>
    </w:p>
    <w:p>
      <w:r>
        <w:t>On note K</w:t>
      </w:r>
      <w:r>
        <w:rPr>
          <w:vertAlign w:val="subscript"/>
        </w:rPr>
        <w:t>s</w:t>
      </w:r>
      <w:r>
        <w:t xml:space="preserve"> la constante de dissolution. C’est le coefficient réactionnel (thermodynamique).</w:t>
      </w:r>
    </w:p>
    <w:p>
      <w:r>
        <w:rPr>
          <w:u w:val="single"/>
        </w:rPr>
        <w:t>Rmq :</w:t>
      </w:r>
      <w:r>
        <w:t xml:space="preserve"> On utilise généralement 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>La réaction est à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555"/>
        <w:gridCol w:w="1701"/>
        <w:gridCol w:w="4079"/>
      </w:tblGrid>
      <w:tr>
        <w:trPr>
          <w:trHeight w:val="150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w:r>
              <w:t>L’équilibre</w:t>
            </w:r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w:r>
              <w:t>Spontanée</w:t>
            </w:r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w:r>
              <w:t>Non spontané = formation de précipité</w:t>
            </w:r>
          </w:p>
        </w:tc>
      </w:tr>
      <w:tr>
        <w:trPr>
          <w:trHeight w:val="388"/>
        </w:trPr>
        <w:tc>
          <w:tcPr>
            <w:tcW w:w="1555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79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</w:tbl>
    <w:p>
      <w:r>
        <w:t>On considère que si :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&gt;10</w:t>
      </w:r>
      <w:r>
        <w:rPr>
          <w:vertAlign w:val="superscript"/>
        </w:rPr>
        <w:t>4</w:t>
      </w:r>
      <w:r>
        <w:t xml:space="preserve"> alors la réaction est totale au moins 99% du réactif a réagi.</w:t>
      </w:r>
    </w:p>
    <w:p>
      <w:pPr>
        <w:pStyle w:val="Paragraphedeliste"/>
        <w:numPr>
          <w:ilvl w:val="0"/>
          <w:numId w:val="30"/>
        </w:numPr>
      </w:pPr>
      <w:r>
        <w:t>K</w:t>
      </w:r>
      <w:r>
        <w:rPr>
          <w:vertAlign w:val="subscript"/>
        </w:rPr>
        <w:t>T°</w:t>
      </w:r>
      <w:r>
        <w:t>&lt;10</w:t>
      </w:r>
      <w:r>
        <w:rPr>
          <w:vertAlign w:val="superscript"/>
        </w:rPr>
        <w:t>-4</w:t>
      </w:r>
      <w:r>
        <w:t xml:space="preserve"> alors la réaction est nulle au plus 1% du réactif a réagi.</w:t>
      </w:r>
    </w:p>
    <w:p>
      <w:r>
        <w:t>Pour un sel quelconque de type M</w:t>
      </w:r>
      <w:r>
        <w:rPr>
          <w:vertAlign w:val="subscript"/>
        </w:rPr>
        <w:t>a</w:t>
      </w:r>
      <w:r>
        <w:t>X</w:t>
      </w:r>
      <w:r>
        <w:rPr>
          <w:vertAlign w:val="subscript"/>
        </w:rPr>
        <w:t>b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</w:rPr>
          <m:t>⇋</m:t>
        </m:r>
        <m:r>
          <w:rPr>
            <w:rFonts w:ascii="Cambria Math" w:eastAsiaTheme="minorEastAsia" w:hAnsi="Cambria Math"/>
            <w:lang w:val="en-GB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z</m:t>
            </m:r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aq</m:t>
        </m:r>
        <m:r>
          <w:rPr>
            <w:rFonts w:ascii="Cambria Math" w:eastAsiaTheme="minorEastAsia" w:hAnsi="Cambria Math"/>
          </w:rPr>
          <m:t>)+</m:t>
        </m:r>
        <m:r>
          <w:rPr>
            <w:rFonts w:ascii="Cambria Math" w:eastAsiaTheme="minorEastAsia" w:hAnsi="Cambria Math"/>
            <w:lang w:val="en-GB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aq</m:t>
        </m:r>
        <m:r>
          <w:rPr>
            <w:rFonts w:ascii="Cambria Math" w:hAnsi="Cambria Math"/>
          </w:rPr>
          <m:t>)</m:t>
        </m:r>
      </m:oMath>
      <w:r>
        <w:t xml:space="preserve">, l’équilibre de solubilité s’écrit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K</m:t>
            </m:r>
          </m:e>
          <m:sub>
            <m:r>
              <w:rPr>
                <w:rFonts w:ascii="Cambria Math" w:hAnsi="Cambria Math"/>
                <w:vertAlign w:val="subscript"/>
              </w:rPr>
              <m:t>s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M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z+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a</m:t>
            </m:r>
          </m:sup>
        </m:sSubSup>
        <m:r>
          <w:rPr>
            <w:rFonts w:ascii="Cambria Math" w:hAnsi="Cambria Math"/>
            <w:vertAlign w:val="subscript"/>
          </w:rPr>
          <m:t>×</m:t>
        </m:r>
        <m:sSubSup>
          <m:sSubSupPr>
            <m:ctrlPr>
              <w:rPr>
                <w:rFonts w:ascii="Cambria Math" w:hAnsi="Cambria Math"/>
                <w:i/>
                <w:vertAlign w:val="subscript"/>
              </w:rPr>
            </m:ctrlPr>
          </m:sSubSupPr>
          <m:e>
            <m:r>
              <w:rPr>
                <w:rFonts w:ascii="Cambria Math" w:hAnsi="Cambria Math"/>
                <w:vertAlign w:val="subscript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x-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]</m:t>
            </m:r>
          </m:e>
          <m:sub>
            <m:r>
              <w:rPr>
                <w:rFonts w:ascii="Cambria Math" w:hAnsi="Cambria Math"/>
                <w:vertAlign w:val="subscript"/>
              </w:rPr>
              <m:t>eq</m:t>
            </m:r>
          </m:sub>
          <m:sup>
            <m:r>
              <w:rPr>
                <w:rFonts w:ascii="Cambria Math" w:hAnsi="Cambria Math"/>
                <w:vertAlign w:val="subscript"/>
              </w:rPr>
              <m:t>b</m:t>
            </m:r>
          </m:sup>
        </m:sSubSup>
      </m:oMath>
      <w:r>
        <w:t xml:space="preserve"> avec </w:t>
      </w:r>
      <m:oMath>
        <m: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=b×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t xml:space="preserve"> (électroneutralité).</w:t>
      </w:r>
    </w:p>
    <w:p>
      <w:r>
        <w:t>La constante de solubilité noté S correspond à la quantité maximale du solide qui peut être dissoute.</w:t>
      </w:r>
    </w:p>
    <w:p>
      <w:pPr>
        <w:rPr>
          <w:lang w:val="en-GB"/>
        </w:rPr>
      </w:pPr>
      <w:r>
        <w:rPr>
          <w:i/>
          <w:iCs/>
          <w:lang w:val="en-GB"/>
        </w:rPr>
        <w:t>Exemple :</w:t>
      </w:r>
      <w:r>
        <w:rPr>
          <w:lang w:val="en-GB"/>
        </w:rPr>
        <w:t xml:space="preserve"> Fe</w:t>
      </w:r>
      <w:r>
        <w:rPr>
          <w:vertAlign w:val="subscript"/>
          <w:lang w:val="en-GB"/>
        </w:rPr>
        <w:t>2</w:t>
      </w:r>
      <w:r>
        <w:rPr>
          <w:vertAlign w:val="superscript"/>
          <w:lang w:val="en-GB"/>
        </w:rPr>
        <w:t xml:space="preserve">+ </w:t>
      </w:r>
      <w:r>
        <w:rPr>
          <w:lang w:val="en-GB"/>
        </w:rPr>
        <w:t>+ 2OH</w:t>
      </w:r>
      <w:r>
        <w:rPr>
          <w:vertAlign w:val="superscript"/>
          <w:lang w:val="en-GB"/>
        </w:rPr>
        <w:t xml:space="preserve">- </w:t>
      </w:r>
      <w:r>
        <w:rPr>
          <w:rFonts w:ascii="Cambria Math" w:hAnsi="Cambria Math" w:cs="Cambria Math"/>
          <w:lang w:val="en-GB"/>
        </w:rPr>
        <w:t>⇋</w:t>
      </w:r>
      <w:r>
        <w:rPr>
          <w:lang w:val="en-GB"/>
        </w:rPr>
        <w:t xml:space="preserve"> Fe(OH)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(s)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lang w:val="en-GB"/>
              </w:rPr>
            </w:pP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Fe(OH)</w:t>
            </w:r>
            <w:r>
              <w:rPr>
                <w:vertAlign w:val="subscript"/>
              </w:rPr>
              <w:t xml:space="preserve">2 </w:t>
            </w:r>
            <w:r>
              <w:t xml:space="preserve">(s) </w:t>
            </w:r>
            <w:r>
              <w:rPr>
                <w:rFonts w:ascii="Cambria Math" w:hAnsi="Cambria Math" w:cs="Cambria Math"/>
                <w:lang w:val="en-GB"/>
              </w:rPr>
              <w:t>⇋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 xml:space="preserve">+ </w:t>
            </w:r>
            <w:r>
              <w:t>+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2OH</w:t>
            </w:r>
            <w:r>
              <w:rPr>
                <w:vertAlign w:val="superscript"/>
              </w:rPr>
              <w:t>-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lastRenderedPageBreak/>
              <w:t>t</w:t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final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</w:t>
            </w:r>
          </w:p>
        </w:tc>
      </w:tr>
    </w:tbl>
    <w:p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K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HO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]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  <w:r>
        <w:t xml:space="preserve">d’où </w:t>
      </w:r>
      <m:oMath>
        <m:r>
          <w:rPr>
            <w:rFonts w:ascii="Cambria Math" w:hAnsi="Cambria Math"/>
          </w:rPr>
          <m:t>S=(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1/3</m:t>
            </m:r>
          </m:sup>
        </m:sSup>
      </m:oMath>
    </w:p>
    <w:p>
      <w:pPr>
        <w:pStyle w:val="Titre3"/>
      </w:pPr>
      <w:r>
        <w:t>Ajout d’un ion en solution à l’équilibre : effet d’ion commun</w:t>
      </w:r>
    </w:p>
    <w:p>
      <w:r>
        <w:t>L’ajout d’un des ions de la réaction dans une solution à l’équilibre provoquent un déplacement de ce dernier l’équilibre dans le sens indirect.</w:t>
      </w:r>
    </w:p>
    <w:p>
      <w:r>
        <w:t>L’ajout d’une solution ayant un ion commun est solubilité plus faible que pour une solution sans ion commun ?</w:t>
      </w:r>
    </w:p>
    <w:p>
      <w:r>
        <w:t>A COMPLETER</w:t>
      </w:r>
    </w:p>
    <w:p>
      <w:pPr>
        <w:pStyle w:val="Titre3"/>
      </w:pPr>
      <w:r>
        <w:t>Influence du pH</w:t>
      </w:r>
    </w:p>
    <w:p>
      <w:r>
        <w:t>De nombreux cation métalliques réagissent avec OH</w:t>
      </w:r>
      <w:r>
        <w:rPr>
          <w:vertAlign w:val="superscript"/>
        </w:rPr>
        <w:t>-</w:t>
      </w:r>
      <w:r>
        <w:t xml:space="preserve"> et forme un précipité. Pour pouvoir les dissoudre, il faut que la solution soit acide.</w:t>
      </w:r>
    </w:p>
    <w:p>
      <w:r>
        <w:t xml:space="preserve">Pour connaitre, le pH de la solution à partir de laquelle la solvatation débute, on détermine la valeur pour laquelle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c’est-à-dire cela revient à déterminer la valeur minimum pour que la réaction soit à l’équilibre. </w:t>
      </w:r>
      <w:r>
        <w:t>En utilisant la constante K</w:t>
      </w:r>
      <w:r>
        <w:rPr>
          <w:vertAlign w:val="subscript"/>
        </w:rPr>
        <w:t>e</w:t>
      </w:r>
      <w:r>
        <w:t xml:space="preserve">, on a </w:t>
      </w:r>
      <m:oMath>
        <m:r>
          <w:rPr>
            <w:rFonts w:ascii="Cambria Math" w:hAnsi="Cambria Math"/>
          </w:rPr>
          <m:t>pH&gt;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-log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>
      <w:pPr>
        <w:pStyle w:val="Titre1"/>
      </w:pPr>
      <w:r>
        <w:t>Équilibre de complexation</w:t>
      </w:r>
    </w:p>
    <w:p>
      <w:r>
        <w:t>Un complexe est l’association d’un centre métallique (atome ou ion d’un métal de transition) et de molécules neutres ou d’anions appelés ligands.</w:t>
      </w:r>
    </w:p>
    <w:p>
      <w:r>
        <w:t xml:space="preserve">Complexe (ou composé de coordination) </w:t>
      </w:r>
    </w:p>
    <w:p>
      <w:r>
        <w:t>Les différents types de réaction de complexation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830"/>
        <w:gridCol w:w="4505"/>
      </w:tblGrid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⇌M+L</m:t>
                </m:r>
              </m:oMath>
            </m:oMathPara>
          </w:p>
        </w:tc>
        <w:tc>
          <w:tcPr>
            <w:tcW w:w="4505" w:type="dxa"/>
          </w:tcPr>
          <w:p>
            <w:r>
              <w:t>Association dissociation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L]</m:t>
                </m:r>
              </m:oMath>
            </m:oMathPara>
          </w:p>
        </w:tc>
        <w:tc>
          <w:tcPr>
            <w:tcW w:w="4505" w:type="dxa"/>
          </w:tcPr>
          <w:p>
            <w:r>
              <w:t>Échange de ligands</w:t>
            </w:r>
          </w:p>
        </w:tc>
      </w:tr>
      <w:tr>
        <w:tc>
          <w:tcPr>
            <w:tcW w:w="2830" w:type="dxa"/>
          </w:tcPr>
          <w:p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⇌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05" w:type="dxa"/>
          </w:tcPr>
          <w:p>
            <w:r>
              <w:t>Échange de centres métalliques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En fonction du nombre de liaison qu’un ligand est capable de faire avec l’atome central Mono-, bi-, poly- dentate nombre de liaisons covalentes </w:t>
      </w:r>
    </w:p>
    <w:p>
      <w:r>
        <w:t xml:space="preserve">Couple accepteur/donneur </w:t>
      </w:r>
      <w:r>
        <w:rPr>
          <w:rFonts w:eastAsiaTheme="minorEastAsia"/>
        </w:rPr>
        <w:t xml:space="preserve">(noté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) associé à </w:t>
      </w:r>
      <m:oMath>
        <m:r>
          <w:rPr>
            <w:rFonts w:ascii="Cambria Math" w:hAnsi="Cambria Math"/>
          </w:rPr>
          <m:t>M+nL⇌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On classe les ligands en fonction du nombre de </w:t>
      </w:r>
    </w:p>
    <w:p>
      <w:pPr>
        <w:rPr>
          <w:rFonts w:eastAsiaTheme="minorEastAsia"/>
        </w:rPr>
      </w:pPr>
      <w:r>
        <w:t>Constante globale de formation du complexe</w:t>
      </w:r>
      <m:oMath>
        <m:r>
          <w:rPr>
            <w:rFonts w:ascii="Cambria Math" w:hAnsi="Cambria Math"/>
          </w:rPr>
          <m:t xml:space="preserve"> 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[L]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eastAsiaTheme="minorEastAsia"/>
        </w:rPr>
        <w:t xml:space="preserve">. Elle dépend de la température. 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on utilise souvent le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constante de dissociation correspond à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</m:oMath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β≫1</m:t>
        </m:r>
      </m:oMath>
      <w:r>
        <w:rPr>
          <w:rFonts w:eastAsiaTheme="minorEastAsia"/>
        </w:rPr>
        <w:t xml:space="preserve"> la réaction est totale.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Constante de 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[M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][L]</m:t>
            </m:r>
          </m:den>
        </m:f>
      </m:oMath>
      <w:r>
        <w:rPr>
          <w:rFonts w:eastAsiaTheme="minorEastAsia"/>
        </w:rPr>
        <w:t xml:space="preserve"> constante de dissociation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fi</m:t>
                </m:r>
              </m:sub>
            </m:sSub>
          </m:den>
        </m:f>
      </m:oMath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pL=p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[M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Réactions successives </w:t>
      </w:r>
    </w:p>
    <w:p>
      <w:r>
        <w:t xml:space="preserve">Diagramme de dissociation </w:t>
      </w:r>
    </w:p>
    <w:p>
      <w:pPr>
        <w:pStyle w:val="Titre1"/>
      </w:pPr>
      <w:r>
        <w:t>Équilibre d’oxydo-réduction</w:t>
      </w:r>
    </w:p>
    <w:p>
      <w:r>
        <w:t>Une réaction d’oxydo-réduction est un échange d’électrons en deux espèces chimiques.</w:t>
      </w:r>
    </w:p>
    <w:p>
      <w:r>
        <w:rPr>
          <w:rStyle w:val="Accentuation"/>
        </w:rPr>
        <w:t>Réducteur</w:t>
      </w:r>
      <w:r>
        <w:t xml:space="preserve"> espèce capable de céder au moins un électron.</w:t>
      </w:r>
    </w:p>
    <w:p>
      <w:r>
        <w:rPr>
          <w:rStyle w:val="Accentuation"/>
        </w:rPr>
        <w:t>Oxydant</w:t>
      </w:r>
      <w:r>
        <w:t xml:space="preserve"> espèce capable d’accepter au moins un électron.</w:t>
      </w:r>
    </w:p>
    <w:p>
      <w:r>
        <w:t>Rmq : une molécule qui accepte est nécessairement capable de céder des électrons dans des conditions différentes.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Ox+n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>⇋Réd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lastRenderedPageBreak/>
        <w:t>En solution aqueuse, une réaction rédox se produit soit quand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En présence de deux couples redox.</w:t>
      </w:r>
    </w:p>
    <w:p>
      <w:pPr>
        <w:pStyle w:val="Paragraphedeliste"/>
        <w:numPr>
          <w:ilvl w:val="0"/>
          <w:numId w:val="33"/>
        </w:numPr>
        <w:rPr>
          <w:rFonts w:eastAsiaTheme="minorEastAsia"/>
        </w:rPr>
      </w:pPr>
      <w:r>
        <w:rPr>
          <w:rFonts w:eastAsiaTheme="minorEastAsia"/>
        </w:rPr>
        <w:t>Par l’intermédiaire d’un courant électrique qui arrive par une électrode (réaction électrochimique).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Le degré d’oxydation</w:t>
      </w:r>
    </w:p>
    <w:p>
      <w:r>
        <w:t>Les électrons sont attribués à l’atome le plus électronégatif.</w:t>
      </w:r>
    </w:p>
    <w:p>
      <w:r>
        <w:t>Convention : le degré d’oxydation de chaque atome est écrit en chiffre romain.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Point méthode : équilibrer une solution rédox en solution</w:t>
            </w:r>
          </w:p>
          <w:p>
            <w:pPr>
              <w:rPr>
                <w:b/>
              </w:rPr>
            </w:pPr>
            <w:r>
              <w:rPr>
                <w:b/>
              </w:rPr>
              <w:t>Pour chaque couple redox :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éléments autres que l’hydrogène et l’oxygène.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oxygènes :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acide, en ajoutant des molécules d’eau.</w:t>
            </w:r>
          </w:p>
          <w:p>
            <w:pPr>
              <w:pStyle w:val="Paragraphedeliste"/>
              <w:numPr>
                <w:ilvl w:val="1"/>
                <w:numId w:val="32"/>
              </w:numPr>
              <w:rPr>
                <w:b/>
              </w:rPr>
            </w:pPr>
            <w:r>
              <w:t>En milieu basique, en ajoutant des ions HO</w:t>
            </w:r>
            <w:r>
              <w:rPr>
                <w:vertAlign w:val="superscript"/>
              </w:rPr>
              <w:t>-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Équilibrer les hydrogènes en ajoutant H</w:t>
            </w:r>
            <w:r>
              <w:rPr>
                <w:vertAlign w:val="superscript"/>
              </w:rPr>
              <w:t>+</w:t>
            </w:r>
            <w:r>
              <w:t>.</w:t>
            </w:r>
          </w:p>
          <w:p>
            <w:pPr>
              <w:pStyle w:val="Paragraphedeliste"/>
              <w:numPr>
                <w:ilvl w:val="0"/>
                <w:numId w:val="32"/>
              </w:numPr>
              <w:rPr>
                <w:b/>
              </w:rPr>
            </w:pPr>
            <w:r>
              <w:t>Ajouter les électrons.</w:t>
            </w:r>
          </w:p>
          <w:p>
            <w:pPr>
              <w:rPr>
                <w:b/>
              </w:rPr>
            </w:pPr>
            <w:r>
              <w:rPr>
                <w:b/>
              </w:rPr>
              <w:t>Sommer les deux couples.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Chimie en solution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B3E2A"/>
    <w:multiLevelType w:val="hybridMultilevel"/>
    <w:tmpl w:val="E58A6160"/>
    <w:lvl w:ilvl="0" w:tplc="05CA8AF8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36983"/>
    <w:multiLevelType w:val="hybridMultilevel"/>
    <w:tmpl w:val="0C46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B4640"/>
    <w:multiLevelType w:val="hybridMultilevel"/>
    <w:tmpl w:val="B3706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C3EE8"/>
    <w:multiLevelType w:val="hybridMultilevel"/>
    <w:tmpl w:val="1E3A2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90481"/>
    <w:multiLevelType w:val="hybridMultilevel"/>
    <w:tmpl w:val="E9A884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A2615D"/>
    <w:multiLevelType w:val="hybridMultilevel"/>
    <w:tmpl w:val="147E6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6AB866B9"/>
    <w:multiLevelType w:val="hybridMultilevel"/>
    <w:tmpl w:val="49C6A4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7"/>
  </w:num>
  <w:num w:numId="9">
    <w:abstractNumId w:val="26"/>
  </w:num>
  <w:num w:numId="10">
    <w:abstractNumId w:val="11"/>
  </w:num>
  <w:num w:numId="11">
    <w:abstractNumId w:val="13"/>
  </w:num>
  <w:num w:numId="12">
    <w:abstractNumId w:val="3"/>
  </w:num>
  <w:num w:numId="13">
    <w:abstractNumId w:val="28"/>
  </w:num>
  <w:num w:numId="14">
    <w:abstractNumId w:val="16"/>
  </w:num>
  <w:num w:numId="15">
    <w:abstractNumId w:val="19"/>
  </w:num>
  <w:num w:numId="16">
    <w:abstractNumId w:val="31"/>
  </w:num>
  <w:num w:numId="17">
    <w:abstractNumId w:val="4"/>
  </w:num>
  <w:num w:numId="18">
    <w:abstractNumId w:val="7"/>
  </w:num>
  <w:num w:numId="19">
    <w:abstractNumId w:val="18"/>
  </w:num>
  <w:num w:numId="20">
    <w:abstractNumId w:val="27"/>
  </w:num>
  <w:num w:numId="21">
    <w:abstractNumId w:val="15"/>
  </w:num>
  <w:num w:numId="22">
    <w:abstractNumId w:val="20"/>
  </w:num>
  <w:num w:numId="23">
    <w:abstractNumId w:val="33"/>
  </w:num>
  <w:num w:numId="24">
    <w:abstractNumId w:val="30"/>
  </w:num>
  <w:num w:numId="25">
    <w:abstractNumId w:val="32"/>
  </w:num>
  <w:num w:numId="26">
    <w:abstractNumId w:val="5"/>
  </w:num>
  <w:num w:numId="27">
    <w:abstractNumId w:val="0"/>
  </w:num>
  <w:num w:numId="28">
    <w:abstractNumId w:val="21"/>
  </w:num>
  <w:num w:numId="29">
    <w:abstractNumId w:val="1"/>
  </w:num>
  <w:num w:numId="30">
    <w:abstractNumId w:val="29"/>
  </w:num>
  <w:num w:numId="31">
    <w:abstractNumId w:val="12"/>
  </w:num>
  <w:num w:numId="32">
    <w:abstractNumId w:val="24"/>
  </w:num>
  <w:num w:numId="33">
    <w:abstractNumId w:val="14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831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32</cp:revision>
  <cp:lastPrinted>2021-02-13T18:38:00Z</cp:lastPrinted>
  <dcterms:created xsi:type="dcterms:W3CDTF">2021-05-17T20:06:00Z</dcterms:created>
  <dcterms:modified xsi:type="dcterms:W3CDTF">2021-10-05T08:48:00Z</dcterms:modified>
</cp:coreProperties>
</file>