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est toujours inférieure à celle d’un électron.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Force motrice </w:t>
      </w:r>
      <w:r>
        <w:rPr>
          <w:lang w:eastAsia="fr-FR"/>
        </w:rPr>
        <w:t>étape irréversible qui permet de favoriser la réaction dans un sens. Par exemple, lorsqu’une réaction produit un gaz c’est à dire la production d’une molécule qui quitte le système.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 qui fait intervenir un intermédiaire réactionnel. Elle est souvent représenter comme une réaction de tautomérie (le mécanisme ne fait pas apparaitre l’intermédiaire).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rStyle w:val="Accentuation"/>
        </w:rPr>
        <w:t>Tautomérie</w:t>
      </w:r>
      <w:r>
        <w:rPr>
          <w:lang w:eastAsia="fr-FR"/>
        </w:rPr>
        <w:t xml:space="preserve"> réaction acide base intra-intramoléculaire. Elle a lieu uniquement entre les atomes formant quatre liaisons. </w:t>
      </w:r>
    </w:p>
    <w:p>
      <w:r>
        <w:rPr>
          <w:rStyle w:val="Accentuation"/>
        </w:rPr>
        <w:t>Transposition</w:t>
      </w:r>
      <w:r>
        <w:t> déplacement d’une partie de la molécule.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phénomènes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53"/>
        <w:gridCol w:w="311"/>
        <w:gridCol w:w="831"/>
        <w:gridCol w:w="1300"/>
        <w:gridCol w:w="1091"/>
        <w:gridCol w:w="98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</w:t>
            </w:r>
            <w:r>
              <w:t>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6</w:t>
            </w:r>
            <w:r>
              <w:t>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7</w:t>
            </w:r>
            <w:r>
              <w:t xml:space="preserve">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8</w:t>
            </w:r>
            <w:r>
              <w:t>O</w:t>
            </w:r>
          </w:p>
          <w:p>
            <w:pPr>
              <w:pStyle w:val="Sansinterligne"/>
            </w:pPr>
            <w:r>
              <w:t>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11</w:t>
            </w:r>
            <w:r>
              <w:t>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12</w:t>
            </w:r>
            <w:r>
              <w:t>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15</w:t>
            </w:r>
            <w:r>
              <w:t>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16</w:t>
            </w:r>
            <w:r>
              <w:t>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17</w:t>
            </w:r>
            <w:r>
              <w:t>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19</w:t>
            </w:r>
            <w:r>
              <w:t>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20</w:t>
            </w:r>
            <w:r>
              <w:t>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lastRenderedPageBreak/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Oxydo-réduction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lastRenderedPageBreak/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09"/>
        <w:gridCol w:w="3126"/>
      </w:tblGrid>
      <w:tr>
        <w:tc>
          <w:tcPr>
            <w:tcW w:w="4390" w:type="dxa"/>
          </w:tcPr>
          <w:p>
            <w:r>
              <w:t>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2945" w:type="dxa"/>
          </w:tcPr>
          <w:p>
            <w:r>
              <w:t>En milieu basique</w:t>
            </w:r>
          </w:p>
        </w:tc>
      </w:tr>
      <w:tr>
        <w:tc>
          <w:tcPr>
            <w:tcW w:w="4390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3"/>
      </w:pPr>
      <w:r>
        <w:t>élimination</w:t>
      </w:r>
    </w:p>
    <w:p>
      <w:r>
        <w:rPr>
          <w:noProof/>
        </w:rPr>
        <w:drawing>
          <wp:inline distT="0" distB="0" distL="0" distR="0">
            <wp:extent cx="3219450" cy="61887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8" cy="6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Chimie en biologie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Ester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="Open Sans Light" w:cs="Open Sans Light"/>
                <w:lang w:val="en-GB"/>
              </w:rPr>
              <w:t>15,7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9-10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CoA-S (coenzyme A)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="Open Sans Light" w:cs="Open Sans Light"/>
                <w:lang w:val="en-GB"/>
              </w:rPr>
              <w:t>7-8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Résumé</w:t>
      </w:r>
    </w:p>
    <w:p>
      <w:pPr>
        <w:rPr>
          <w:rFonts w:eastAsia="Open Sans Light" w:cs="Open Sans Light"/>
          <w:highlight w:val="yellow"/>
        </w:rPr>
      </w:pPr>
      <w:r>
        <w:rPr>
          <w:rFonts w:eastAsia="Open Sans Light" w:cs="Open Sans Light"/>
          <w:highlight w:val="yellow"/>
        </w:rPr>
        <w:t xml:space="preserve">En résumé, la chimie biologique consiste à créer ou détruire des liaisons carbones-carbones. Comme les milieux biologiques </w:t>
      </w:r>
      <w:r>
        <w:rPr>
          <w:rFonts w:eastAsia="Open Sans Light" w:cs="Open Sans Light"/>
          <w:highlight w:val="yellow"/>
        </w:rPr>
        <w:t xml:space="preserve">sont soumis </w:t>
      </w:r>
    </w:p>
    <w:p>
      <w:pPr>
        <w:rPr>
          <w:rFonts w:eastAsia="Open Sans Light" w:cs="Open Sans Light"/>
          <w:highlight w:val="yellow"/>
        </w:rPr>
      </w:pPr>
      <w:r>
        <w:rPr>
          <w:rFonts w:eastAsia="Open Sans Light" w:cs="Open Sans Light"/>
          <w:highlight w:val="yellow"/>
        </w:rPr>
        <w:t xml:space="preserve">à réaliser des décarboxylations. Comme on ne peut pas chauffer en milieu biologique, les mécanismes consistent à le faire en diminuant les pKa des liaisons carbones à détruire par l’oxydation (ajouter des oxygènes). </w:t>
      </w:r>
    </w:p>
    <w:p>
      <w:pPr>
        <w:rPr>
          <w:rFonts w:eastAsia="Open Sans Light" w:cs="Open Sans Light"/>
          <w:highlight w:val="yellow"/>
        </w:rPr>
      </w:pPr>
      <w:r>
        <w:rPr>
          <w:rFonts w:eastAsia="Open Sans Light" w:cs="Open Sans Light"/>
          <w:highlight w:val="yellow"/>
        </w:rPr>
        <w:t xml:space="preserve">Molécule plane conserve son énergie en les mouvements des atomes les uns par rapport aux autres. </w:t>
      </w:r>
    </w:p>
    <w:p>
      <w:pPr>
        <w:rPr>
          <w:rFonts w:eastAsia="Open Sans Light" w:cs="Open Sans Light"/>
          <w:highlight w:val="yellow"/>
        </w:rPr>
      </w:pPr>
      <w:r>
        <w:rPr>
          <w:rFonts w:eastAsia="Open Sans Light" w:cs="Open Sans Light"/>
          <w:highlight w:val="yellow"/>
        </w:rPr>
        <w:t>Hydrogène plus facile sous contrôle cinétique</w:t>
      </w:r>
    </w:p>
    <w:p>
      <w:pPr>
        <w:rPr>
          <w:rFonts w:eastAsia="Open Sans Light" w:cs="Open Sans Light"/>
        </w:rPr>
      </w:pPr>
      <w:r>
        <w:rPr>
          <w:rFonts w:eastAsia="Open Sans Light" w:cs="Open Sans Light"/>
          <w:highlight w:val="yellow"/>
        </w:rPr>
        <w:t>Hydrogène donne molécule plus stable thermodynamique</w:t>
      </w:r>
    </w:p>
    <w:p/>
    <w:p>
      <w:pPr>
        <w:rPr>
          <w:rFonts w:eastAsiaTheme="minorEastAsia"/>
        </w:rPr>
      </w:pPr>
      <w:r>
        <w:rPr>
          <w:rFonts w:eastAsiaTheme="minorEastAsia"/>
        </w:rPr>
        <w:lastRenderedPageBreak/>
        <w:t>« Un riche attaque un pauvre » un atome riche en électron attaque à un atome pauvre.</w:t>
      </w:r>
    </w:p>
    <w:p>
      <w:pPr>
        <w:rPr>
          <w:rFonts w:eastAsiaTheme="minorEastAsia"/>
        </w:rPr>
      </w:pPr>
      <w:r>
        <w:rPr>
          <w:rFonts w:eastAsiaTheme="minorEastAsia"/>
        </w:rPr>
        <w:t>« Un mou c’est-à-dire avec un atome avec plusieurs couches électroniques partira plus difficilement, il sera moins nucléofuge, qu’un atome dur ».</w:t>
      </w:r>
    </w:p>
    <w:p>
      <w:pPr>
        <w:rPr>
          <w:rFonts w:eastAsiaTheme="minorEastAsia"/>
        </w:rPr>
      </w:pPr>
      <w:r>
        <w:rPr>
          <w:rFonts w:eastAsiaTheme="minorEastAsia"/>
        </w:rPr>
        <w:t>Les mous sont également plus facilement polarisable.</w:t>
      </w:r>
    </w:p>
    <w:p>
      <w:pPr>
        <w:rPr>
          <w:i/>
          <w:iCs/>
        </w:rPr>
      </w:pPr>
      <w:r>
        <w:rPr>
          <w:rFonts w:eastAsiaTheme="minorEastAsia"/>
          <w:i/>
          <w:iCs/>
        </w:rPr>
        <w:t xml:space="preserve">Exemple : le thiol (S) est un bon électrophile mais un mauvais nucléofuge (groupe partant). On le retrouve à pH physiologique à la fois sous la forme </w:t>
      </w:r>
      <w:r>
        <w:rPr>
          <w:i/>
          <w:iCs/>
        </w:rPr>
        <w:t>S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et SH.</w:t>
      </w:r>
    </w:p>
    <w:p>
      <w:pPr>
        <w:pStyle w:val="Titre2"/>
      </w:pPr>
      <w:r>
        <w:t>Les mécanismes élémentaires</w:t>
      </w:r>
    </w:p>
    <w:p>
      <w:r>
        <w:t>Les noms des principaux mécanismes à connaitre :</w:t>
      </w:r>
    </w:p>
    <w:p>
      <w:pPr>
        <w:pStyle w:val="Paragraphedeliste"/>
        <w:numPr>
          <w:ilvl w:val="0"/>
          <w:numId w:val="40"/>
        </w:numPr>
      </w:pPr>
      <w:r>
        <w:t>Addition nucléophile</w:t>
      </w:r>
    </w:p>
    <w:p>
      <w:pPr>
        <w:pStyle w:val="Paragraphedeliste"/>
        <w:numPr>
          <w:ilvl w:val="0"/>
          <w:numId w:val="40"/>
        </w:numPr>
      </w:pPr>
      <w:r>
        <w:rPr>
          <w:rFonts w:eastAsia="Open Sans Light" w:cs="Open Sans Light"/>
        </w:rPr>
        <w:t>Addition conjugué (ou addition de Michael)</w:t>
      </w:r>
    </w:p>
    <w:p>
      <w:pPr>
        <w:pStyle w:val="Paragraphedeliste"/>
        <w:numPr>
          <w:ilvl w:val="0"/>
          <w:numId w:val="40"/>
        </w:numPr>
      </w:pPr>
      <w:r>
        <w:t>Transpostion</w:t>
      </w:r>
      <w:r>
        <w:t xml:space="preserve"> déplacement d’un groupe ou d’un atome au sein de la molécule.</w:t>
      </w:r>
    </w:p>
    <w:p>
      <w:pPr>
        <w:pStyle w:val="Paragraphedeliste"/>
        <w:numPr>
          <w:ilvl w:val="0"/>
          <w:numId w:val="40"/>
        </w:numPr>
      </w:pPr>
      <w:r>
        <w:t>Élimination</w:t>
      </w:r>
    </w:p>
    <w:p>
      <w:pPr>
        <w:pStyle w:val="Paragraphedeliste"/>
        <w:numPr>
          <w:ilvl w:val="0"/>
          <w:numId w:val="40"/>
        </w:numPr>
      </w:pPr>
      <w:r>
        <w:t>Acide base</w:t>
      </w:r>
    </w:p>
    <w:p>
      <w:r>
        <w:t>Mécanismes spécialisée :</w:t>
      </w:r>
    </w:p>
    <w:tbl>
      <w:tblPr>
        <w:tblStyle w:val="Tableausimple1"/>
        <w:tblW w:w="5000" w:type="pct"/>
        <w:tblLayout w:type="fixed"/>
        <w:tblLook w:val="0620" w:firstRow="1" w:lastRow="0" w:firstColumn="0" w:lastColumn="0" w:noHBand="1" w:noVBand="1"/>
      </w:tblPr>
      <w:tblGrid>
        <w:gridCol w:w="2122"/>
        <w:gridCol w:w="52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Groupement</w:t>
            </w:r>
          </w:p>
        </w:tc>
        <w:tc>
          <w:tcPr>
            <w:tcW w:w="5213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Addition ( Elimination = dés-)</w:t>
            </w:r>
          </w:p>
        </w:tc>
      </w:tr>
      <w:tr>
        <w:tc>
          <w:tcPr>
            <w:tcW w:w="2122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H</w:t>
            </w:r>
            <w:r>
              <w:rPr>
                <w:rFonts w:eastAsia="Open Sans Light" w:cs="Open Sans Light"/>
                <w:vertAlign w:val="subscript"/>
              </w:rPr>
              <w:t>2</w:t>
            </w:r>
            <w:r>
              <w:rPr>
                <w:rFonts w:eastAsia="Open Sans Light" w:cs="Open Sans Light"/>
              </w:rPr>
              <w:t>O</w:t>
            </w:r>
          </w:p>
        </w:tc>
        <w:tc>
          <w:tcPr>
            <w:tcW w:w="5213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Hydratation</w:t>
            </w:r>
          </w:p>
        </w:tc>
      </w:tr>
      <w:tr>
        <w:tc>
          <w:tcPr>
            <w:tcW w:w="2122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CO</w:t>
            </w:r>
            <w:r>
              <w:rPr>
                <w:rFonts w:eastAsia="Open Sans Light" w:cs="Open Sans Light"/>
                <w:vertAlign w:val="subscript"/>
              </w:rPr>
              <w:t>2</w:t>
            </w:r>
          </w:p>
        </w:tc>
        <w:tc>
          <w:tcPr>
            <w:tcW w:w="5213" w:type="dxa"/>
          </w:tcPr>
          <w:p>
            <w:pPr>
              <w:rPr>
                <w:rFonts w:eastAsia="Open Sans Light" w:cs="Open Sans Light"/>
              </w:rPr>
            </w:pPr>
            <w:r>
              <w:rPr>
                <w:rFonts w:eastAsia="Open Sans Light" w:cs="Open Sans Light"/>
              </w:rPr>
              <w:t>Carboxylation</w:t>
            </w:r>
          </w:p>
        </w:tc>
      </w:tr>
    </w:tbl>
    <w:p>
      <w:pPr>
        <w:rPr>
          <w:rFonts w:eastAsia="Open Sans Light" w:cs="Open Sans Light"/>
        </w:rPr>
      </w:pPr>
      <w:r>
        <w:rPr>
          <w:rStyle w:val="Accentuation"/>
        </w:rPr>
        <w:t>Hydrolyse</w:t>
      </w:r>
      <w:r>
        <w:rPr>
          <w:rFonts w:eastAsia="Open Sans Light" w:cs="Open Sans Light"/>
        </w:rPr>
        <w:t xml:space="preserve"> coupure d’une molécule par une molécule d’eau. </w:t>
      </w:r>
    </w:p>
    <w:p>
      <w:pPr>
        <w:pStyle w:val="Titre2"/>
      </w:pPr>
      <w:r>
        <w:t>Les terpènes</w:t>
      </w:r>
    </w:p>
    <w:p>
      <w:r>
        <w:t>On part toujours de la forme limite de résonnance la plus stable :</w:t>
      </w:r>
    </w:p>
    <w:p>
      <w:r>
        <w:t>1 - Addition nucléophile intramoléculaire avec un mouvement conjugué des électrons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593102" cy="7715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64" cy="7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2 - Un grand et un petit cycle (3 et 5) sont préférables à deux cycle à 4 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033461" cy="14097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59" cy="14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 – Des liaisons C-C peuvent être briser dans le cadre de cycle à 4 atomes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095625" cy="101288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32" cy="1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Exemple de réaction compliquée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212962" cy="90487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9" cy="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Cs/>
              </w:rPr>
            </w:pPr>
            <w:r>
              <w:rPr>
                <w:bCs/>
              </w:rPr>
              <w:t>Point méthode : Pour les réactions sur les terpènes on peut numéroter les atomes de carbones (par exemple les carbones III) pour avoir des repères qui facilitent le repérage dans la structure.</w:t>
            </w:r>
          </w:p>
          <w:p>
            <w:pPr>
              <w:rPr>
                <w:bCs/>
              </w:rPr>
            </w:pPr>
            <w:r>
              <w:rPr>
                <w:bCs/>
              </w:rPr>
              <w:t>Lorsque l’on ne sait pas par où commencer. On peut écrire le substrat et le produit avec leurs atomes d’hydrogènes pour identifier les hydrogènes identifié</w:t>
            </w:r>
          </w:p>
        </w:tc>
      </w:tr>
    </w:tbl>
    <w:p>
      <w:pPr>
        <w:pStyle w:val="Titre3"/>
      </w:pPr>
      <w:r>
        <w:lastRenderedPageBreak/>
        <w:t>Synthèse des terpènes</w:t>
      </w:r>
    </w:p>
    <w:p>
      <w:r>
        <w:t>La synthèse des terpènes (C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8</w:t>
      </w:r>
      <w:r>
        <w:t>)</w:t>
      </w:r>
      <w:r>
        <w:rPr>
          <w:vertAlign w:val="subscript"/>
        </w:rPr>
        <w:t>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689"/>
        <w:gridCol w:w="2767"/>
        <w:gridCol w:w="1886"/>
        <w:gridCol w:w="19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</m:oMath>
            </m:oMathPara>
          </w:p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Précurseurs</w:t>
            </w:r>
          </w:p>
        </w:tc>
        <w:tc>
          <w:tcPr>
            <w:tcW w:w="179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</w:t>
            </w:r>
          </w:p>
        </w:tc>
        <w:tc>
          <w:tcPr>
            <w:tcW w:w="2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Dérivés emblématiques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1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Isoprène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mono terpénoide 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2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DMAPP + IPP = géranyle phosphate (GPP)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3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GPP + IPP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  <w:r>
              <w:t>quiterpénoide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4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FPP + IPP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6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Stéroide, cholestérol</w:t>
            </w:r>
          </w:p>
        </w:tc>
      </w:tr>
    </w:tbl>
    <w:p>
      <w:pPr>
        <w:pStyle w:val="Titre2"/>
      </w:pPr>
      <w:r>
        <w:t>Type de réaction (catalytique ou anabolitique)</w:t>
      </w:r>
    </w:p>
    <w:p>
      <w:r>
        <w:t xml:space="preserve">Si une réaction régénére les produits de départ alors elle est de type  catalytique (dégradation). </w:t>
      </w:r>
    </w:p>
    <w:p>
      <w:pPr>
        <w:pStyle w:val="Titre2"/>
      </w:pPr>
      <w:r>
        <w:t>Rendre un groupe nucléofuge</w:t>
      </w:r>
    </w:p>
    <w:p>
      <w:r>
        <w:t>Addtion nucléophile sur un groupement phosphate comme ceux de l’ATP.</w:t>
      </w:r>
    </w:p>
    <w:p>
      <w:r>
        <w:rPr>
          <w:noProof/>
        </w:rPr>
        <w:drawing>
          <wp:inline distT="0" distB="0" distL="0" distR="0">
            <wp:extent cx="3244707" cy="590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3" cy="5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Rendre un groupement mauvais groupe partant en bon groupe partant.</w:t>
      </w:r>
    </w:p>
    <w:p>
      <w:pPr>
        <w:pStyle w:val="Paragraphedeliste"/>
        <w:numPr>
          <w:ilvl w:val="0"/>
          <w:numId w:val="37"/>
        </w:numPr>
      </w:pPr>
      <w:r>
        <w:t>AMP (Mg</w:t>
      </w:r>
      <w:r>
        <w:rPr>
          <w:vertAlign w:val="superscript"/>
        </w:rPr>
        <w:t>2+</w:t>
      </w:r>
      <w:r>
        <w:t>) permet d’éliminer deux groupements phosphate d’une molécule d’ATP</w:t>
      </w:r>
    </w:p>
    <w:p>
      <w:pPr>
        <w:ind w:left="708"/>
      </w:pPr>
      <w:r>
        <w:rPr>
          <w:noProof/>
        </w:rPr>
        <w:drawing>
          <wp:inline distT="0" distB="0" distL="0" distR="0">
            <wp:extent cx="4086225" cy="122251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6" cy="12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7"/>
        </w:numPr>
      </w:pPr>
      <w:r>
        <w:t>Autoprotolyse (réaction acido-basique intramoléculaire)</w:t>
      </w:r>
    </w:p>
    <w:p>
      <w:pPr>
        <w:ind w:left="708"/>
      </w:pPr>
      <w:r>
        <w:rPr>
          <w:noProof/>
        </w:rPr>
        <w:drawing>
          <wp:inline distT="0" distB="0" distL="0" distR="0">
            <wp:extent cx="2038350" cy="115645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31" cy="11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L’histidine molécule acide-base</w:t>
      </w:r>
    </w:p>
    <w:p>
      <w:r>
        <w:t>Histidine un acide aminé à la fois base et acide</w:t>
      </w:r>
    </w:p>
    <w:p>
      <w:r>
        <w:rPr>
          <w:noProof/>
        </w:rPr>
        <w:drawing>
          <wp:inline distT="0" distB="0" distL="0" distR="0">
            <wp:extent cx="1514475" cy="64729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6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Co-enzyme A</w:t>
      </w:r>
    </w:p>
    <w:p>
      <w:r>
        <w:rPr>
          <w:noProof/>
        </w:rPr>
        <w:drawing>
          <wp:inline distT="0" distB="0" distL="0" distR="0">
            <wp:extent cx="4391025" cy="94285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99" cy="94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Réaction d’oxydo-réduction</w:t>
      </w:r>
    </w:p>
    <w:p>
      <w:r>
        <w:t>Pour les réactions d’oxydo-réduction en milieu physiologique généralement par l’intermédiaire de :</w:t>
      </w:r>
    </w:p>
    <w:p>
      <w:pPr>
        <w:pStyle w:val="Paragraphedeliste"/>
        <w:numPr>
          <w:ilvl w:val="0"/>
          <w:numId w:val="36"/>
        </w:numPr>
      </w:pPr>
      <w:r>
        <w:lastRenderedPageBreak/>
        <w:t xml:space="preserve">NAD+ </w:t>
      </w:r>
    </w:p>
    <w:p>
      <w:pPr>
        <w:ind w:left="708"/>
      </w:pPr>
      <w:r>
        <w:rPr>
          <w:noProof/>
        </w:rPr>
        <w:drawing>
          <wp:inline distT="0" distB="0" distL="0" distR="0">
            <wp:extent cx="1895475" cy="866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7" cy="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6"/>
        </w:numPr>
      </w:pPr>
      <w:r>
        <w:t>FAD+/FADH2 par l’ajout de H+ et H-</w:t>
      </w:r>
    </w:p>
    <w:p>
      <w:pPr>
        <w:pStyle w:val="Paragraphedeliste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3486150" cy="835819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51" cy="8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</w:rPr>
      </w:pPr>
      <w:r>
        <w:rPr>
          <w:b/>
        </w:rPr>
        <w:t xml:space="preserve">La réaction a lieu </w:t>
      </w:r>
    </w:p>
    <w:p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638425" cy="778552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9" cy="7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Style w:val="Accentuation"/>
        </w:rPr>
        <w:t>énergie d’activation</w:t>
      </w:r>
      <w:r>
        <w:rPr>
          <w:rFonts w:eastAsiaTheme="minorEastAsia"/>
        </w:rPr>
        <w:t xml:space="preserve">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vitesse est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d[A]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846"/>
        <w:gridCol w:w="2126"/>
        <w:gridCol w:w="1701"/>
        <w:gridCol w:w="26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Ordre</w:t>
            </w:r>
          </w:p>
        </w:tc>
        <w:tc>
          <w:tcPr>
            <w:tcW w:w="3827" w:type="dxa"/>
            <w:gridSpan w:val="2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la vitesse intégrée</w:t>
            </w:r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A=-kt</m:t>
                </m:r>
              </m:oMath>
            </m:oMathPara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-kt</m:t>
                    </m:r>
                  </m:sup>
                </m:sSup>
              </m:oMath>
            </m:oMathPara>
          </w:p>
        </w:tc>
      </w:tr>
      <w:tr>
        <w:trPr>
          <w:trHeight w:val="705"/>
        </w:trP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2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+kt</m:t>
                </m:r>
              </m:oMath>
            </m:oMathPara>
          </w:p>
        </w:tc>
      </w:tr>
    </w:tbl>
    <w:p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d[A]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[A]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=-kdt⟺A=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r>
        <w:t>Deux méthodes pour déterminer l’ordre d’une réaction :</w:t>
      </w:r>
    </w:p>
    <w:p>
      <w:pPr>
        <w:pStyle w:val="Paragraphedeliste"/>
        <w:numPr>
          <w:ilvl w:val="0"/>
          <w:numId w:val="36"/>
        </w:numPr>
      </w:pPr>
      <w:r>
        <w:t>Intégrale. On suppose l’ordre de la réaction et tracer la forme linéaire pour chaque ordre hypothétique, l’ordre réel correspondra à la représentation graphique d’une droite).</w:t>
      </w:r>
    </w:p>
    <w:p>
      <w:pPr>
        <w:pStyle w:val="Paragraphedeliste"/>
        <w:numPr>
          <w:ilvl w:val="0"/>
          <w:numId w:val="36"/>
        </w:numPr>
      </w:pPr>
      <w:r>
        <w:t>Différentielle (linéariser la vitesse et déterminer l’ordre à partir du coefficent b de la droite).</w:t>
      </w:r>
    </w:p>
    <w:p>
      <w:pPr>
        <w:pStyle w:val="Titre3"/>
      </w:pPr>
      <w:r>
        <w:t>Méthode intégrale</w:t>
      </w:r>
    </w:p>
    <w:p>
      <w:r>
        <w:t>On représente f(t)=y pour chacun des ordres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lastRenderedPageBreak/>
              <w:t>Ordre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t>Réprésentation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y=[A]</m:t>
                </m:r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[A]</m:t>
                    </m:r>
                  </m:e>
                </m:func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[A]</m:t>
                    </m:r>
                  </m:den>
                </m:f>
              </m:oMath>
            </m:oMathPara>
          </w:p>
        </w:tc>
      </w:tr>
    </w:tbl>
    <w:p>
      <w:r>
        <w:t>L’ordre de la réaction correspond à la représentation graphique donnerat une droite.</w:t>
      </w:r>
    </w:p>
    <w:p>
      <w:pPr>
        <w:pStyle w:val="Titre3"/>
      </w:pPr>
      <w:r>
        <w:t>Méthode différentielle</w:t>
      </w:r>
    </w:p>
    <w:p>
      <w:r>
        <w:t>On trace le graphique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>
      <w:r>
        <w:t xml:space="preserve">Car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[A]</m:t>
            </m:r>
          </m:e>
        </m:func>
      </m:oMath>
      <w:r>
        <w:t>. Pour rappel la vitesse est la variation de concentration pour une petite unité de temps 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d[A]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>
      <w:r>
        <w:t>Effet de la température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80"/>
        <w:gridCol w:w="5355"/>
      </w:tblGrid>
      <w:tr>
        <w:tc>
          <w:tcPr>
            <w:tcW w:w="1980" w:type="dxa"/>
          </w:tcPr>
          <w:p>
            <m:oMathPara>
              <m:oMath>
                <m:r>
                  <w:rPr>
                    <w:rFonts w:ascii="Cambria Math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355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>
              <w:t>constante de vitesse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facteur de fréquence (même unité que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)</w:t>
            </w:r>
          </w:p>
          <w:p>
            <w:pPr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énergie d’activation j.mol</w:t>
            </w:r>
            <w:r>
              <w:rPr>
                <w:vertAlign w:val="superscript"/>
              </w:rPr>
              <w:t>-1</w:t>
            </w:r>
          </w:p>
          <w:p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constante des gaz parfaits 8,314 j.K</w:t>
            </w:r>
            <w:r>
              <w:rPr>
                <w:vertAlign w:val="superscript"/>
              </w:rPr>
              <w:t>-1</w:t>
            </w:r>
            <w:r>
              <w:t>.mol</w:t>
            </w:r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température en K</w:t>
            </w:r>
          </w:p>
        </w:tc>
      </w:tr>
    </w:tbl>
    <w:p>
      <w:r>
        <w:rPr>
          <w:u w:val="single"/>
        </w:rPr>
        <w:t>Rmq :</w:t>
      </w:r>
      <w:r>
        <w:t xml:space="preserve"> 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augmente, </w:t>
      </w:r>
      <m:oMath>
        <m:r>
          <w:rPr>
            <w:rFonts w:ascii="Cambria Math" w:hAnsi="Cambria Math"/>
          </w:rPr>
          <m:t>k</m:t>
        </m:r>
      </m:oMath>
      <w:r>
        <w:t xml:space="preserve"> diminue et lorsque </w:t>
      </w:r>
      <m:oMath>
        <m:r>
          <w:rPr>
            <w:rFonts w:ascii="Cambria Math" w:hAnsi="Cambria Math"/>
          </w:rPr>
          <m:t>T</m:t>
        </m:r>
      </m:oMath>
      <w:r>
        <w:t xml:space="preserve"> augmente </w:t>
      </w:r>
      <m:oMath>
        <m:r>
          <w:rPr>
            <w:rFonts w:ascii="Cambria Math" w:hAnsi="Cambria Math"/>
          </w:rPr>
          <m:t>k</m:t>
        </m:r>
      </m:oMath>
      <w:r>
        <w:t xml:space="preserve"> augmente. Plus </w:t>
      </w:r>
      <m:oMath>
        <m:r>
          <w:rPr>
            <w:rFonts w:ascii="Cambria Math" w:hAnsi="Cambria Math"/>
          </w:rPr>
          <m:t>k</m:t>
        </m:r>
      </m:oMath>
      <w:r>
        <w:t xml:space="preserve"> est grand plus la réaction est rapide.</w:t>
      </w:r>
    </w:p>
    <w:p>
      <w:r>
        <w:t xml:space="preserve">Linéarisation et représentation graphique </w:t>
      </w:r>
    </w:p>
    <w:p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>
      <w:r>
        <w:t>L’énergie d’activation correspond alors au coefficent de la droite.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="Open Sans Light" w:cs="Open Sans Light"/>
        </w:rPr>
      </w:pPr>
      <w:r>
        <w:rPr>
          <w:rFonts w:eastAsia="Open Sans Light" w:cs="Open Sans Light"/>
        </w:rPr>
        <w:t xml:space="preserve"> </w:t>
      </w:r>
    </w:p>
    <w:p>
      <w:pPr>
        <w:rPr>
          <w:rFonts w:eastAsiaTheme="minorEastAsia"/>
        </w:rPr>
      </w:pPr>
    </w:p>
    <w:sectPr>
      <w:footerReference w:type="default" r:id="rId35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630D"/>
    <w:multiLevelType w:val="hybridMultilevel"/>
    <w:tmpl w:val="7720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1D8"/>
    <w:multiLevelType w:val="hybridMultilevel"/>
    <w:tmpl w:val="19981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A0993"/>
    <w:multiLevelType w:val="hybridMultilevel"/>
    <w:tmpl w:val="E4064BF2"/>
    <w:lvl w:ilvl="0" w:tplc="DA6A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6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8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5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53440"/>
    <w:multiLevelType w:val="hybridMultilevel"/>
    <w:tmpl w:val="55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B247C"/>
    <w:multiLevelType w:val="hybridMultilevel"/>
    <w:tmpl w:val="DF8A6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62F8E"/>
    <w:multiLevelType w:val="hybridMultilevel"/>
    <w:tmpl w:val="923EF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5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24"/>
  </w:num>
  <w:num w:numId="9">
    <w:abstractNumId w:val="31"/>
  </w:num>
  <w:num w:numId="10">
    <w:abstractNumId w:val="18"/>
  </w:num>
  <w:num w:numId="11">
    <w:abstractNumId w:val="19"/>
  </w:num>
  <w:num w:numId="12">
    <w:abstractNumId w:val="4"/>
  </w:num>
  <w:num w:numId="13">
    <w:abstractNumId w:val="34"/>
  </w:num>
  <w:num w:numId="14">
    <w:abstractNumId w:val="23"/>
  </w:num>
  <w:num w:numId="15">
    <w:abstractNumId w:val="26"/>
  </w:num>
  <w:num w:numId="16">
    <w:abstractNumId w:val="36"/>
  </w:num>
  <w:num w:numId="17">
    <w:abstractNumId w:val="8"/>
  </w:num>
  <w:num w:numId="18">
    <w:abstractNumId w:val="12"/>
  </w:num>
  <w:num w:numId="19">
    <w:abstractNumId w:val="25"/>
  </w:num>
  <w:num w:numId="20">
    <w:abstractNumId w:val="33"/>
  </w:num>
  <w:num w:numId="21">
    <w:abstractNumId w:val="21"/>
  </w:num>
  <w:num w:numId="22">
    <w:abstractNumId w:val="28"/>
  </w:num>
  <w:num w:numId="23">
    <w:abstractNumId w:val="38"/>
  </w:num>
  <w:num w:numId="24">
    <w:abstractNumId w:val="35"/>
  </w:num>
  <w:num w:numId="25">
    <w:abstractNumId w:val="37"/>
  </w:num>
  <w:num w:numId="26">
    <w:abstractNumId w:val="9"/>
  </w:num>
  <w:num w:numId="27">
    <w:abstractNumId w:val="0"/>
  </w:num>
  <w:num w:numId="28">
    <w:abstractNumId w:val="20"/>
  </w:num>
  <w:num w:numId="29">
    <w:abstractNumId w:val="14"/>
  </w:num>
  <w:num w:numId="30">
    <w:abstractNumId w:val="27"/>
  </w:num>
  <w:num w:numId="31">
    <w:abstractNumId w:val="22"/>
  </w:num>
  <w:num w:numId="32">
    <w:abstractNumId w:val="2"/>
  </w:num>
  <w:num w:numId="33">
    <w:abstractNumId w:val="3"/>
  </w:num>
  <w:num w:numId="34">
    <w:abstractNumId w:val="10"/>
  </w:num>
  <w:num w:numId="35">
    <w:abstractNumId w:val="7"/>
  </w:num>
  <w:num w:numId="36">
    <w:abstractNumId w:val="6"/>
  </w:num>
  <w:num w:numId="37">
    <w:abstractNumId w:val="39"/>
  </w:num>
  <w:num w:numId="38">
    <w:abstractNumId w:val="16"/>
  </w:num>
  <w:num w:numId="39">
    <w:abstractNumId w:val="5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oter" Target="footer1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7</Pages>
  <Words>1585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67</cp:revision>
  <cp:lastPrinted>2021-02-13T18:38:00Z</cp:lastPrinted>
  <dcterms:created xsi:type="dcterms:W3CDTF">2021-05-17T20:06:00Z</dcterms:created>
  <dcterms:modified xsi:type="dcterms:W3CDTF">2021-11-21T22:08:00Z</dcterms:modified>
</cp:coreProperties>
</file>