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Mésoméries, on parle de :</w:t>
      </w:r>
    </w:p>
    <w:p>
      <w:pPr>
        <w:pStyle w:val="Paragraphedeliste"/>
        <w:numPr>
          <w:ilvl w:val="0"/>
          <w:numId w:val="28"/>
        </w:numPr>
        <w:rPr>
          <w:rFonts w:eastAsiaTheme="minorEastAsia"/>
        </w:rPr>
      </w:pPr>
      <w:r>
        <w:rPr>
          <w:rStyle w:val="Accentuation"/>
          <w:b/>
          <w:bCs/>
        </w:rPr>
        <w:t>Kékulé</w:t>
      </w:r>
      <w:r>
        <w:rPr>
          <w:b/>
          <w:bCs/>
        </w:rPr>
        <w:t xml:space="preserve"> molécule avec un mésomère de type cycle avec un</w:t>
      </w:r>
      <w:r>
        <w:t xml:space="preserve"> enchaînement </w:t>
      </w:r>
      <m:oMath>
        <m:r>
          <w:rPr>
            <w:rFonts w:ascii="Cambria Math" w:hAnsi="Cambria Math"/>
          </w:rPr>
          <m:t>π-</m:t>
        </m:r>
      </m:oMath>
    </w:p>
    <w:p>
      <w:pPr>
        <w:pStyle w:val="Paragraphedeliste"/>
        <w:numPr>
          <w:ilvl w:val="0"/>
          <w:numId w:val="28"/>
        </w:numPr>
        <w:rPr>
          <w:rFonts w:eastAsiaTheme="minorEastAsia"/>
        </w:rPr>
      </w:pPr>
      <w:r>
        <w:rPr>
          <w:rStyle w:val="Accentuation"/>
        </w:rPr>
        <w:t>Zwitterion</w:t>
      </w:r>
      <w:r>
        <w:rPr>
          <w:rFonts w:eastAsiaTheme="minorEastAsia"/>
        </w:rPr>
        <w:t xml:space="preserve"> molécule neutre avec des charges formelles induites par une différence d’électronégativité </w:t>
      </w:r>
      <m:oMath>
        <m:r>
          <w:rPr>
            <w:rFonts w:ascii="Cambria Math" w:eastAsiaTheme="minorEastAsia" w:hAnsi="Cambria Math"/>
          </w:rPr>
          <m:t>N-</m:t>
        </m:r>
        <m:r>
          <w:rPr>
            <w:rFonts w:ascii="Cambria Math" w:hAnsi="Cambria Math"/>
          </w:rPr>
          <m:t>π-</m:t>
        </m:r>
        <m:r>
          <w:rPr>
            <w:rFonts w:ascii="Cambria Math" w:eastAsiaTheme="minorEastAsia" w:hAnsi="Cambria Math"/>
          </w:rPr>
          <m:t>σ-N</m:t>
        </m:r>
      </m:oMath>
      <w:r>
        <w:rPr>
          <w:rFonts w:eastAsiaTheme="minorEastAsia"/>
        </w:rPr>
        <w:t>.</w:t>
      </w:r>
    </w:p>
    <w:p>
      <w:pPr>
        <w:rPr>
          <w:rFonts w:eastAsiaTheme="minorEastAsia"/>
        </w:rPr>
      </w:pPr>
      <w:r>
        <w:rPr>
          <w:rFonts w:eastAsiaTheme="minorEastAsia"/>
        </w:rPr>
        <w:t xml:space="preserve">Deux types de charges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 xml:space="preserve">Partielle noté </w:t>
            </w:r>
            <m:oMath>
              <m:r>
                <m:rPr>
                  <m:sty m:val="bi"/>
                </m:rPr>
                <w:rPr>
                  <w:rFonts w:ascii="Cambria Math" w:eastAsiaTheme="minorEastAsia" w:hAnsi="Cambria Math"/>
                </w:rPr>
                <m:t>δ</m:t>
              </m:r>
            </m:oMath>
            <w:r>
              <w:rPr>
                <w:rFonts w:eastAsiaTheme="minorEastAsia"/>
              </w:rPr>
              <w:t xml:space="preserve">. </w:t>
            </w:r>
          </w:p>
        </w:tc>
        <w:tc>
          <w:tcPr>
            <w:tcW w:w="3668" w:type="dxa"/>
          </w:tcPr>
          <w:p>
            <w:pPr>
              <w:rPr>
                <w:rFonts w:eastAsiaTheme="minorEastAsia"/>
              </w:rPr>
            </w:pPr>
            <w:r>
              <w:rPr>
                <w:rFonts w:eastAsiaTheme="minorEastAsia"/>
              </w:rPr>
              <w:t xml:space="preserve">Formelle. </w:t>
            </w:r>
          </w:p>
        </w:tc>
      </w:tr>
    </w:tbl>
    <w:p>
      <w:pPr>
        <w:rPr>
          <w:rFonts w:eastAsiaTheme="minorEastAsia"/>
        </w:rPr>
      </w:pPr>
      <w:r>
        <w:rPr>
          <w:rFonts w:eastAsiaTheme="minorEastAsia"/>
          <w:u w:val="single"/>
        </w:rPr>
        <w:t>Rmq :</w:t>
      </w:r>
      <w:r>
        <w:rPr>
          <w:rFonts w:eastAsiaTheme="minorEastAsia"/>
        </w:rPr>
        <w:t xml:space="preserve"> une charge partielle est toujours inférieure à celle d’un électron. Elle correspond à un déséquilibre dans la répartition des électrons dans une molécule.</w:t>
      </w:r>
    </w:p>
    <w:p>
      <w:pPr>
        <w:rPr>
          <w:rFonts w:eastAsiaTheme="minorEastAsia"/>
        </w:rPr>
      </w:pPr>
      <w:r>
        <w:rPr>
          <w:rStyle w:val="Accentuation"/>
        </w:rPr>
        <w:t xml:space="preserve">Force motrice </w:t>
      </w:r>
      <w:r>
        <w:rPr>
          <w:lang w:eastAsia="fr-FR"/>
        </w:rPr>
        <w:t>étape irréversible qui permet de favoriser la réaction dans un sens. Par exemple, lorsqu’une réaction produit un gaz c’est à dire la production d’une molécule qui quitte le système.</w:t>
      </w:r>
    </w:p>
    <w:p>
      <w:pPr>
        <w:rPr>
          <w:rFonts w:eastAsiaTheme="minorEastAsia"/>
        </w:rPr>
      </w:pPr>
      <w:r>
        <w:rPr>
          <w:rFonts w:eastAsiaTheme="minorEastAsia"/>
        </w:rPr>
        <w:t xml:space="preserve">Électronégativité entre deux atomes :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box>
                  <m:boxPr>
                    <m:opEmu m:val="1"/>
                    <m:ctrlPr>
                      <w:rPr>
                        <w:rFonts w:ascii="Cambria Math" w:eastAsiaTheme="minorEastAsia" w:hAnsi="Cambria Math"/>
                        <w:i/>
                      </w:rPr>
                    </m:ctrlPr>
                  </m:boxPr>
                  <m:e>
                    <m:r>
                      <w:rPr>
                        <w:rFonts w:ascii="Cambria Math" w:eastAsiaTheme="minorEastAsia" w:hAnsi="Cambria Math"/>
                      </w:rPr>
                      <m:t>u</m:t>
                    </m:r>
                  </m:e>
                </m:box>
              </m:e>
            </m:d>
          </m:e>
        </m:d>
        <m:r>
          <w:rPr>
            <w:rFonts w:ascii="Cambria Math" w:eastAsiaTheme="minorEastAsia" w:hAnsi="Cambria Math"/>
          </w:rPr>
          <m:t>=δ×d</m:t>
        </m:r>
      </m:oMath>
    </w:p>
    <w:p>
      <w:pPr>
        <w:pStyle w:val="Titre3"/>
        <w:rPr>
          <w:rFonts w:eastAsiaTheme="minorEastAsia"/>
        </w:rPr>
      </w:pPr>
      <w:r>
        <w:rPr>
          <w:rFonts w:eastAsiaTheme="minorEastAsia"/>
        </w:rPr>
        <w:t>Réaction d’oxydo-réduction</w:t>
      </w:r>
    </w:p>
    <w:p>
      <w:pPr>
        <w:rPr>
          <w:rFonts w:eastAsiaTheme="minorEastAsia"/>
        </w:rPr>
      </w:pPr>
      <w:r>
        <w:rPr>
          <w:rStyle w:val="Accentuation"/>
        </w:rPr>
        <w:t>Réducteur</w:t>
      </w:r>
      <w:r>
        <w:rPr>
          <w:rFonts w:eastAsiaTheme="minorEastAsia"/>
        </w:rPr>
        <w:t xml:space="preserve"> (par opposition à l’oxydant) atome capable de céder un ou plusieurs électrons.</w:t>
      </w:r>
    </w:p>
    <w:p>
      <w:pPr>
        <w:rPr>
          <w:rFonts w:eastAsiaTheme="minorEastAsia"/>
        </w:rPr>
      </w:pPr>
      <w:r>
        <w:rPr>
          <w:rStyle w:val="Accentuation"/>
        </w:rPr>
        <w:t>Degré d’oxydation</w:t>
      </w:r>
      <w:r>
        <w:rPr>
          <w:rFonts w:eastAsiaTheme="minorEastAsia"/>
        </w:rPr>
        <w:t xml:space="preserve"> différence d’électrons autour de l’atome.</w:t>
      </w:r>
    </w:p>
    <w:p>
      <w:pPr>
        <w:rPr>
          <w:rFonts w:eastAsiaTheme="minorEastAsia"/>
        </w:rPr>
      </w:pPr>
      <w:r>
        <w:rPr>
          <w:u w:val="single"/>
        </w:rPr>
        <w:t>Rmq :</w:t>
      </w:r>
      <w:r>
        <w:rPr>
          <w:rFonts w:eastAsiaTheme="minorEastAsia"/>
        </w:rPr>
        <w:t xml:space="preserve"> pour les ions, le degré d’oxydation nombre d’électrons (exemple : Fe</w:t>
      </w:r>
      <w:r>
        <w:rPr>
          <w:rFonts w:eastAsiaTheme="minorEastAsia"/>
          <w:vertAlign w:val="superscript"/>
        </w:rPr>
        <w:t>3+</w:t>
      </w:r>
      <w:r>
        <w:rPr>
          <w:rFonts w:eastAsiaTheme="minorEastAsia"/>
        </w:rPr>
        <w:t xml:space="preserve"> a un degré d’oxydation d’ordre 3).</w:t>
      </w:r>
    </w:p>
    <w:p>
      <w:pPr>
        <w:rPr>
          <w:rFonts w:eastAsiaTheme="minorEastAsia"/>
        </w:rPr>
      </w:pPr>
      <w:r>
        <w:rPr>
          <w:rFonts w:eastAsiaTheme="minorEastAsia"/>
        </w:rPr>
        <w:t>La différence d’électronégativité minimum pour que l’atome récupère l’électron de l’atome voisin est de &gt;0,5 (</w:t>
      </w:r>
      <m:oMath>
        <m:r>
          <w:rPr>
            <w:rFonts w:ascii="Cambria Math" w:eastAsiaTheme="minorEastAsia" w:hAnsi="Cambria Math"/>
          </w:rPr>
          <m:t>∆χ&gt;0,5</m:t>
        </m:r>
      </m:oMath>
      <w:r>
        <w:rPr>
          <w:rFonts w:eastAsiaTheme="minorEastAsia"/>
        </w:rPr>
        <w:t xml:space="preserve"> ).</w:t>
      </w:r>
    </w:p>
    <w:p>
      <w:pPr>
        <w:rPr>
          <w:rFonts w:ascii="Segoe UI" w:hAnsi="Segoe UI" w:cs="Segoe UI"/>
          <w:sz w:val="18"/>
          <w:szCs w:val="18"/>
          <w:lang w:eastAsia="fr-FR"/>
        </w:rPr>
      </w:pPr>
      <w:r>
        <w:rPr>
          <w:rStyle w:val="Accentuation"/>
        </w:rPr>
        <w:t>Tautomérie</w:t>
      </w:r>
      <w:r>
        <w:rPr>
          <w:lang w:eastAsia="fr-FR"/>
        </w:rPr>
        <w:t xml:space="preserve"> réaction acide base intra-intramoléculaire. Elle a lieu uniquement entre les atomes formant quatre liaisons. </w:t>
      </w:r>
    </w:p>
    <w:p>
      <w:pPr>
        <w:rPr>
          <w:rFonts w:eastAsiaTheme="minorEastAsia"/>
        </w:rPr>
      </w:pPr>
      <w:r>
        <w:rPr>
          <w:rStyle w:val="Accentuation"/>
        </w:rPr>
        <w:t>Prototrophie</w:t>
      </w:r>
      <w:r>
        <w:rPr>
          <w:rFonts w:eastAsiaTheme="minorEastAsia"/>
        </w:rPr>
        <w:t xml:space="preserve"> réaction acido-basique intra moléculaire qui fait intervenir un intermédiaire réactionnel. Elle est souvent représenter comme une </w:t>
      </w:r>
      <w:r>
        <w:rPr>
          <w:rFonts w:eastAsiaTheme="minorEastAsia"/>
        </w:rPr>
        <w:t>réaction de tautomérie (le mécanisme ne fait pas apparaitre l’intermédiaire).</w:t>
      </w:r>
    </w:p>
    <w:p>
      <w:r>
        <w:rPr>
          <w:rStyle w:val="Accentuation"/>
        </w:rPr>
        <w:t>Transposition</w:t>
      </w:r>
      <w:r>
        <w:t> déplacement d’une partie de la molécule.</w:t>
      </w:r>
    </w:p>
    <w:p>
      <w:pPr>
        <w:pStyle w:val="Titre3"/>
        <w:rPr>
          <w:rFonts w:eastAsiaTheme="minorEastAsia"/>
        </w:rPr>
      </w:pPr>
      <w:r>
        <w:rPr>
          <w:rFonts w:eastAsiaTheme="minorEastAsia"/>
        </w:rPr>
        <w:t>La dissolution</w:t>
      </w:r>
    </w:p>
    <w:p>
      <w:pPr>
        <w:rPr>
          <w:rFonts w:eastAsiaTheme="minorEastAsia"/>
        </w:rPr>
      </w:pPr>
      <w:r>
        <w:rPr>
          <w:rFonts w:eastAsiaTheme="minorEastAsia"/>
        </w:rPr>
        <w:t>La dissolution dépend de deux phénomènes :</w:t>
      </w:r>
    </w:p>
    <w:p>
      <w:pPr>
        <w:pStyle w:val="Paragraphedeliste"/>
        <w:numPr>
          <w:ilvl w:val="0"/>
          <w:numId w:val="30"/>
        </w:numPr>
      </w:pPr>
      <w:r>
        <w:t xml:space="preserve">La solvatation de l’espèce chimique </w:t>
      </w:r>
    </w:p>
    <w:p>
      <w:pPr>
        <w:pStyle w:val="Paragraphedeliste"/>
        <w:numPr>
          <w:ilvl w:val="0"/>
          <w:numId w:val="30"/>
        </w:numPr>
        <w:rPr>
          <w:rFonts w:eastAsiaTheme="minorEastAsia"/>
        </w:rPr>
      </w:pPr>
      <w:r>
        <w:rPr>
          <w:rFonts w:eastAsiaTheme="minorEastAsia"/>
        </w:rPr>
        <w:t>La stabilisation des espèces formées. Le nombre de molécules autour des ions dépend de leur taille et de leur charge.</w:t>
      </w:r>
    </w:p>
    <w:p>
      <w:pPr>
        <w:pStyle w:val="Titre3"/>
        <w:rPr>
          <w:rFonts w:eastAsiaTheme="minorEastAsia"/>
        </w:rPr>
      </w:pPr>
      <w:r>
        <w:rPr>
          <w:rFonts w:eastAsiaTheme="minorEastAsia"/>
        </w:rPr>
        <w:t>Les types de catalyseurs</w:t>
      </w:r>
    </w:p>
    <w:p>
      <w:pPr>
        <w:rPr>
          <w:rFonts w:eastAsiaTheme="minorEastAsia"/>
        </w:rPr>
      </w:pPr>
      <w:r>
        <w:rPr>
          <w:rFonts w:eastAsiaTheme="minorEastAsia"/>
        </w:rPr>
        <w:t>Les catalyseurs sont classés en fonction de la solubilité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Homogène (soluble)</w:t>
            </w:r>
          </w:p>
        </w:tc>
        <w:tc>
          <w:tcPr>
            <w:tcW w:w="3668" w:type="dxa"/>
          </w:tcPr>
          <w:p>
            <w:pPr>
              <w:rPr>
                <w:rFonts w:eastAsiaTheme="minorEastAsia"/>
              </w:rPr>
            </w:pPr>
            <w:r>
              <w:rPr>
                <w:rFonts w:eastAsiaTheme="minorEastAsia"/>
              </w:rPr>
              <w:t>Hétérogène (non soluble)</w:t>
            </w:r>
          </w:p>
        </w:tc>
      </w:tr>
    </w:tbl>
    <w:p>
      <w:pPr>
        <w:rPr>
          <w:rFonts w:eastAsiaTheme="minorEastAsia"/>
        </w:rPr>
      </w:pPr>
      <w:r>
        <w:rPr>
          <w:rStyle w:val="Accentuation"/>
        </w:rPr>
        <w:t>Composé de coordination</w:t>
      </w:r>
      <w:r>
        <w:rPr>
          <w:rFonts w:eastAsiaTheme="minorEastAsia"/>
        </w:rPr>
        <w:t xml:space="preserve"> molécule qui possède comme atome central un cation ou un métal.</w:t>
      </w:r>
    </w:p>
    <w:p>
      <w:pPr>
        <w:rPr>
          <w:rFonts w:eastAsiaTheme="minorEastAsia"/>
        </w:rPr>
      </w:pPr>
      <w:r>
        <w:rPr>
          <w:rFonts w:eastAsiaTheme="minorEastAsia"/>
        </w:rPr>
        <w:t>Tableau périodique des atomes les plus présent en biologie :</w:t>
      </w:r>
    </w:p>
    <w:tbl>
      <w:tblPr>
        <w:tblW w:w="7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1553"/>
        <w:gridCol w:w="311"/>
        <w:gridCol w:w="831"/>
        <w:gridCol w:w="1300"/>
        <w:gridCol w:w="1091"/>
        <w:gridCol w:w="982"/>
      </w:tblGrid>
      <w:tr>
        <w:tc>
          <w:tcPr>
            <w:tcW w:w="1277" w:type="dxa"/>
            <w:tcBorders>
              <w:top w:val="nil"/>
              <w:left w:val="nil"/>
              <w:bottom w:val="nil"/>
              <w:right w:val="nil"/>
            </w:tcBorders>
            <w:shd w:val="clear" w:color="auto" w:fill="DBDBDB"/>
            <w:hideMark/>
          </w:tcPr>
          <w:p>
            <w:pPr>
              <w:pStyle w:val="Sansinterligne"/>
            </w:pPr>
            <w:r>
              <w:rPr>
                <w:vertAlign w:val="superscript"/>
              </w:rPr>
              <w:t>1</w:t>
            </w:r>
            <w:r>
              <w:t>H</w:t>
            </w:r>
          </w:p>
          <w:p>
            <w:pPr>
              <w:pStyle w:val="Sansinterligne"/>
            </w:pPr>
            <w:r>
              <w:t>Hydrogène</w:t>
            </w:r>
          </w:p>
        </w:tc>
        <w:tc>
          <w:tcPr>
            <w:tcW w:w="1553" w:type="dxa"/>
            <w:tcBorders>
              <w:top w:val="nil"/>
              <w:left w:val="nil"/>
              <w:bottom w:val="nil"/>
              <w:right w:val="nil"/>
            </w:tcBorders>
            <w:shd w:val="clear" w:color="auto" w:fill="auto"/>
            <w:hideMark/>
          </w:tcPr>
          <w:p>
            <w:pPr>
              <w:pStyle w:val="Sansinterligne"/>
            </w:pPr>
            <w:r>
              <w:t>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auto"/>
            <w:hideMark/>
          </w:tcPr>
          <w:p>
            <w:pPr>
              <w:pStyle w:val="Sansinterligne"/>
            </w:pPr>
            <w:r>
              <w:t> </w:t>
            </w:r>
          </w:p>
        </w:tc>
        <w:tc>
          <w:tcPr>
            <w:tcW w:w="1091" w:type="dxa"/>
            <w:tcBorders>
              <w:top w:val="nil"/>
              <w:left w:val="nil"/>
              <w:bottom w:val="nil"/>
              <w:right w:val="nil"/>
            </w:tcBorders>
            <w:shd w:val="clear" w:color="auto" w:fill="auto"/>
            <w:hideMark/>
          </w:tcPr>
          <w:p>
            <w:pPr>
              <w:pStyle w:val="Sansinterligne"/>
            </w:pPr>
            <w:r>
              <w:t> </w:t>
            </w:r>
          </w:p>
        </w:tc>
        <w:tc>
          <w:tcPr>
            <w:tcW w:w="982" w:type="dxa"/>
            <w:tcBorders>
              <w:top w:val="nil"/>
              <w:left w:val="nil"/>
              <w:bottom w:val="nil"/>
              <w:right w:val="nil"/>
            </w:tcBorders>
            <w:shd w:val="clear" w:color="auto" w:fill="auto"/>
            <w:hideMark/>
          </w:tcPr>
          <w:p>
            <w:pPr>
              <w:pStyle w:val="Sansinterligne"/>
            </w:pPr>
            <w:r>
              <w:t> </w:t>
            </w:r>
          </w:p>
        </w:tc>
      </w:tr>
      <w:tr>
        <w:tc>
          <w:tcPr>
            <w:tcW w:w="1277" w:type="dxa"/>
            <w:tcBorders>
              <w:top w:val="nil"/>
              <w:left w:val="nil"/>
              <w:bottom w:val="nil"/>
              <w:right w:val="nil"/>
            </w:tcBorders>
            <w:shd w:val="clear" w:color="auto" w:fill="auto"/>
            <w:hideMark/>
          </w:tcPr>
          <w:p>
            <w:pPr>
              <w:pStyle w:val="Sansinterligne"/>
            </w:pPr>
            <w:r>
              <w:t>... </w:t>
            </w:r>
          </w:p>
        </w:tc>
        <w:tc>
          <w:tcPr>
            <w:tcW w:w="1553" w:type="dxa"/>
            <w:tcBorders>
              <w:top w:val="nil"/>
              <w:left w:val="nil"/>
              <w:bottom w:val="nil"/>
              <w:right w:val="nil"/>
            </w:tcBorders>
            <w:shd w:val="clear" w:color="auto" w:fill="auto"/>
            <w:hideMark/>
          </w:tcPr>
          <w:p>
            <w:pPr>
              <w:pStyle w:val="Sansinterligne"/>
            </w:pPr>
            <w:r>
              <w:t>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DBDBDB"/>
            <w:hideMark/>
          </w:tcPr>
          <w:p>
            <w:pPr>
              <w:pStyle w:val="Sansinterligne"/>
            </w:pPr>
            <w:r>
              <w:rPr>
                <w:vertAlign w:val="superscript"/>
              </w:rPr>
              <w:t>6</w:t>
            </w:r>
            <w:r>
              <w:t>C </w:t>
            </w:r>
          </w:p>
          <w:p>
            <w:pPr>
              <w:pStyle w:val="Sansinterligne"/>
            </w:pPr>
            <w:r>
              <w:t>Carbone</w:t>
            </w:r>
          </w:p>
        </w:tc>
        <w:tc>
          <w:tcPr>
            <w:tcW w:w="1300" w:type="dxa"/>
            <w:tcBorders>
              <w:top w:val="nil"/>
              <w:left w:val="nil"/>
              <w:bottom w:val="nil"/>
              <w:right w:val="nil"/>
            </w:tcBorders>
            <w:shd w:val="clear" w:color="auto" w:fill="DBDBDB"/>
            <w:hideMark/>
          </w:tcPr>
          <w:p>
            <w:pPr>
              <w:pStyle w:val="Sansinterligne"/>
            </w:pPr>
            <w:r>
              <w:rPr>
                <w:vertAlign w:val="superscript"/>
              </w:rPr>
              <w:t>7</w:t>
            </w:r>
            <w:r>
              <w:t xml:space="preserve">N </w:t>
            </w:r>
          </w:p>
          <w:p>
            <w:pPr>
              <w:pStyle w:val="Sansinterligne"/>
            </w:pPr>
            <w:r>
              <w:t>Azote </w:t>
            </w:r>
          </w:p>
        </w:tc>
        <w:tc>
          <w:tcPr>
            <w:tcW w:w="1091" w:type="dxa"/>
            <w:tcBorders>
              <w:top w:val="nil"/>
              <w:left w:val="nil"/>
              <w:bottom w:val="nil"/>
              <w:right w:val="nil"/>
            </w:tcBorders>
            <w:shd w:val="clear" w:color="auto" w:fill="DBDBDB"/>
            <w:hideMark/>
          </w:tcPr>
          <w:p>
            <w:pPr>
              <w:pStyle w:val="Sansinterligne"/>
            </w:pPr>
            <w:r>
              <w:rPr>
                <w:vertAlign w:val="superscript"/>
              </w:rPr>
              <w:t>8</w:t>
            </w:r>
            <w:r>
              <w:t>O</w:t>
            </w:r>
          </w:p>
          <w:p>
            <w:pPr>
              <w:pStyle w:val="Sansinterligne"/>
            </w:pPr>
            <w:r>
              <w:t>Oxygène </w:t>
            </w:r>
          </w:p>
        </w:tc>
        <w:tc>
          <w:tcPr>
            <w:tcW w:w="982" w:type="dxa"/>
            <w:tcBorders>
              <w:top w:val="nil"/>
              <w:left w:val="nil"/>
              <w:bottom w:val="nil"/>
              <w:right w:val="nil"/>
            </w:tcBorders>
            <w:shd w:val="clear" w:color="auto" w:fill="auto"/>
            <w:hideMark/>
          </w:tcPr>
          <w:p>
            <w:pPr>
              <w:pStyle w:val="Sansinterligne"/>
            </w:pPr>
            <w:r>
              <w:t> </w:t>
            </w:r>
          </w:p>
        </w:tc>
      </w:tr>
      <w:tr>
        <w:tc>
          <w:tcPr>
            <w:tcW w:w="1277" w:type="dxa"/>
            <w:tcBorders>
              <w:top w:val="nil"/>
              <w:left w:val="nil"/>
              <w:bottom w:val="nil"/>
              <w:right w:val="nil"/>
            </w:tcBorders>
            <w:shd w:val="clear" w:color="auto" w:fill="DBDBDB"/>
            <w:hideMark/>
          </w:tcPr>
          <w:p>
            <w:pPr>
              <w:pStyle w:val="Sansinterligne"/>
            </w:pPr>
            <w:r>
              <w:rPr>
                <w:vertAlign w:val="superscript"/>
              </w:rPr>
              <w:t>11</w:t>
            </w:r>
            <w:r>
              <w:t>Na</w:t>
            </w:r>
          </w:p>
          <w:p>
            <w:pPr>
              <w:pStyle w:val="Sansinterligne"/>
            </w:pPr>
            <w:r>
              <w:t>Sodium </w:t>
            </w:r>
          </w:p>
        </w:tc>
        <w:tc>
          <w:tcPr>
            <w:tcW w:w="1553" w:type="dxa"/>
            <w:tcBorders>
              <w:top w:val="nil"/>
              <w:left w:val="nil"/>
              <w:bottom w:val="nil"/>
              <w:right w:val="nil"/>
            </w:tcBorders>
            <w:shd w:val="clear" w:color="auto" w:fill="DBDBDB"/>
            <w:hideMark/>
          </w:tcPr>
          <w:p>
            <w:pPr>
              <w:pStyle w:val="Sansinterligne"/>
            </w:pPr>
            <w:r>
              <w:rPr>
                <w:vertAlign w:val="superscript"/>
              </w:rPr>
              <w:t>12</w:t>
            </w:r>
            <w:r>
              <w:t>Mg</w:t>
            </w:r>
          </w:p>
          <w:p>
            <w:pPr>
              <w:pStyle w:val="Sansinterligne"/>
            </w:pPr>
            <w:r>
              <w:t>Magnésium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DBDBDB"/>
            <w:hideMark/>
          </w:tcPr>
          <w:p>
            <w:pPr>
              <w:pStyle w:val="Sansinterligne"/>
            </w:pPr>
            <w:r>
              <w:rPr>
                <w:vertAlign w:val="superscript"/>
              </w:rPr>
              <w:t>15</w:t>
            </w:r>
            <w:r>
              <w:t>P</w:t>
            </w:r>
          </w:p>
          <w:p>
            <w:pPr>
              <w:pStyle w:val="Sansinterligne"/>
            </w:pPr>
            <w:r>
              <w:t>Phosphore </w:t>
            </w:r>
          </w:p>
        </w:tc>
        <w:tc>
          <w:tcPr>
            <w:tcW w:w="1091" w:type="dxa"/>
            <w:tcBorders>
              <w:top w:val="nil"/>
              <w:left w:val="nil"/>
              <w:bottom w:val="nil"/>
              <w:right w:val="nil"/>
            </w:tcBorders>
            <w:shd w:val="clear" w:color="auto" w:fill="DBDBDB"/>
            <w:hideMark/>
          </w:tcPr>
          <w:p>
            <w:pPr>
              <w:pStyle w:val="Sansinterligne"/>
            </w:pPr>
            <w:r>
              <w:rPr>
                <w:vertAlign w:val="superscript"/>
              </w:rPr>
              <w:t>16</w:t>
            </w:r>
            <w:r>
              <w:t>S</w:t>
            </w:r>
          </w:p>
          <w:p>
            <w:pPr>
              <w:pStyle w:val="Sansinterligne"/>
            </w:pPr>
            <w:r>
              <w:t>Soufre </w:t>
            </w:r>
          </w:p>
        </w:tc>
        <w:tc>
          <w:tcPr>
            <w:tcW w:w="982" w:type="dxa"/>
            <w:tcBorders>
              <w:top w:val="nil"/>
              <w:left w:val="nil"/>
              <w:bottom w:val="nil"/>
              <w:right w:val="nil"/>
            </w:tcBorders>
            <w:shd w:val="clear" w:color="auto" w:fill="DBDBDB"/>
            <w:hideMark/>
          </w:tcPr>
          <w:p>
            <w:pPr>
              <w:pStyle w:val="Sansinterligne"/>
            </w:pPr>
            <w:r>
              <w:rPr>
                <w:vertAlign w:val="superscript"/>
              </w:rPr>
              <w:t>17</w:t>
            </w:r>
            <w:r>
              <w:t>Cl</w:t>
            </w:r>
          </w:p>
          <w:p>
            <w:pPr>
              <w:pStyle w:val="Sansinterligne"/>
            </w:pPr>
            <w:r>
              <w:t>Chlore </w:t>
            </w:r>
          </w:p>
        </w:tc>
      </w:tr>
      <w:tr>
        <w:tc>
          <w:tcPr>
            <w:tcW w:w="1277" w:type="dxa"/>
            <w:tcBorders>
              <w:top w:val="nil"/>
              <w:left w:val="nil"/>
              <w:bottom w:val="nil"/>
              <w:right w:val="nil"/>
            </w:tcBorders>
            <w:shd w:val="clear" w:color="auto" w:fill="DBDBDB"/>
            <w:hideMark/>
          </w:tcPr>
          <w:p>
            <w:pPr>
              <w:pStyle w:val="Sansinterligne"/>
            </w:pPr>
            <w:r>
              <w:rPr>
                <w:vertAlign w:val="superscript"/>
              </w:rPr>
              <w:t>19</w:t>
            </w:r>
            <w:r>
              <w:t>K</w:t>
            </w:r>
          </w:p>
          <w:p>
            <w:pPr>
              <w:pStyle w:val="Sansinterligne"/>
            </w:pPr>
            <w:r>
              <w:t>Potassium </w:t>
            </w:r>
          </w:p>
        </w:tc>
        <w:tc>
          <w:tcPr>
            <w:tcW w:w="1553" w:type="dxa"/>
            <w:tcBorders>
              <w:top w:val="nil"/>
              <w:left w:val="nil"/>
              <w:bottom w:val="nil"/>
              <w:right w:val="nil"/>
            </w:tcBorders>
            <w:shd w:val="clear" w:color="auto" w:fill="DBDBDB"/>
            <w:hideMark/>
          </w:tcPr>
          <w:p>
            <w:pPr>
              <w:pStyle w:val="Sansinterligne"/>
            </w:pPr>
            <w:r>
              <w:rPr>
                <w:vertAlign w:val="superscript"/>
              </w:rPr>
              <w:t>20</w:t>
            </w:r>
            <w:r>
              <w:t>Ca</w:t>
            </w:r>
          </w:p>
          <w:p>
            <w:pPr>
              <w:pStyle w:val="Sansinterligne"/>
            </w:pPr>
            <w:r>
              <w:t>Calcium </w:t>
            </w:r>
          </w:p>
        </w:tc>
        <w:tc>
          <w:tcPr>
            <w:tcW w:w="311" w:type="dxa"/>
            <w:tcBorders>
              <w:top w:val="nil"/>
              <w:left w:val="nil"/>
              <w:bottom w:val="nil"/>
              <w:right w:val="nil"/>
            </w:tcBorders>
            <w:shd w:val="clear" w:color="auto" w:fill="auto"/>
            <w:hideMark/>
          </w:tcPr>
          <w:p>
            <w:pPr>
              <w:pStyle w:val="Sansinterligne"/>
            </w:pPr>
            <w:r>
              <w:t>... </w:t>
            </w:r>
          </w:p>
        </w:tc>
        <w:tc>
          <w:tcPr>
            <w:tcW w:w="831" w:type="dxa"/>
            <w:tcBorders>
              <w:top w:val="nil"/>
              <w:left w:val="nil"/>
              <w:bottom w:val="nil"/>
              <w:right w:val="nil"/>
            </w:tcBorders>
            <w:shd w:val="clear" w:color="auto" w:fill="auto"/>
            <w:hideMark/>
          </w:tcPr>
          <w:p>
            <w:pPr>
              <w:pStyle w:val="Sansinterligne"/>
            </w:pPr>
            <w:r>
              <w:t> </w:t>
            </w:r>
          </w:p>
        </w:tc>
        <w:tc>
          <w:tcPr>
            <w:tcW w:w="1300" w:type="dxa"/>
            <w:tcBorders>
              <w:top w:val="nil"/>
              <w:left w:val="nil"/>
              <w:bottom w:val="nil"/>
              <w:right w:val="nil"/>
            </w:tcBorders>
            <w:shd w:val="clear" w:color="auto" w:fill="auto"/>
            <w:hideMark/>
          </w:tcPr>
          <w:p>
            <w:pPr>
              <w:pStyle w:val="Sansinterligne"/>
            </w:pPr>
            <w:r>
              <w:t> </w:t>
            </w:r>
          </w:p>
        </w:tc>
        <w:tc>
          <w:tcPr>
            <w:tcW w:w="1091" w:type="dxa"/>
            <w:tcBorders>
              <w:top w:val="nil"/>
              <w:left w:val="nil"/>
              <w:bottom w:val="nil"/>
              <w:right w:val="nil"/>
            </w:tcBorders>
            <w:shd w:val="clear" w:color="auto" w:fill="auto"/>
            <w:hideMark/>
          </w:tcPr>
          <w:p>
            <w:pPr>
              <w:pStyle w:val="Sansinterligne"/>
            </w:pPr>
            <w:r>
              <w:t> </w:t>
            </w:r>
          </w:p>
        </w:tc>
        <w:tc>
          <w:tcPr>
            <w:tcW w:w="982" w:type="dxa"/>
            <w:tcBorders>
              <w:top w:val="nil"/>
              <w:left w:val="nil"/>
              <w:bottom w:val="nil"/>
              <w:right w:val="nil"/>
            </w:tcBorders>
            <w:shd w:val="clear" w:color="auto" w:fill="auto"/>
            <w:hideMark/>
          </w:tcPr>
          <w:p>
            <w:pPr>
              <w:pStyle w:val="Sansinterligne"/>
            </w:pPr>
            <w:r>
              <w:t> </w:t>
            </w:r>
          </w:p>
        </w:tc>
      </w:tr>
    </w:tbl>
    <w:p>
      <w:pPr>
        <w:pStyle w:val="Titre1"/>
        <w:rPr>
          <w:rFonts w:eastAsiaTheme="minorEastAsia"/>
        </w:rPr>
      </w:pPr>
      <w:r>
        <w:rPr>
          <w:rFonts w:eastAsiaTheme="minorEastAsia"/>
        </w:rPr>
        <w:t>Réactivité des dérivés acides</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noProof/>
              </w:rPr>
              <w:drawing>
                <wp:inline distT="0" distB="0" distL="0" distR="0">
                  <wp:extent cx="994494" cy="64902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056" cy="655922"/>
                          </a:xfrm>
                          <a:prstGeom prst="rect">
                            <a:avLst/>
                          </a:prstGeom>
                          <a:noFill/>
                          <a:ln>
                            <a:noFill/>
                          </a:ln>
                        </pic:spPr>
                      </pic:pic>
                    </a:graphicData>
                  </a:graphic>
                </wp:inline>
              </w:drawing>
            </w:r>
          </w:p>
        </w:tc>
        <w:tc>
          <w:tcPr>
            <w:tcW w:w="3668" w:type="dxa"/>
          </w:tcPr>
          <w:p>
            <w:pPr>
              <w:rPr>
                <w:rFonts w:eastAsiaTheme="minorEastAsia"/>
                <w:b/>
              </w:rPr>
            </w:pPr>
            <w:r>
              <w:rPr>
                <w:rFonts w:eastAsiaTheme="minorEastAsia"/>
              </w:rPr>
              <w:t>Avec X :</w:t>
            </w:r>
          </w:p>
          <w:p>
            <w:pPr>
              <w:rPr>
                <w:rFonts w:eastAsiaTheme="minorEastAsia"/>
                <w:b/>
              </w:rPr>
            </w:pPr>
            <w:r>
              <w:rPr>
                <w:rFonts w:eastAsiaTheme="minorEastAsia"/>
              </w:rPr>
              <w:t>OH acide carboxylique</w:t>
            </w:r>
          </w:p>
          <w:p>
            <w:pPr>
              <w:rPr>
                <w:rFonts w:eastAsiaTheme="minorEastAsia"/>
                <w:b/>
              </w:rPr>
            </w:pPr>
            <w:r>
              <w:rPr>
                <w:rFonts w:eastAsiaTheme="minorEastAsia"/>
              </w:rPr>
              <w:t xml:space="preserve">O-R </w:t>
            </w:r>
          </w:p>
          <w:p>
            <w:pPr>
              <w:rPr>
                <w:rFonts w:eastAsiaTheme="minorEastAsia"/>
                <w:lang w:val="en-GB"/>
              </w:rPr>
            </w:pPr>
            <w:r>
              <w:rPr>
                <w:rFonts w:eastAsiaTheme="minorEastAsia"/>
                <w:lang w:val="en-GB"/>
              </w:rPr>
              <w:t>O-CO-R anhydride d’acyle</w:t>
            </w:r>
          </w:p>
          <w:p>
            <w:pPr>
              <w:rPr>
                <w:rFonts w:eastAsiaTheme="minorEastAsia"/>
                <w:lang w:val="en-GB"/>
              </w:rPr>
            </w:pPr>
            <w:r>
              <w:rPr>
                <w:rFonts w:eastAsiaTheme="minorEastAsia"/>
                <w:lang w:val="en-GB"/>
              </w:rPr>
              <w:t>Cl/… hétéroatome</w:t>
            </w:r>
          </w:p>
          <w:p>
            <w:pPr>
              <w:rPr>
                <w:rFonts w:eastAsiaTheme="minorEastAsia"/>
              </w:rPr>
            </w:pPr>
            <w:r>
              <w:rPr>
                <w:rFonts w:eastAsiaTheme="minorEastAsia"/>
              </w:rPr>
              <w:t>Où R est un arlkyle</w:t>
            </w:r>
          </w:p>
        </w:tc>
      </w:tr>
    </w:tbl>
    <w:p>
      <w:pPr>
        <w:pStyle w:val="Titre2"/>
      </w:pPr>
      <w:r>
        <w:lastRenderedPageBreak/>
        <w:t>Substitution</w:t>
      </w:r>
    </w:p>
    <w:p>
      <w:r>
        <w:t>La substitution se fait en deux états :</w:t>
      </w:r>
    </w:p>
    <w:tbl>
      <w:tblPr>
        <w:tblStyle w:val="Grilledetableauclaire"/>
        <w:tblW w:w="0" w:type="auto"/>
        <w:tblLook w:val="0400" w:firstRow="0" w:lastRow="0" w:firstColumn="0" w:lastColumn="0" w:noHBand="0" w:noVBand="1"/>
      </w:tblPr>
      <w:tblGrid>
        <w:gridCol w:w="4626"/>
        <w:gridCol w:w="2709"/>
      </w:tblGrid>
      <w:tr>
        <w:tc>
          <w:tcPr>
            <w:tcW w:w="3667" w:type="dxa"/>
          </w:tcPr>
          <w:p>
            <w:r>
              <w:rPr>
                <w:noProof/>
              </w:rPr>
              <w:drawing>
                <wp:inline distT="0" distB="0" distL="0" distR="0">
                  <wp:extent cx="2796596" cy="644050"/>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5569" cy="646117"/>
                          </a:xfrm>
                          <a:prstGeom prst="rect">
                            <a:avLst/>
                          </a:prstGeom>
                          <a:noFill/>
                          <a:ln>
                            <a:noFill/>
                          </a:ln>
                        </pic:spPr>
                      </pic:pic>
                    </a:graphicData>
                  </a:graphic>
                </wp:inline>
              </w:drawing>
            </w:r>
          </w:p>
        </w:tc>
        <w:tc>
          <w:tcPr>
            <w:tcW w:w="3668" w:type="dxa"/>
          </w:tcPr>
          <w:p>
            <w:pPr>
              <w:pStyle w:val="Paragraphedeliste"/>
              <w:numPr>
                <w:ilvl w:val="0"/>
                <w:numId w:val="34"/>
              </w:numPr>
              <w:rPr>
                <w:b/>
              </w:rPr>
            </w:pPr>
            <w:r>
              <w:t xml:space="preserve">Addition </w:t>
            </w:r>
          </w:p>
          <w:p>
            <w:pPr>
              <w:pStyle w:val="Paragraphedeliste"/>
              <w:numPr>
                <w:ilvl w:val="0"/>
                <w:numId w:val="34"/>
              </w:numPr>
              <w:rPr>
                <w:b/>
              </w:rPr>
            </w:pPr>
            <w:r>
              <w:t>élimination</w:t>
            </w:r>
          </w:p>
        </w:tc>
      </w:tr>
    </w:tbl>
    <w:p>
      <w:pPr>
        <w:pStyle w:val="Titre3"/>
      </w:pPr>
      <w:r>
        <w:t>Oxydo-réduction</w:t>
      </w:r>
    </w:p>
    <w:p>
      <w:r>
        <w:t>En présence de donneurs d’hydrures NaBH</w:t>
      </w:r>
      <w:r>
        <w:rPr>
          <w:vertAlign w:val="subscript"/>
        </w:rPr>
        <w:t>4</w:t>
      </w:r>
      <w:r>
        <w:t xml:space="preserve"> ou LiAlH</w:t>
      </w:r>
      <w:r>
        <w:rPr>
          <w:vertAlign w:val="subscript"/>
        </w:rPr>
        <w:t>4</w:t>
      </w:r>
      <w:r>
        <w:t>.</w:t>
      </w:r>
    </w:p>
    <w:p>
      <w:pPr>
        <w:pStyle w:val="Sansinterligne"/>
      </w:pPr>
      <w:r>
        <w:rPr>
          <w:noProof/>
        </w:rPr>
        <w:drawing>
          <wp:inline distT="0" distB="0" distL="0" distR="0">
            <wp:extent cx="2689804" cy="5396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433" cy="541579"/>
                    </a:xfrm>
                    <a:prstGeom prst="rect">
                      <a:avLst/>
                    </a:prstGeom>
                    <a:noFill/>
                    <a:ln>
                      <a:noFill/>
                    </a:ln>
                  </pic:spPr>
                </pic:pic>
              </a:graphicData>
            </a:graphic>
          </wp:inline>
        </w:drawing>
      </w:r>
    </w:p>
    <w:p>
      <w:r>
        <w:t>Pour les acides carboxyliques, on a besoin d’utiliser nécessairement du LiAlH</w:t>
      </w:r>
      <w:r>
        <w:rPr>
          <w:vertAlign w:val="subscript"/>
        </w:rPr>
        <w:t>4</w:t>
      </w:r>
      <w:r>
        <w:t xml:space="preserve"> pour que le groupement O-R puisse être partant.</w:t>
      </w:r>
    </w:p>
    <w:p>
      <w:pPr>
        <w:pStyle w:val="Sansinterligne"/>
      </w:pPr>
      <w:r>
        <w:drawing>
          <wp:inline distT="0" distB="0" distL="0" distR="0">
            <wp:extent cx="4653280" cy="1297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3280" cy="1297940"/>
                    </a:xfrm>
                    <a:prstGeom prst="rect">
                      <a:avLst/>
                    </a:prstGeom>
                    <a:noFill/>
                    <a:ln>
                      <a:noFill/>
                    </a:ln>
                  </pic:spPr>
                </pic:pic>
              </a:graphicData>
            </a:graphic>
          </wp:inline>
        </w:drawing>
      </w:r>
    </w:p>
    <w:p>
      <w:pPr>
        <w:pStyle w:val="Titre2"/>
      </w:pPr>
      <w:r>
        <w:t>Addition</w:t>
      </w:r>
    </w:p>
    <w:p>
      <w:r>
        <w:t>On a besoin d’une molécule électrophile et d’un nucléophile :</w:t>
      </w:r>
    </w:p>
    <w:p>
      <w:pPr>
        <w:pStyle w:val="Sansinterligne"/>
      </w:pPr>
      <w:r>
        <w:rPr>
          <w:noProof/>
        </w:rPr>
        <w:drawing>
          <wp:inline distT="0" distB="0" distL="0" distR="0">
            <wp:extent cx="2544097" cy="661368"/>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651" cy="664372"/>
                    </a:xfrm>
                    <a:prstGeom prst="rect">
                      <a:avLst/>
                    </a:prstGeom>
                    <a:noFill/>
                    <a:ln>
                      <a:noFill/>
                    </a:ln>
                  </pic:spPr>
                </pic:pic>
              </a:graphicData>
            </a:graphic>
          </wp:inline>
        </w:drawing>
      </w:r>
    </w:p>
    <w:p>
      <w:pPr>
        <w:pStyle w:val="Titre2"/>
      </w:pPr>
      <w:r>
        <w:t>Amide et nitrites</w:t>
      </w:r>
    </w:p>
    <w:p>
      <w:r>
        <w:t>En milieu d’hydrure (AlH</w:t>
      </w:r>
      <w:r>
        <w:rPr>
          <w:vertAlign w:val="subscript"/>
        </w:rPr>
        <w:t>4</w:t>
      </w:r>
      <w:r>
        <w:t>), on a réduction de l’oxygène.</w:t>
      </w:r>
    </w:p>
    <w:p>
      <w:pPr>
        <w:pStyle w:val="Sansinterligne"/>
      </w:pPr>
      <w:r>
        <w:rPr>
          <w:noProof/>
        </w:rPr>
        <w:drawing>
          <wp:inline distT="0" distB="0" distL="0" distR="0">
            <wp:extent cx="4667885" cy="19456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7885" cy="1945640"/>
                    </a:xfrm>
                    <a:prstGeom prst="rect">
                      <a:avLst/>
                    </a:prstGeom>
                    <a:noFill/>
                    <a:ln>
                      <a:noFill/>
                    </a:ln>
                  </pic:spPr>
                </pic:pic>
              </a:graphicData>
            </a:graphic>
          </wp:inline>
        </w:drawing>
      </w:r>
    </w:p>
    <w:p>
      <w:pPr>
        <w:pStyle w:val="Titre1"/>
      </w:pPr>
      <w:r>
        <w:t>Réactivité des carbonyles</w:t>
      </w:r>
    </w:p>
    <w:tbl>
      <w:tblPr>
        <w:tblStyle w:val="Grilledetableauclaire"/>
        <w:tblW w:w="0" w:type="auto"/>
        <w:tblLook w:val="0400" w:firstRow="0" w:lastRow="0" w:firstColumn="0" w:lastColumn="0" w:noHBand="0" w:noVBand="1"/>
      </w:tblPr>
      <w:tblGrid>
        <w:gridCol w:w="3667"/>
        <w:gridCol w:w="3668"/>
      </w:tblGrid>
      <w:tr>
        <w:tc>
          <w:tcPr>
            <w:tcW w:w="3667" w:type="dxa"/>
          </w:tcPr>
          <w:p>
            <w:r>
              <w:rPr>
                <w:noProof/>
              </w:rPr>
              <w:drawing>
                <wp:inline distT="0" distB="0" distL="0" distR="0">
                  <wp:extent cx="811161" cy="562142"/>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648" cy="574954"/>
                          </a:xfrm>
                          <a:prstGeom prst="rect">
                            <a:avLst/>
                          </a:prstGeom>
                          <a:noFill/>
                          <a:ln>
                            <a:noFill/>
                          </a:ln>
                        </pic:spPr>
                      </pic:pic>
                    </a:graphicData>
                  </a:graphic>
                </wp:inline>
              </w:drawing>
            </w:r>
          </w:p>
        </w:tc>
        <w:tc>
          <w:tcPr>
            <w:tcW w:w="3668" w:type="dxa"/>
          </w:tcPr>
          <w:p>
            <w:r>
              <w:t>Aldéhyde et cétones</w:t>
            </w:r>
          </w:p>
        </w:tc>
      </w:tr>
    </w:tbl>
    <w:p>
      <w:r>
        <w:t>C’est la polarisation de la double liaision par l’oxygène qui rend le carbone nucléophile et ainsi la molécule réactive.</w:t>
      </w:r>
    </w:p>
    <w:p>
      <w:pPr>
        <w:pStyle w:val="Titre3"/>
      </w:pPr>
      <w:r>
        <w:t>Tautomérie céto-énolique</w:t>
      </w:r>
    </w:p>
    <w:p>
      <w:r>
        <w:t>Les cétones et les aldéhydes sont soumis à des formes de tautomérie.</w:t>
      </w:r>
    </w:p>
    <w:p>
      <w:pPr>
        <w:pStyle w:val="Sansinterligne"/>
      </w:pPr>
      <w:r>
        <w:rPr>
          <w:noProof/>
        </w:rPr>
        <w:drawing>
          <wp:inline distT="0" distB="0" distL="0" distR="0">
            <wp:extent cx="4004187" cy="565001"/>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347" cy="569539"/>
                    </a:xfrm>
                    <a:prstGeom prst="rect">
                      <a:avLst/>
                    </a:prstGeom>
                    <a:noFill/>
                    <a:ln>
                      <a:noFill/>
                    </a:ln>
                  </pic:spPr>
                </pic:pic>
              </a:graphicData>
            </a:graphic>
          </wp:inline>
        </w:drawing>
      </w:r>
    </w:p>
    <w:p>
      <w:r>
        <w:t>La configuration peut être renforcée en milieu acide :</w:t>
      </w:r>
    </w:p>
    <w:p>
      <w:pPr>
        <w:pStyle w:val="Sansinterligne"/>
      </w:pPr>
      <w:r>
        <w:rPr>
          <w:noProof/>
        </w:rPr>
        <w:drawing>
          <wp:inline distT="0" distB="0" distL="0" distR="0">
            <wp:extent cx="4653280" cy="5014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882"/>
                    <a:stretch/>
                  </pic:blipFill>
                  <pic:spPr bwMode="auto">
                    <a:xfrm>
                      <a:off x="0" y="0"/>
                      <a:ext cx="4653280" cy="501445"/>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Titre2"/>
      </w:pPr>
      <w:r>
        <w:t>Addition</w:t>
      </w:r>
    </w:p>
    <w:p>
      <w:pPr>
        <w:pStyle w:val="Titre3"/>
      </w:pPr>
      <w:r>
        <w:t>Réduction</w:t>
      </w:r>
    </w:p>
    <w:p>
      <w:r>
        <w:t>Rappel : La réduction  est une addition d’hydrogène.</w:t>
      </w:r>
    </w:p>
    <w:p>
      <w:r>
        <w:t>La réduction se fait en présence d’hydrure (H</w:t>
      </w:r>
      <w:r>
        <w:rPr>
          <w:vertAlign w:val="superscript"/>
        </w:rPr>
        <w:t>-</w:t>
      </w:r>
      <w:r>
        <w:t>) qui peut être produit par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 xml:space="preserve">Base forte (NaH) </w:t>
            </w:r>
          </w:p>
        </w:tc>
        <w:tc>
          <w:tcPr>
            <w:tcW w:w="3668" w:type="dxa"/>
          </w:tcPr>
          <w:p>
            <w:r>
              <w:t>Hydrure métalique (LiAlH</w:t>
            </w:r>
            <w:r>
              <w:rPr>
                <w:vertAlign w:val="subscript"/>
              </w:rPr>
              <w:t>4</w:t>
            </w:r>
            <w:r>
              <w:t>, NaBH</w:t>
            </w:r>
            <w:r>
              <w:rPr>
                <w:vertAlign w:val="subscript"/>
              </w:rPr>
              <w:t>4</w:t>
            </w:r>
            <w:r>
              <w:t>)</w:t>
            </w:r>
          </w:p>
        </w:tc>
      </w:tr>
      <w:tr>
        <w:tc>
          <w:tcPr>
            <w:tcW w:w="3667" w:type="dxa"/>
          </w:tcPr>
          <w:p/>
        </w:tc>
        <w:tc>
          <w:tcPr>
            <w:tcW w:w="3668" w:type="dxa"/>
          </w:tcPr>
          <w:p>
            <w:r>
              <w:rPr>
                <w:noProof/>
              </w:rPr>
              <w:drawing>
                <wp:inline distT="0" distB="0" distL="0" distR="0">
                  <wp:extent cx="2149140" cy="567813"/>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3079" cy="571496"/>
                          </a:xfrm>
                          <a:prstGeom prst="rect">
                            <a:avLst/>
                          </a:prstGeom>
                          <a:noFill/>
                          <a:ln>
                            <a:noFill/>
                          </a:ln>
                        </pic:spPr>
                      </pic:pic>
                    </a:graphicData>
                  </a:graphic>
                </wp:inline>
              </w:drawing>
            </w:r>
          </w:p>
        </w:tc>
      </w:tr>
    </w:tbl>
    <w:p>
      <w:pPr>
        <w:pStyle w:val="Titre3"/>
      </w:pPr>
      <w:r>
        <w:t>Addition d’alcool (oxydation)</w:t>
      </w:r>
    </w:p>
    <w:p>
      <w:r>
        <w:t>En présence d’H</w:t>
      </w:r>
      <w:r>
        <w:rPr>
          <w:vertAlign w:val="subscript"/>
        </w:rPr>
        <w:t>2</w:t>
      </w:r>
      <w:r>
        <w:t>O avec une catalyse acide, on a une sur oxydation :</w:t>
      </w:r>
    </w:p>
    <w:p>
      <w:pPr>
        <w:pStyle w:val="Sansinterligne"/>
      </w:pPr>
      <w:r>
        <w:rPr>
          <w:noProof/>
        </w:rPr>
        <w:drawing>
          <wp:inline distT="0" distB="0" distL="0" distR="0">
            <wp:extent cx="3386682" cy="671051"/>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9303" cy="677515"/>
                    </a:xfrm>
                    <a:prstGeom prst="rect">
                      <a:avLst/>
                    </a:prstGeom>
                    <a:noFill/>
                    <a:ln>
                      <a:noFill/>
                    </a:ln>
                  </pic:spPr>
                </pic:pic>
              </a:graphicData>
            </a:graphic>
          </wp:inline>
        </w:drawing>
      </w:r>
    </w:p>
    <w:p>
      <w:pPr>
        <w:pStyle w:val="Titre3"/>
      </w:pPr>
      <w:r>
        <w:t>Addition nucléophile</w:t>
      </w:r>
    </w:p>
    <w:p>
      <w:r>
        <w:t>On peut réaliser une addition nucléophile en utilisant un nucléophile fort</w:t>
      </w:r>
    </w:p>
    <w:p>
      <w:pPr>
        <w:pStyle w:val="Sansinterligne"/>
      </w:pPr>
      <w:r>
        <w:rPr>
          <w:noProof/>
        </w:rPr>
        <w:drawing>
          <wp:inline distT="0" distB="0" distL="0" distR="0">
            <wp:extent cx="1659194" cy="628311"/>
            <wp:effectExtent l="0" t="0" r="0" b="635"/>
            <wp:docPr id="18" name="Image 1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lipart&#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0660" cy="636440"/>
                    </a:xfrm>
                    <a:prstGeom prst="rect">
                      <a:avLst/>
                    </a:prstGeom>
                    <a:noFill/>
                    <a:ln>
                      <a:noFill/>
                    </a:ln>
                  </pic:spPr>
                </pic:pic>
              </a:graphicData>
            </a:graphic>
          </wp:inline>
        </w:drawing>
      </w:r>
    </w:p>
    <w:p>
      <w:r>
        <w:t xml:space="preserve">Pour les nucléophiles faibles, on a besoin d’utiliser un catalyseur acide faudrat utiliser un activateur pour augmenter la polarisation de la double liaison en venant sur l’oxygène. </w:t>
      </w:r>
    </w:p>
    <w:tbl>
      <w:tblPr>
        <w:tblStyle w:val="Grilledetableauclaire"/>
        <w:tblW w:w="0" w:type="auto"/>
        <w:tblLook w:val="0400" w:firstRow="0" w:lastRow="0" w:firstColumn="0" w:lastColumn="0" w:noHBand="0" w:noVBand="1"/>
      </w:tblPr>
      <w:tblGrid>
        <w:gridCol w:w="4209"/>
        <w:gridCol w:w="3126"/>
      </w:tblGrid>
      <w:tr>
        <w:tc>
          <w:tcPr>
            <w:tcW w:w="4390" w:type="dxa"/>
          </w:tcPr>
          <w:p>
            <w:r>
              <w:t>Catalyse acide ou un métal (Zn</w:t>
            </w:r>
            <w:r>
              <w:rPr>
                <w:vertAlign w:val="superscript"/>
              </w:rPr>
              <w:t>+</w:t>
            </w:r>
            <w:r>
              <w:t>, Mg</w:t>
            </w:r>
            <w:r>
              <w:rPr>
                <w:vertAlign w:val="superscript"/>
              </w:rPr>
              <w:t>+</w:t>
            </w:r>
            <w:r>
              <w:t>)</w:t>
            </w:r>
          </w:p>
        </w:tc>
        <w:tc>
          <w:tcPr>
            <w:tcW w:w="2945" w:type="dxa"/>
          </w:tcPr>
          <w:p>
            <w:r>
              <w:t>En milieu basique</w:t>
            </w:r>
          </w:p>
        </w:tc>
      </w:tr>
      <w:tr>
        <w:tc>
          <w:tcPr>
            <w:tcW w:w="4390" w:type="dxa"/>
          </w:tcPr>
          <w:p>
            <w:r>
              <w:rPr>
                <w:noProof/>
              </w:rPr>
              <w:drawing>
                <wp:inline distT="0" distB="0" distL="0" distR="0">
                  <wp:extent cx="1445342" cy="609260"/>
                  <wp:effectExtent l="0" t="0" r="254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6342" cy="618112"/>
                          </a:xfrm>
                          <a:prstGeom prst="rect">
                            <a:avLst/>
                          </a:prstGeom>
                          <a:noFill/>
                          <a:ln>
                            <a:noFill/>
                          </a:ln>
                        </pic:spPr>
                      </pic:pic>
                    </a:graphicData>
                  </a:graphic>
                </wp:inline>
              </w:drawing>
            </w:r>
          </w:p>
        </w:tc>
        <w:tc>
          <w:tcPr>
            <w:tcW w:w="2945" w:type="dxa"/>
          </w:tcPr>
          <w:p>
            <w:r>
              <w:rPr>
                <w:noProof/>
              </w:rPr>
              <w:drawing>
                <wp:inline distT="0" distB="0" distL="0" distR="0">
                  <wp:extent cx="1843549" cy="612674"/>
                  <wp:effectExtent l="0" t="0" r="444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9059" cy="624475"/>
                          </a:xfrm>
                          <a:prstGeom prst="rect">
                            <a:avLst/>
                          </a:prstGeom>
                          <a:noFill/>
                          <a:ln>
                            <a:noFill/>
                          </a:ln>
                        </pic:spPr>
                      </pic:pic>
                    </a:graphicData>
                  </a:graphic>
                </wp:inline>
              </w:drawing>
            </w:r>
          </w:p>
        </w:tc>
      </w:tr>
    </w:tbl>
    <w:p>
      <w:r>
        <w:rPr>
          <w:u w:val="single"/>
        </w:rPr>
        <w:t>Rmq :</w:t>
      </w:r>
      <w:r>
        <w:t xml:space="preserve"> si le nucléophile n’est pas suffisament fort, il faut utilisé une molécule électrophile pour augmenter la polarité de la liaison OC. On évitera l’utilisation de solvant protique qui conduiront à la formation d’un alcool.</w:t>
      </w:r>
    </w:p>
    <w:p>
      <w:pPr>
        <w:pStyle w:val="Titre3"/>
      </w:pPr>
      <w:r>
        <w:t>élimination</w:t>
      </w:r>
    </w:p>
    <w:p>
      <w:pPr>
        <w:pStyle w:val="Sansinterligne"/>
      </w:pPr>
      <w:r>
        <w:drawing>
          <wp:inline distT="0" distB="0" distL="0" distR="0">
            <wp:extent cx="3219450" cy="61887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27008" cy="620325"/>
                    </a:xfrm>
                    <a:prstGeom prst="rect">
                      <a:avLst/>
                    </a:prstGeom>
                    <a:noFill/>
                    <a:ln>
                      <a:noFill/>
                    </a:ln>
                  </pic:spPr>
                </pic:pic>
              </a:graphicData>
            </a:graphic>
          </wp:inline>
        </w:drawing>
      </w:r>
    </w:p>
    <w:p>
      <w:pPr>
        <w:pStyle w:val="Titre1"/>
      </w:pPr>
      <w:r>
        <w:t>Chimie en biologie</w:t>
      </w:r>
    </w:p>
    <w:p>
      <w:pPr>
        <w:rPr>
          <w:rFonts w:eastAsiaTheme="minorEastAsia"/>
        </w:rPr>
      </w:pPr>
      <w:r>
        <w:rPr>
          <w:rFonts w:eastAsiaTheme="minorEastAsia"/>
        </w:rPr>
        <w:t>pKa des groupements (à connaitre par cœur)</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Fonction</w:t>
            </w:r>
          </w:p>
        </w:tc>
        <w:tc>
          <w:tcPr>
            <w:tcW w:w="3668" w:type="dxa"/>
          </w:tcPr>
          <w:p>
            <w:pPr>
              <w:rPr>
                <w:rFonts w:eastAsiaTheme="minorEastAsia"/>
              </w:rPr>
            </w:pPr>
            <w:r>
              <w:rPr>
                <w:rFonts w:eastAsiaTheme="minorEastAsia"/>
              </w:rPr>
              <w:t>pKa</w:t>
            </w:r>
          </w:p>
        </w:tc>
      </w:tr>
      <w:tr>
        <w:tc>
          <w:tcPr>
            <w:tcW w:w="3667" w:type="dxa"/>
          </w:tcPr>
          <w:p>
            <w:pPr>
              <w:rPr>
                <w:rFonts w:eastAsiaTheme="minorEastAsia"/>
              </w:rPr>
            </w:pPr>
            <w:r>
              <w:rPr>
                <w:rFonts w:eastAsiaTheme="minorEastAsia"/>
              </w:rPr>
              <w:t>Amide</w:t>
            </w:r>
          </w:p>
        </w:tc>
        <w:tc>
          <w:tcPr>
            <w:tcW w:w="3668" w:type="dxa"/>
          </w:tcPr>
          <w:p>
            <w:pPr>
              <w:rPr>
                <w:rFonts w:eastAsiaTheme="minorEastAsia"/>
              </w:rPr>
            </w:pPr>
            <w:r>
              <w:rPr>
                <w:rFonts w:eastAsiaTheme="minorEastAsia"/>
              </w:rPr>
              <w:t>35</w:t>
            </w:r>
          </w:p>
        </w:tc>
      </w:tr>
      <w:tr>
        <w:tc>
          <w:tcPr>
            <w:tcW w:w="3667" w:type="dxa"/>
          </w:tcPr>
          <w:p>
            <w:pPr>
              <w:rPr>
                <w:rFonts w:eastAsiaTheme="minorEastAsia"/>
              </w:rPr>
            </w:pPr>
            <w:r>
              <w:rPr>
                <w:rFonts w:eastAsiaTheme="minorEastAsia"/>
              </w:rPr>
              <w:t>Ester</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Alcool II</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H</w:t>
            </w:r>
            <w:r>
              <w:rPr>
                <w:rFonts w:eastAsiaTheme="minorEastAsia"/>
                <w:vertAlign w:val="subscript"/>
              </w:rPr>
              <w:t>2</w:t>
            </w:r>
            <w:r>
              <w:rPr>
                <w:rFonts w:eastAsiaTheme="minorEastAsia"/>
              </w:rPr>
              <w:t>0</w:t>
            </w:r>
          </w:p>
        </w:tc>
        <w:tc>
          <w:tcPr>
            <w:tcW w:w="3668" w:type="dxa"/>
          </w:tcPr>
          <w:p>
            <w:pPr>
              <w:rPr>
                <w:rFonts w:eastAsiaTheme="minorEastAsia"/>
              </w:rPr>
            </w:pPr>
            <w:r>
              <w:rPr>
                <w:rFonts w:eastAsia="Open Sans Light" w:cs="Open Sans Light"/>
                <w:lang w:val="en-GB"/>
              </w:rPr>
              <w:t>15,7</w:t>
            </w:r>
          </w:p>
        </w:tc>
      </w:tr>
      <w:tr>
        <w:tc>
          <w:tcPr>
            <w:tcW w:w="3667" w:type="dxa"/>
          </w:tcPr>
          <w:p>
            <w:pPr>
              <w:rPr>
                <w:rFonts w:eastAsiaTheme="minorEastAsia"/>
              </w:rPr>
            </w:pPr>
            <w:r>
              <w:rPr>
                <w:rFonts w:eastAsiaTheme="minorEastAsia"/>
              </w:rPr>
              <w:t>Alcool I</w:t>
            </w:r>
          </w:p>
        </w:tc>
        <w:tc>
          <w:tcPr>
            <w:tcW w:w="3668" w:type="dxa"/>
          </w:tcPr>
          <w:p>
            <w:pPr>
              <w:rPr>
                <w:rFonts w:eastAsiaTheme="minorEastAsia"/>
              </w:rPr>
            </w:pPr>
            <w:r>
              <w:rPr>
                <w:rFonts w:eastAsiaTheme="minorEastAsia"/>
              </w:rPr>
              <w:t>15-16</w:t>
            </w:r>
          </w:p>
        </w:tc>
      </w:tr>
      <w:tr>
        <w:tc>
          <w:tcPr>
            <w:tcW w:w="3667" w:type="dxa"/>
          </w:tcPr>
          <w:p>
            <w:pPr>
              <w:rPr>
                <w:rFonts w:eastAsiaTheme="minorEastAsia"/>
              </w:rPr>
            </w:pPr>
            <w:r>
              <w:rPr>
                <w:rFonts w:eastAsiaTheme="minorEastAsia"/>
              </w:rPr>
              <w:t>Anhydride d’acyle</w:t>
            </w:r>
          </w:p>
        </w:tc>
        <w:tc>
          <w:tcPr>
            <w:tcW w:w="3668" w:type="dxa"/>
          </w:tcPr>
          <w:p>
            <w:pPr>
              <w:rPr>
                <w:rFonts w:eastAsiaTheme="minorEastAsia"/>
              </w:rPr>
            </w:pPr>
            <w:r>
              <w:rPr>
                <w:rFonts w:eastAsiaTheme="minorEastAsia"/>
              </w:rPr>
              <w:t>16-17</w:t>
            </w:r>
          </w:p>
        </w:tc>
      </w:tr>
      <w:tr>
        <w:tc>
          <w:tcPr>
            <w:tcW w:w="3667" w:type="dxa"/>
          </w:tcPr>
          <w:p>
            <w:pPr>
              <w:rPr>
                <w:rFonts w:eastAsiaTheme="minorEastAsia"/>
              </w:rPr>
            </w:pPr>
            <w:r>
              <w:rPr>
                <w:rFonts w:eastAsiaTheme="minorEastAsia"/>
              </w:rPr>
              <w:t>Amine</w:t>
            </w:r>
          </w:p>
        </w:tc>
        <w:tc>
          <w:tcPr>
            <w:tcW w:w="3668" w:type="dxa"/>
          </w:tcPr>
          <w:p>
            <w:pPr>
              <w:rPr>
                <w:rFonts w:eastAsiaTheme="minorEastAsia"/>
              </w:rPr>
            </w:pPr>
            <w:r>
              <w:rPr>
                <w:rFonts w:eastAsiaTheme="minorEastAsia"/>
              </w:rPr>
              <w:t>9-10</w:t>
            </w:r>
          </w:p>
        </w:tc>
      </w:tr>
      <w:tr>
        <w:tc>
          <w:tcPr>
            <w:tcW w:w="3667" w:type="dxa"/>
          </w:tcPr>
          <w:p>
            <w:pPr>
              <w:rPr>
                <w:rFonts w:eastAsiaTheme="minorEastAsia"/>
              </w:rPr>
            </w:pPr>
            <w:r>
              <w:rPr>
                <w:rFonts w:eastAsiaTheme="minorEastAsia"/>
              </w:rPr>
              <w:t>CoA-S (coenzyme A)</w:t>
            </w:r>
          </w:p>
        </w:tc>
        <w:tc>
          <w:tcPr>
            <w:tcW w:w="3668" w:type="dxa"/>
          </w:tcPr>
          <w:p>
            <w:pPr>
              <w:rPr>
                <w:rFonts w:eastAsiaTheme="minorEastAsia"/>
              </w:rPr>
            </w:pPr>
            <w:r>
              <w:rPr>
                <w:rFonts w:eastAsia="Open Sans Light" w:cs="Open Sans Light"/>
                <w:lang w:val="en-GB"/>
              </w:rPr>
              <w:t>7-8</w:t>
            </w:r>
          </w:p>
        </w:tc>
      </w:tr>
      <w:tr>
        <w:tc>
          <w:tcPr>
            <w:tcW w:w="3667" w:type="dxa"/>
          </w:tcPr>
          <w:p>
            <w:pPr>
              <w:rPr>
                <w:rFonts w:eastAsiaTheme="minorEastAsia"/>
              </w:rPr>
            </w:pPr>
            <w:r>
              <w:rPr>
                <w:rFonts w:eastAsiaTheme="minorEastAsia"/>
              </w:rPr>
              <w:t>Acide carboxylique</w:t>
            </w:r>
          </w:p>
        </w:tc>
        <w:tc>
          <w:tcPr>
            <w:tcW w:w="3668" w:type="dxa"/>
          </w:tcPr>
          <w:p>
            <w:pPr>
              <w:rPr>
                <w:rFonts w:eastAsiaTheme="minorEastAsia"/>
              </w:rPr>
            </w:pPr>
            <w:r>
              <w:rPr>
                <w:rFonts w:eastAsiaTheme="minorEastAsia"/>
              </w:rPr>
              <w:t>4-5</w:t>
            </w:r>
          </w:p>
        </w:tc>
      </w:tr>
    </w:tbl>
    <w:p>
      <w:pPr>
        <w:pStyle w:val="Titre2"/>
        <w:rPr>
          <w:rFonts w:eastAsiaTheme="minorEastAsia"/>
        </w:rPr>
      </w:pPr>
      <w:r>
        <w:rPr>
          <w:rFonts w:eastAsiaTheme="minorEastAsia"/>
        </w:rPr>
        <w:t>Résumé</w:t>
      </w:r>
    </w:p>
    <w:p>
      <w:pPr>
        <w:rPr>
          <w:rFonts w:eastAsia="Open Sans Light" w:cs="Open Sans Light"/>
        </w:rPr>
      </w:pPr>
      <w:r>
        <w:rPr>
          <w:rFonts w:eastAsia="Open Sans Light" w:cs="Open Sans Light"/>
        </w:rPr>
        <w:t xml:space="preserve">La chimie biologique consiste à créer ou détruire des liaisons carbones-carbones. Comme les milieux biologiques possèdent une température et un pH stable. Les décarboxylations ne peuvent pas avoir lieu spontanément (pKa 45) ou en chauffant. L’astuce utilisée par le vivant est de diminuer les pKa des liaisons carbones par des l’ajout d’oxygènes. </w:t>
      </w:r>
    </w:p>
    <w:p>
      <w:r>
        <w:rPr>
          <w:rFonts w:eastAsia="Open Sans Light" w:cs="Open Sans Light"/>
        </w:rPr>
        <w:t>Une molécule plane conserve son énergie en les mouvements des atomes les uns par rapport aux autres.</w:t>
      </w:r>
    </w:p>
    <w:p>
      <w:pPr>
        <w:rPr>
          <w:rFonts w:eastAsiaTheme="minorEastAsia"/>
        </w:rPr>
      </w:pPr>
      <w:r>
        <w:rPr>
          <w:rFonts w:eastAsiaTheme="minorEastAsia"/>
        </w:rPr>
        <w:t>« Un riche attaque un pauvre » un atome riche en électron attaque à un atome pauvre.</w:t>
      </w:r>
    </w:p>
    <w:p>
      <w:pPr>
        <w:rPr>
          <w:rFonts w:eastAsiaTheme="minorEastAsia"/>
        </w:rPr>
      </w:pPr>
      <w:r>
        <w:rPr>
          <w:rFonts w:eastAsiaTheme="minorEastAsia"/>
        </w:rPr>
        <w:t>« Un mou càd avec un atome avec plusieurs couches électroniques partira plus difficilement, il sera moins nucléofuge, qu’un atome dur ». Le mou est capable de moduler son nuage életronique, il est facilement polarisable.</w:t>
      </w:r>
    </w:p>
    <w:p>
      <w:pPr>
        <w:rPr>
          <w:i/>
          <w:iCs/>
        </w:rPr>
      </w:pPr>
      <w:r>
        <w:rPr>
          <w:rFonts w:eastAsiaTheme="minorEastAsia"/>
          <w:i/>
          <w:iCs/>
        </w:rPr>
        <w:t xml:space="preserve">Exemple : le thiol (S) est un bon électrophile mais un mauvais nucléofuge (groupe partant). On le retrouve à pH physiologique à la fois sous la forme </w:t>
      </w:r>
      <w:r>
        <w:rPr>
          <w:i/>
          <w:iCs/>
        </w:rPr>
        <w:t>S</w:t>
      </w:r>
      <w:r>
        <w:rPr>
          <w:i/>
          <w:iCs/>
          <w:vertAlign w:val="superscript"/>
        </w:rPr>
        <w:t>-</w:t>
      </w:r>
      <w:r>
        <w:rPr>
          <w:i/>
          <w:iCs/>
        </w:rPr>
        <w:t xml:space="preserve"> et SH.</w:t>
      </w:r>
    </w:p>
    <w:p>
      <w:pPr>
        <w:pStyle w:val="Titre2"/>
      </w:pPr>
      <w:r>
        <w:lastRenderedPageBreak/>
        <w:t>Les mécanismes élémentaires</w:t>
      </w:r>
    </w:p>
    <w:p>
      <w:r>
        <w:t>Les noms des principaux mécanismes à connaitre :</w:t>
      </w:r>
    </w:p>
    <w:p>
      <w:pPr>
        <w:pStyle w:val="Paragraphedeliste"/>
        <w:numPr>
          <w:ilvl w:val="0"/>
          <w:numId w:val="40"/>
        </w:numPr>
      </w:pPr>
      <w:r>
        <w:t>Addition nucléophile (on peut avoir de l’addition électrophile dans le cas des terpènes).</w:t>
      </w:r>
    </w:p>
    <w:p>
      <w:pPr>
        <w:pStyle w:val="Paragraphedeliste"/>
        <w:numPr>
          <w:ilvl w:val="0"/>
          <w:numId w:val="40"/>
        </w:numPr>
      </w:pPr>
      <w:r>
        <w:rPr>
          <w:rFonts w:eastAsia="Open Sans Light" w:cs="Open Sans Light"/>
        </w:rPr>
        <w:t>Addition conjugué (ou addition de Michael) C’est une double liaison qui s’ouvre pour se lier à l’autre molécule.</w:t>
      </w:r>
    </w:p>
    <w:p>
      <w:pPr>
        <w:pStyle w:val="Paragraphedeliste"/>
        <w:numPr>
          <w:ilvl w:val="0"/>
          <w:numId w:val="40"/>
        </w:numPr>
      </w:pPr>
      <w:r>
        <w:t>Transpostion déplacement d’un groupe ou d’un atome au sein de la molécule.</w:t>
      </w:r>
    </w:p>
    <w:p>
      <w:pPr>
        <w:pStyle w:val="Paragraphedeliste"/>
        <w:numPr>
          <w:ilvl w:val="0"/>
          <w:numId w:val="40"/>
        </w:numPr>
      </w:pPr>
      <w:r>
        <w:t>Élimination</w:t>
      </w:r>
    </w:p>
    <w:p>
      <w:pPr>
        <w:pStyle w:val="Paragraphedeliste"/>
        <w:numPr>
          <w:ilvl w:val="0"/>
          <w:numId w:val="40"/>
        </w:numPr>
      </w:pPr>
      <w:r>
        <w:t>Acide base</w:t>
      </w:r>
    </w:p>
    <w:p>
      <w:r>
        <w:t>Mécanismes spécialisée :</w:t>
      </w:r>
    </w:p>
    <w:tbl>
      <w:tblPr>
        <w:tblStyle w:val="Tableausimple1"/>
        <w:tblW w:w="5000" w:type="pct"/>
        <w:tblLayout w:type="fixed"/>
        <w:tblLook w:val="0620" w:firstRow="1" w:lastRow="0" w:firstColumn="0" w:lastColumn="0" w:noHBand="1"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pPr>
              <w:rPr>
                <w:rFonts w:eastAsia="Open Sans Light" w:cs="Open Sans Light"/>
              </w:rPr>
            </w:pPr>
            <w:r>
              <w:rPr>
                <w:rFonts w:eastAsia="Open Sans Light" w:cs="Open Sans Light"/>
              </w:rPr>
              <w:t>Groupement</w:t>
            </w:r>
          </w:p>
        </w:tc>
        <w:tc>
          <w:tcPr>
            <w:tcW w:w="5213" w:type="dxa"/>
          </w:tcPr>
          <w:p>
            <w:pPr>
              <w:rPr>
                <w:rFonts w:eastAsia="Open Sans Light" w:cs="Open Sans Light"/>
              </w:rPr>
            </w:pPr>
            <w:r>
              <w:rPr>
                <w:rFonts w:eastAsia="Open Sans Light" w:cs="Open Sans Light"/>
              </w:rPr>
              <w:t>Addition ( Elimination = dés-)</w:t>
            </w:r>
          </w:p>
        </w:tc>
      </w:tr>
      <w:tr>
        <w:tc>
          <w:tcPr>
            <w:tcW w:w="2122" w:type="dxa"/>
          </w:tcPr>
          <w:p>
            <w:pPr>
              <w:rPr>
                <w:rFonts w:eastAsia="Open Sans Light" w:cs="Open Sans Light"/>
              </w:rPr>
            </w:pPr>
            <w:r>
              <w:rPr>
                <w:rFonts w:eastAsia="Open Sans Light" w:cs="Open Sans Light"/>
              </w:rPr>
              <w:t>H</w:t>
            </w:r>
            <w:r>
              <w:rPr>
                <w:rFonts w:eastAsia="Open Sans Light" w:cs="Open Sans Light"/>
                <w:vertAlign w:val="subscript"/>
              </w:rPr>
              <w:t>2</w:t>
            </w:r>
            <w:r>
              <w:rPr>
                <w:rFonts w:eastAsia="Open Sans Light" w:cs="Open Sans Light"/>
              </w:rPr>
              <w:t>O</w:t>
            </w:r>
          </w:p>
        </w:tc>
        <w:tc>
          <w:tcPr>
            <w:tcW w:w="5213" w:type="dxa"/>
          </w:tcPr>
          <w:p>
            <w:pPr>
              <w:rPr>
                <w:rFonts w:eastAsia="Open Sans Light" w:cs="Open Sans Light"/>
              </w:rPr>
            </w:pPr>
            <w:r>
              <w:rPr>
                <w:rFonts w:eastAsia="Open Sans Light" w:cs="Open Sans Light"/>
              </w:rPr>
              <w:t>Hydratation</w:t>
            </w:r>
          </w:p>
        </w:tc>
      </w:tr>
      <w:tr>
        <w:tc>
          <w:tcPr>
            <w:tcW w:w="2122" w:type="dxa"/>
          </w:tcPr>
          <w:p>
            <w:pPr>
              <w:rPr>
                <w:rFonts w:eastAsia="Open Sans Light" w:cs="Open Sans Light"/>
              </w:rPr>
            </w:pPr>
            <w:r>
              <w:rPr>
                <w:rFonts w:eastAsia="Open Sans Light" w:cs="Open Sans Light"/>
              </w:rPr>
              <w:t>CO</w:t>
            </w:r>
            <w:r>
              <w:rPr>
                <w:rFonts w:eastAsia="Open Sans Light" w:cs="Open Sans Light"/>
                <w:vertAlign w:val="subscript"/>
              </w:rPr>
              <w:t>2</w:t>
            </w:r>
          </w:p>
        </w:tc>
        <w:tc>
          <w:tcPr>
            <w:tcW w:w="5213" w:type="dxa"/>
          </w:tcPr>
          <w:p>
            <w:pPr>
              <w:rPr>
                <w:rFonts w:eastAsia="Open Sans Light" w:cs="Open Sans Light"/>
              </w:rPr>
            </w:pPr>
            <w:r>
              <w:rPr>
                <w:rFonts w:eastAsia="Open Sans Light" w:cs="Open Sans Light"/>
              </w:rPr>
              <w:t>Carboxylation</w:t>
            </w:r>
          </w:p>
        </w:tc>
      </w:tr>
    </w:tbl>
    <w:p>
      <w:pPr>
        <w:rPr>
          <w:rFonts w:eastAsia="Open Sans Light" w:cs="Open Sans Light"/>
        </w:rPr>
      </w:pPr>
      <w:r>
        <w:rPr>
          <w:rStyle w:val="Accentuation"/>
        </w:rPr>
        <w:t>Hydrolyse</w:t>
      </w:r>
      <w:r>
        <w:rPr>
          <w:rFonts w:eastAsia="Open Sans Light" w:cs="Open Sans Light"/>
        </w:rPr>
        <w:t xml:space="preserve"> coupure d’une molécule par une molécule d’eau. </w:t>
      </w:r>
    </w:p>
    <w:p>
      <w:pPr>
        <w:pStyle w:val="Titre2"/>
      </w:pPr>
      <w:r>
        <w:t>Les terpènes</w:t>
      </w:r>
    </w:p>
    <w:p>
      <w:r>
        <w:t>On part toujours de la forme limite de résonnance la plus stable :</w:t>
      </w:r>
    </w:p>
    <w:p>
      <w:r>
        <w:t>1 - Addition nucléophile intramoléculaire avec un mouvement conjugué des électrons.</w:t>
      </w:r>
    </w:p>
    <w:p>
      <w:pPr>
        <w:pStyle w:val="Sansinterligne"/>
      </w:pPr>
      <w:r>
        <w:rPr>
          <w:noProof/>
        </w:rPr>
        <w:drawing>
          <wp:inline distT="0" distB="0" distL="0" distR="0">
            <wp:extent cx="3593102" cy="77152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6464" cy="772247"/>
                    </a:xfrm>
                    <a:prstGeom prst="rect">
                      <a:avLst/>
                    </a:prstGeom>
                    <a:noFill/>
                    <a:ln>
                      <a:noFill/>
                    </a:ln>
                  </pic:spPr>
                </pic:pic>
              </a:graphicData>
            </a:graphic>
          </wp:inline>
        </w:drawing>
      </w:r>
    </w:p>
    <w:p>
      <w:r>
        <w:t>2 - Un grand et un petit cycle (3 et 5) sont préférables à deux cycles à 4 :</w:t>
      </w:r>
    </w:p>
    <w:p>
      <w:pPr>
        <w:pStyle w:val="Sansinterligne"/>
      </w:pPr>
      <w:r>
        <w:rPr>
          <w:noProof/>
        </w:rPr>
        <w:drawing>
          <wp:inline distT="0" distB="0" distL="0" distR="0">
            <wp:extent cx="2033461" cy="14097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7859" cy="1412749"/>
                    </a:xfrm>
                    <a:prstGeom prst="rect">
                      <a:avLst/>
                    </a:prstGeom>
                    <a:noFill/>
                    <a:ln>
                      <a:noFill/>
                    </a:ln>
                  </pic:spPr>
                </pic:pic>
              </a:graphicData>
            </a:graphic>
          </wp:inline>
        </w:drawing>
      </w:r>
    </w:p>
    <w:p>
      <w:r>
        <w:t>4 – Des liaisons C-C peuvent être brisées dans le cadre de cycles à 4 atomes :</w:t>
      </w:r>
    </w:p>
    <w:p>
      <w:pPr>
        <w:pStyle w:val="Sansinterligne"/>
      </w:pPr>
      <w:r>
        <w:drawing>
          <wp:inline distT="0" distB="0" distL="0" distR="0">
            <wp:extent cx="3095625" cy="101288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6832" cy="1013278"/>
                    </a:xfrm>
                    <a:prstGeom prst="rect">
                      <a:avLst/>
                    </a:prstGeom>
                    <a:noFill/>
                    <a:ln>
                      <a:noFill/>
                    </a:ln>
                  </pic:spPr>
                </pic:pic>
              </a:graphicData>
            </a:graphic>
          </wp:inline>
        </w:drawing>
      </w:r>
    </w:p>
    <w:p>
      <w:pPr>
        <w:rPr>
          <w:i/>
          <w:iCs/>
        </w:rPr>
      </w:pPr>
      <w:r>
        <w:rPr>
          <w:i/>
          <w:iCs/>
        </w:rPr>
        <w:t>Exemple de réaction compliquée :</w:t>
      </w:r>
    </w:p>
    <w:p>
      <w:pPr>
        <w:pStyle w:val="Sansinterligne"/>
      </w:pPr>
      <w:r>
        <w:rPr>
          <w:noProof/>
        </w:rPr>
        <w:drawing>
          <wp:inline distT="0" distB="0" distL="0" distR="0">
            <wp:extent cx="3212962" cy="90487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4779" cy="905387"/>
                    </a:xfrm>
                    <a:prstGeom prst="rect">
                      <a:avLst/>
                    </a:prstGeom>
                    <a:noFill/>
                    <a:ln>
                      <a:noFill/>
                    </a:ln>
                  </pic:spPr>
                </pic:pic>
              </a:graphicData>
            </a:graphic>
          </wp:inline>
        </w:drawing>
      </w:r>
    </w:p>
    <w:tbl>
      <w:tblPr>
        <w:tblStyle w:val="Grilledetableauclaire"/>
        <w:tblW w:w="0" w:type="auto"/>
        <w:tblLook w:val="0400" w:firstRow="0" w:lastRow="0" w:firstColumn="0" w:lastColumn="0" w:noHBand="0" w:noVBand="1"/>
      </w:tblPr>
      <w:tblGrid>
        <w:gridCol w:w="7335"/>
      </w:tblGrid>
      <w:tr>
        <w:tc>
          <w:tcPr>
            <w:tcW w:w="7335" w:type="dxa"/>
          </w:tcPr>
          <w:p>
            <w:pPr>
              <w:rPr>
                <w:bCs/>
              </w:rPr>
            </w:pPr>
            <w:r>
              <w:rPr>
                <w:bCs/>
              </w:rPr>
              <w:t>Point méthode : Pour les réactions sur les terpènes on peut numéroter les atomes de carbones (par exemple les carbones III) pour avoir des repères lorsque l’on doit dessiner la molécule.</w:t>
            </w:r>
          </w:p>
          <w:p>
            <w:pPr>
              <w:rPr>
                <w:bCs/>
              </w:rPr>
            </w:pPr>
            <w:r>
              <w:rPr>
                <w:bCs/>
              </w:rPr>
              <w:t>Lorsque l’on ne sait pas par où commencer. On peut écrire le substrat et le produit en identifiant les atomes qui ont changer de place notamment les hydrogènes.</w:t>
            </w:r>
          </w:p>
        </w:tc>
      </w:tr>
    </w:tbl>
    <w:p>
      <w:pPr>
        <w:pStyle w:val="Titre3"/>
      </w:pPr>
      <w:r>
        <w:t>Synthèse des terpènes</w:t>
      </w:r>
    </w:p>
    <w:p>
      <w:r>
        <w:t>La synthèse des terpènes (C</w:t>
      </w:r>
      <w:r>
        <w:rPr>
          <w:vertAlign w:val="subscript"/>
        </w:rPr>
        <w:t>5</w:t>
      </w:r>
      <w:r>
        <w:t>H</w:t>
      </w:r>
      <w:r>
        <w:rPr>
          <w:vertAlign w:val="subscript"/>
        </w:rPr>
        <w:t>8</w:t>
      </w:r>
      <w:r>
        <w:t>)</w:t>
      </w:r>
      <w:r>
        <w:rPr>
          <w:vertAlign w:val="subscript"/>
        </w:rPr>
        <w:t>n</w:t>
      </w:r>
    </w:p>
    <w:tbl>
      <w:tblPr>
        <w:tblStyle w:val="Grilledetableauclaire"/>
        <w:tblW w:w="0" w:type="auto"/>
        <w:tblLook w:val="04A0" w:firstRow="1" w:lastRow="0" w:firstColumn="1" w:lastColumn="0" w:noHBand="0" w:noVBand="1"/>
      </w:tblPr>
      <w:tblGrid>
        <w:gridCol w:w="689"/>
        <w:gridCol w:w="2767"/>
        <w:gridCol w:w="1886"/>
        <w:gridCol w:w="199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Pr>
          <w:p>
            <m:oMathPara>
              <m:oMath>
                <m:r>
                  <m:rPr>
                    <m:sty m:val="bi"/>
                  </m:rPr>
                  <w:rPr>
                    <w:rFonts w:ascii="Cambria Math" w:hAnsi="Cambria Math"/>
                  </w:rPr>
                  <m:t>n=</m:t>
                </m:r>
              </m:oMath>
            </m:oMathPara>
          </w:p>
        </w:tc>
        <w:tc>
          <w:tcPr>
            <w:tcW w:w="2767" w:type="dxa"/>
          </w:tcPr>
          <w:p>
            <w:pPr>
              <w:cnfStyle w:val="100000000000" w:firstRow="1" w:lastRow="0" w:firstColumn="0" w:lastColumn="0" w:oddVBand="0" w:evenVBand="0" w:oddHBand="0" w:evenHBand="0" w:firstRowFirstColumn="0" w:firstRowLastColumn="0" w:lastRowFirstColumn="0" w:lastRowLastColumn="0"/>
            </w:pPr>
            <w:r>
              <w:t>Précurseurs</w:t>
            </w:r>
          </w:p>
        </w:tc>
        <w:tc>
          <w:tcPr>
            <w:tcW w:w="1886" w:type="dxa"/>
          </w:tcPr>
          <w:p>
            <w:pPr>
              <w:cnfStyle w:val="100000000000" w:firstRow="1" w:lastRow="0" w:firstColumn="0" w:lastColumn="0" w:oddVBand="0" w:evenVBand="0" w:oddHBand="0" w:evenHBand="0" w:firstRowFirstColumn="0" w:firstRowLastColumn="0" w:lastRowFirstColumn="0" w:lastRowLastColumn="0"/>
            </w:pPr>
            <w:r>
              <w:t>Classe</w:t>
            </w:r>
          </w:p>
        </w:tc>
        <w:tc>
          <w:tcPr>
            <w:tcW w:w="1993" w:type="dxa"/>
          </w:tcPr>
          <w:p>
            <w:pPr>
              <w:cnfStyle w:val="100000000000" w:firstRow="1" w:lastRow="0" w:firstColumn="0" w:lastColumn="0" w:oddVBand="0" w:evenVBand="0" w:oddHBand="0" w:evenHBand="0" w:firstRowFirstColumn="0" w:firstRowLastColumn="0" w:lastRowFirstColumn="0" w:lastRowLastColumn="0"/>
            </w:pPr>
            <w:r>
              <w:t>Dérivés emblématiques</w:t>
            </w:r>
          </w:p>
        </w:tc>
      </w:tr>
      <w:tr>
        <w:tc>
          <w:tcPr>
            <w:cnfStyle w:val="001000000000" w:firstRow="0" w:lastRow="0" w:firstColumn="1" w:lastColumn="0" w:oddVBand="0" w:evenVBand="0" w:oddHBand="0" w:evenHBand="0" w:firstRowFirstColumn="0" w:firstRowLastColumn="0" w:lastRowFirstColumn="0" w:lastRowLastColumn="0"/>
            <w:tcW w:w="689" w:type="dxa"/>
          </w:tcPr>
          <w:p>
            <w:r>
              <w:lastRenderedPageBreak/>
              <w:t>1</w:t>
            </w:r>
          </w:p>
        </w:tc>
        <w:tc>
          <w:tcPr>
            <w:tcW w:w="2767" w:type="dxa"/>
          </w:tcPr>
          <w:p>
            <w:pPr>
              <w:cnfStyle w:val="000000000000" w:firstRow="0" w:lastRow="0" w:firstColumn="0" w:lastColumn="0" w:oddVBand="0" w:evenVBand="0" w:oddHBand="0" w:evenHBand="0" w:firstRowFirstColumn="0" w:firstRowLastColumn="0" w:lastRowFirstColumn="0" w:lastRowLastColumn="0"/>
            </w:pPr>
            <w:r>
              <w:t>Isoprène</w:t>
            </w:r>
          </w:p>
        </w:tc>
        <w:tc>
          <w:tcPr>
            <w:tcW w:w="1886" w:type="dxa"/>
          </w:tcPr>
          <w:p>
            <w:pPr>
              <w:cnfStyle w:val="000000000000" w:firstRow="0" w:lastRow="0" w:firstColumn="0" w:lastColumn="0" w:oddVBand="0" w:evenVBand="0" w:oddHBand="0" w:evenHBand="0" w:firstRowFirstColumn="0" w:firstRowLastColumn="0" w:lastRowFirstColumn="0" w:lastRowLastColumn="0"/>
            </w:pPr>
            <w:r>
              <w:t xml:space="preserve">mono terpénoide </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2</w:t>
            </w:r>
          </w:p>
        </w:tc>
        <w:tc>
          <w:tcPr>
            <w:tcW w:w="2767" w:type="dxa"/>
          </w:tcPr>
          <w:p>
            <w:pPr>
              <w:cnfStyle w:val="000000000000" w:firstRow="0" w:lastRow="0" w:firstColumn="0" w:lastColumn="0" w:oddVBand="0" w:evenVBand="0" w:oddHBand="0" w:evenHBand="0" w:firstRowFirstColumn="0" w:firstRowLastColumn="0" w:lastRowFirstColumn="0" w:lastRowLastColumn="0"/>
            </w:pPr>
            <w:r>
              <w:t>DMAPP + IPP = géranyle phosphate (GPP)</w:t>
            </w:r>
          </w:p>
        </w:tc>
        <w:tc>
          <w:tcPr>
            <w:tcW w:w="1886" w:type="dxa"/>
          </w:tcPr>
          <w:p>
            <w:pPr>
              <w:cnfStyle w:val="000000000000" w:firstRow="0" w:lastRow="0" w:firstColumn="0" w:lastColumn="0" w:oddVBand="0" w:evenVBand="0" w:oddHBand="0" w:evenHBand="0" w:firstRowFirstColumn="0" w:firstRowLastColumn="0" w:lastRowFirstColumn="0" w:lastRowLastColumn="0"/>
            </w:pPr>
            <w:r>
              <w:t>Monoterpénoide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3</w:t>
            </w:r>
          </w:p>
        </w:tc>
        <w:tc>
          <w:tcPr>
            <w:tcW w:w="2767" w:type="dxa"/>
          </w:tcPr>
          <w:p>
            <w:pPr>
              <w:cnfStyle w:val="000000000000" w:firstRow="0" w:lastRow="0" w:firstColumn="0" w:lastColumn="0" w:oddVBand="0" w:evenVBand="0" w:oddHBand="0" w:evenHBand="0" w:firstRowFirstColumn="0" w:firstRowLastColumn="0" w:lastRowFirstColumn="0" w:lastRowLastColumn="0"/>
            </w:pPr>
            <w:r>
              <w:t>GPP + IPP</w:t>
            </w:r>
          </w:p>
        </w:tc>
        <w:tc>
          <w:tcPr>
            <w:tcW w:w="1886" w:type="dxa"/>
          </w:tcPr>
          <w:p>
            <w:pPr>
              <w:cnfStyle w:val="000000000000" w:firstRow="0" w:lastRow="0" w:firstColumn="0" w:lastColumn="0" w:oddVBand="0" w:evenVBand="0" w:oddHBand="0" w:evenHBand="0" w:firstRowFirstColumn="0" w:firstRowLastColumn="0" w:lastRowFirstColumn="0" w:lastRowLastColumn="0"/>
            </w:pPr>
            <w:r>
              <w:t>Sequiterpénoide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4</w:t>
            </w:r>
          </w:p>
        </w:tc>
        <w:tc>
          <w:tcPr>
            <w:tcW w:w="2767" w:type="dxa"/>
          </w:tcPr>
          <w:p>
            <w:pPr>
              <w:cnfStyle w:val="000000000000" w:firstRow="0" w:lastRow="0" w:firstColumn="0" w:lastColumn="0" w:oddVBand="0" w:evenVBand="0" w:oddHBand="0" w:evenHBand="0" w:firstRowFirstColumn="0" w:firstRowLastColumn="0" w:lastRowFirstColumn="0" w:lastRowLastColumn="0"/>
            </w:pPr>
            <w:r>
              <w:t>FPP + IPP</w:t>
            </w:r>
          </w:p>
        </w:tc>
        <w:tc>
          <w:tcPr>
            <w:tcW w:w="1886" w:type="dxa"/>
          </w:tcPr>
          <w:p>
            <w:pPr>
              <w:cnfStyle w:val="000000000000" w:firstRow="0" w:lastRow="0" w:firstColumn="0" w:lastColumn="0" w:oddVBand="0" w:evenVBand="0" w:oddHBand="0" w:evenHBand="0" w:firstRowFirstColumn="0" w:firstRowLastColumn="0" w:lastRowFirstColumn="0" w:lastRowLastColumn="0"/>
            </w:pPr>
            <w:r>
              <w:t>Diterpénoide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689" w:type="dxa"/>
          </w:tcPr>
          <w:p>
            <w:r>
              <w:t>6</w:t>
            </w:r>
          </w:p>
        </w:tc>
        <w:tc>
          <w:tcPr>
            <w:tcW w:w="2767" w:type="dxa"/>
          </w:tcPr>
          <w:p>
            <w:pPr>
              <w:cnfStyle w:val="000000000000" w:firstRow="0" w:lastRow="0" w:firstColumn="0" w:lastColumn="0" w:oddVBand="0" w:evenVBand="0" w:oddHBand="0" w:evenHBand="0" w:firstRowFirstColumn="0" w:firstRowLastColumn="0" w:lastRowFirstColumn="0" w:lastRowLastColumn="0"/>
            </w:pPr>
          </w:p>
        </w:tc>
        <w:tc>
          <w:tcPr>
            <w:tcW w:w="1886" w:type="dxa"/>
          </w:tcPr>
          <w:p>
            <w:pPr>
              <w:cnfStyle w:val="000000000000" w:firstRow="0" w:lastRow="0" w:firstColumn="0" w:lastColumn="0" w:oddVBand="0" w:evenVBand="0" w:oddHBand="0" w:evenHBand="0" w:firstRowFirstColumn="0" w:firstRowLastColumn="0" w:lastRowFirstColumn="0" w:lastRowLastColumn="0"/>
            </w:pPr>
            <w:r>
              <w:t>Triterpénoide</w:t>
            </w:r>
          </w:p>
        </w:tc>
        <w:tc>
          <w:tcPr>
            <w:tcW w:w="1993" w:type="dxa"/>
          </w:tcPr>
          <w:p>
            <w:pPr>
              <w:cnfStyle w:val="000000000000" w:firstRow="0" w:lastRow="0" w:firstColumn="0" w:lastColumn="0" w:oddVBand="0" w:evenVBand="0" w:oddHBand="0" w:evenHBand="0" w:firstRowFirstColumn="0" w:firstRowLastColumn="0" w:lastRowFirstColumn="0" w:lastRowLastColumn="0"/>
            </w:pPr>
            <w:r>
              <w:t>Stéroide, cholestérol</w:t>
            </w:r>
          </w:p>
        </w:tc>
      </w:tr>
    </w:tbl>
    <w:p>
      <w:pPr>
        <w:pStyle w:val="Titre3"/>
        <w:rPr>
          <w:rFonts w:eastAsia="Open Sans Light"/>
        </w:rPr>
      </w:pPr>
      <w:r>
        <w:rPr>
          <w:rFonts w:eastAsia="Open Sans Light"/>
        </w:rPr>
        <w:t>Élimination d’hydrogènes</w:t>
      </w:r>
    </w:p>
    <w:p>
      <w:pPr>
        <w:rPr>
          <w:rFonts w:eastAsia="Open Sans Light" w:cs="Open Sans Light"/>
        </w:rPr>
      </w:pPr>
      <w:r>
        <w:rPr>
          <w:rFonts w:eastAsia="Open Sans Light" w:cs="Open Sans Light"/>
        </w:rPr>
        <w:t>L’élimination d’hydrogène se fait soit sous contrôle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Open Sans Light" w:cs="Open Sans Light"/>
              </w:rPr>
            </w:pPr>
            <w:r>
              <w:rPr>
                <w:rFonts w:eastAsia="Open Sans Light" w:cs="Open Sans Light"/>
              </w:rPr>
              <w:t>Cintéique, l’hydrogène le plus accessible.</w:t>
            </w:r>
          </w:p>
        </w:tc>
        <w:tc>
          <w:tcPr>
            <w:tcW w:w="3668" w:type="dxa"/>
          </w:tcPr>
          <w:p>
            <w:pPr>
              <w:rPr>
                <w:rFonts w:eastAsia="Open Sans Light" w:cs="Open Sans Light"/>
              </w:rPr>
            </w:pPr>
            <w:r>
              <w:rPr>
                <w:rFonts w:eastAsia="Open Sans Light" w:cs="Open Sans Light"/>
              </w:rPr>
              <w:t>Thermodynamique donne molécule plus stable</w:t>
            </w:r>
          </w:p>
        </w:tc>
      </w:tr>
    </w:tbl>
    <w:p>
      <w:pPr>
        <w:pStyle w:val="Titre2"/>
      </w:pPr>
      <w:r>
        <w:t>Type de réaction (catalytique ou anabolitique)</w:t>
      </w:r>
    </w:p>
    <w:p>
      <w:r>
        <w:t xml:space="preserve">Si une réaction régénére les produits de départ alors elle est de type  catalytique (dégradation). </w:t>
      </w:r>
    </w:p>
    <w:p>
      <w:pPr>
        <w:pStyle w:val="Titre2"/>
      </w:pPr>
      <w:r>
        <w:t>Rendre un groupe nucléofuge</w:t>
      </w:r>
    </w:p>
    <w:p>
      <w:r>
        <w:t>Addtion nucléophile sur un groupement phosphate comme ceux de l’ATP.</w:t>
      </w:r>
    </w:p>
    <w:p>
      <w:pPr>
        <w:pStyle w:val="Sansinterligne"/>
      </w:pPr>
      <w:r>
        <w:rPr>
          <w:noProof/>
        </w:rPr>
        <w:drawing>
          <wp:inline distT="0" distB="0" distL="0" distR="0">
            <wp:extent cx="3244707" cy="590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9683" cy="591456"/>
                    </a:xfrm>
                    <a:prstGeom prst="rect">
                      <a:avLst/>
                    </a:prstGeom>
                    <a:noFill/>
                    <a:ln>
                      <a:noFill/>
                    </a:ln>
                  </pic:spPr>
                </pic:pic>
              </a:graphicData>
            </a:graphic>
          </wp:inline>
        </w:drawing>
      </w:r>
    </w:p>
    <w:p>
      <w:r>
        <w:t>Rendre un groupe mauvais partant bon groupe partant.</w:t>
      </w:r>
    </w:p>
    <w:p>
      <w:pPr>
        <w:pStyle w:val="Paragraphedeliste"/>
        <w:numPr>
          <w:ilvl w:val="0"/>
          <w:numId w:val="37"/>
        </w:numPr>
      </w:pPr>
      <w:r>
        <w:t>AMP (Mg</w:t>
      </w:r>
      <w:r>
        <w:rPr>
          <w:vertAlign w:val="superscript"/>
        </w:rPr>
        <w:t>2+</w:t>
      </w:r>
      <w:r>
        <w:t>) permet d’éliminer deux groupements phosphates d’une molécule d’ATP</w:t>
      </w:r>
    </w:p>
    <w:p>
      <w:pPr>
        <w:ind w:left="708"/>
      </w:pPr>
      <w:r>
        <w:rPr>
          <w:noProof/>
        </w:rPr>
        <w:drawing>
          <wp:inline distT="0" distB="0" distL="0" distR="0">
            <wp:extent cx="4086225" cy="122251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2256" cy="1224322"/>
                    </a:xfrm>
                    <a:prstGeom prst="rect">
                      <a:avLst/>
                    </a:prstGeom>
                    <a:noFill/>
                    <a:ln>
                      <a:noFill/>
                    </a:ln>
                  </pic:spPr>
                </pic:pic>
              </a:graphicData>
            </a:graphic>
          </wp:inline>
        </w:drawing>
      </w:r>
    </w:p>
    <w:p>
      <w:pPr>
        <w:pStyle w:val="Paragraphedeliste"/>
        <w:numPr>
          <w:ilvl w:val="0"/>
          <w:numId w:val="37"/>
        </w:numPr>
      </w:pPr>
      <w:r>
        <w:t>Autoprotolyse (réaction acido-basique intramoléculaire)</w:t>
      </w:r>
    </w:p>
    <w:p>
      <w:pPr>
        <w:pStyle w:val="Sansinterligne"/>
        <w:ind w:left="360"/>
      </w:pPr>
      <w:r>
        <w:rPr>
          <w:noProof/>
        </w:rPr>
        <w:drawing>
          <wp:inline distT="0" distB="0" distL="0" distR="0">
            <wp:extent cx="2038350" cy="1156452"/>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3231" cy="1159221"/>
                    </a:xfrm>
                    <a:prstGeom prst="rect">
                      <a:avLst/>
                    </a:prstGeom>
                    <a:noFill/>
                    <a:ln>
                      <a:noFill/>
                    </a:ln>
                  </pic:spPr>
                </pic:pic>
              </a:graphicData>
            </a:graphic>
          </wp:inline>
        </w:drawing>
      </w:r>
    </w:p>
    <w:p>
      <w:pPr>
        <w:pStyle w:val="Titre3"/>
      </w:pPr>
      <w:r>
        <w:t>L’histidine molécule acide-base</w:t>
      </w:r>
    </w:p>
    <w:p>
      <w:r>
        <w:t>Histidine un acide aminé à la fois base et acide</w:t>
      </w:r>
    </w:p>
    <w:p>
      <w:pPr>
        <w:pStyle w:val="Sansinterligne"/>
      </w:pPr>
      <w:r>
        <w:rPr>
          <w:noProof/>
        </w:rPr>
        <w:drawing>
          <wp:inline distT="0" distB="0" distL="0" distR="0">
            <wp:extent cx="1514475" cy="647291"/>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8214" cy="653163"/>
                    </a:xfrm>
                    <a:prstGeom prst="rect">
                      <a:avLst/>
                    </a:prstGeom>
                    <a:noFill/>
                    <a:ln>
                      <a:noFill/>
                    </a:ln>
                  </pic:spPr>
                </pic:pic>
              </a:graphicData>
            </a:graphic>
          </wp:inline>
        </w:drawing>
      </w:r>
    </w:p>
    <w:p>
      <w:r>
        <w:t>Co-enzyme A</w:t>
      </w:r>
    </w:p>
    <w:p>
      <w:pPr>
        <w:pStyle w:val="Sansinterligne"/>
      </w:pPr>
      <w:r>
        <w:rPr>
          <w:noProof/>
        </w:rPr>
        <w:drawing>
          <wp:inline distT="0" distB="0" distL="0" distR="0">
            <wp:extent cx="4391025" cy="94285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7399" cy="944227"/>
                    </a:xfrm>
                    <a:prstGeom prst="rect">
                      <a:avLst/>
                    </a:prstGeom>
                    <a:noFill/>
                    <a:ln>
                      <a:noFill/>
                    </a:ln>
                  </pic:spPr>
                </pic:pic>
              </a:graphicData>
            </a:graphic>
          </wp:inline>
        </w:drawing>
      </w:r>
    </w:p>
    <w:p>
      <w:pPr>
        <w:pStyle w:val="Titre2"/>
      </w:pPr>
      <w:r>
        <w:t>Réaction d’oxydo-réduction</w:t>
      </w:r>
    </w:p>
    <w:p>
      <w:r>
        <w:t>Pour les réactions d’oxydo-réduction en milieu physiologique généralement par l’intermédiaire de :</w:t>
      </w:r>
    </w:p>
    <w:p>
      <w:pPr>
        <w:pStyle w:val="Paragraphedeliste"/>
        <w:numPr>
          <w:ilvl w:val="0"/>
          <w:numId w:val="36"/>
        </w:numPr>
      </w:pPr>
      <w:r>
        <w:t xml:space="preserve">NAD+ </w:t>
      </w:r>
    </w:p>
    <w:p>
      <w:pPr>
        <w:pStyle w:val="Sansinterligne"/>
        <w:ind w:left="360"/>
      </w:pPr>
      <w:r>
        <w:rPr>
          <w:noProof/>
        </w:rPr>
        <w:drawing>
          <wp:inline distT="0" distB="0" distL="0" distR="0">
            <wp:extent cx="1895475" cy="8661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1837" cy="869077"/>
                    </a:xfrm>
                    <a:prstGeom prst="rect">
                      <a:avLst/>
                    </a:prstGeom>
                    <a:noFill/>
                    <a:ln>
                      <a:noFill/>
                    </a:ln>
                  </pic:spPr>
                </pic:pic>
              </a:graphicData>
            </a:graphic>
          </wp:inline>
        </w:drawing>
      </w:r>
    </w:p>
    <w:p>
      <w:pPr>
        <w:pStyle w:val="Paragraphedeliste"/>
        <w:numPr>
          <w:ilvl w:val="0"/>
          <w:numId w:val="36"/>
        </w:numPr>
      </w:pPr>
      <w:r>
        <w:t>FAD</w:t>
      </w:r>
      <w:r>
        <w:rPr>
          <w:vertAlign w:val="superscript"/>
        </w:rPr>
        <w:t>+</w:t>
      </w:r>
      <w:r>
        <w:t>/FADH</w:t>
      </w:r>
      <w:r>
        <w:rPr>
          <w:vertAlign w:val="subscript"/>
        </w:rPr>
        <w:t>2</w:t>
      </w:r>
      <w:r>
        <w:t xml:space="preserve"> par l’ajout de H</w:t>
      </w:r>
      <w:r>
        <w:rPr>
          <w:vertAlign w:val="superscript"/>
        </w:rPr>
        <w:t>+</w:t>
      </w:r>
      <w:r>
        <w:t xml:space="preserve"> et H</w:t>
      </w:r>
      <w:r>
        <w:rPr>
          <w:vertAlign w:val="superscript"/>
        </w:rPr>
        <w:t>-</w:t>
      </w:r>
    </w:p>
    <w:p>
      <w:pPr>
        <w:pStyle w:val="Paragraphedeliste"/>
        <w:spacing w:after="0" w:line="240" w:lineRule="auto"/>
        <w:rPr>
          <w:b/>
        </w:rPr>
      </w:pPr>
      <w:r>
        <w:rPr>
          <w:noProof/>
        </w:rPr>
        <w:lastRenderedPageBreak/>
        <w:drawing>
          <wp:inline distT="0" distB="0" distL="0" distR="0">
            <wp:extent cx="3486150" cy="835819"/>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76551" cy="857493"/>
                    </a:xfrm>
                    <a:prstGeom prst="rect">
                      <a:avLst/>
                    </a:prstGeom>
                    <a:noFill/>
                    <a:ln>
                      <a:noFill/>
                    </a:ln>
                  </pic:spPr>
                </pic:pic>
              </a:graphicData>
            </a:graphic>
          </wp:inline>
        </w:drawing>
      </w:r>
    </w:p>
    <w:p>
      <w:r>
        <w:t xml:space="preserve">La réaction prend la forme suivante : </w:t>
      </w:r>
    </w:p>
    <w:p>
      <w:pPr>
        <w:pStyle w:val="Sansinterligne"/>
      </w:pPr>
      <w:r>
        <w:rPr>
          <w:noProof/>
        </w:rPr>
        <w:drawing>
          <wp:inline distT="0" distB="0" distL="0" distR="0">
            <wp:extent cx="2638425" cy="778552"/>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64389" cy="786213"/>
                    </a:xfrm>
                    <a:prstGeom prst="rect">
                      <a:avLst/>
                    </a:prstGeom>
                    <a:noFill/>
                    <a:ln>
                      <a:noFill/>
                    </a:ln>
                  </pic:spPr>
                </pic:pic>
              </a:graphicData>
            </a:graphic>
          </wp:inline>
        </w:drawing>
      </w:r>
    </w:p>
    <w:p>
      <w:pPr>
        <w:pStyle w:val="Titre1"/>
        <w:rPr>
          <w:rFonts w:eastAsiaTheme="minorEastAsia"/>
        </w:rPr>
      </w:pPr>
      <w:r>
        <w:rPr>
          <w:rFonts w:eastAsiaTheme="minorEastAsia"/>
        </w:rPr>
        <w:t xml:space="preserve">Cinétique </w:t>
      </w:r>
    </w:p>
    <w:p>
      <w:pPr>
        <w:rPr>
          <w:rFonts w:eastAsiaTheme="minorEastAsia"/>
        </w:rPr>
      </w:pPr>
      <w:r>
        <w:rPr>
          <w:rFonts w:eastAsiaTheme="minorEastAsia"/>
        </w:rPr>
        <w:t>Lors d’une réaction passe par un intermédiaire réactionnel, c’est l’aspect cinétique qui est domine.</w:t>
      </w:r>
    </w:p>
    <w:p>
      <w:pPr>
        <w:rPr>
          <w:rFonts w:eastAsiaTheme="minorEastAsia"/>
        </w:rPr>
      </w:pPr>
      <w:r>
        <w:rPr>
          <w:rStyle w:val="Accentuation"/>
        </w:rPr>
        <w:t>Énergie d’activation</w:t>
      </w:r>
      <w:r>
        <w:rPr>
          <w:rFonts w:eastAsiaTheme="minorEastAsia"/>
        </w:rPr>
        <w:t xml:space="preserve"> énergie minimum </w:t>
      </w:r>
    </w:p>
    <w:p>
      <w:pPr>
        <w:rPr>
          <w:rFonts w:eastAsiaTheme="minorEastAsia"/>
        </w:rPr>
      </w:pPr>
      <w:r>
        <w:rPr>
          <w:rFonts w:eastAsiaTheme="minorEastAsia"/>
        </w:rPr>
        <w:t>On peut accélérer une réaction en augmentant la température ce qui a pour effet de faciliter :</w:t>
      </w:r>
    </w:p>
    <w:tbl>
      <w:tblPr>
        <w:tblStyle w:val="Grilledetableauclaire"/>
        <w:tblW w:w="0" w:type="auto"/>
        <w:tblLook w:val="0400" w:firstRow="0" w:lastRow="0" w:firstColumn="0" w:lastColumn="0" w:noHBand="0" w:noVBand="1"/>
      </w:tblPr>
      <w:tblGrid>
        <w:gridCol w:w="2547"/>
        <w:gridCol w:w="4788"/>
      </w:tblGrid>
      <w:tr>
        <w:tc>
          <w:tcPr>
            <w:tcW w:w="2547" w:type="dxa"/>
          </w:tcPr>
          <w:p>
            <w:pPr>
              <w:rPr>
                <w:rFonts w:eastAsiaTheme="minorEastAsia"/>
              </w:rPr>
            </w:pPr>
            <w:r>
              <w:rPr>
                <w:rFonts w:eastAsiaTheme="minorEastAsia"/>
              </w:rPr>
              <w:t>La rencontre entre les molécules</w:t>
            </w:r>
          </w:p>
        </w:tc>
        <w:tc>
          <w:tcPr>
            <w:tcW w:w="4788" w:type="dxa"/>
          </w:tcPr>
          <w:p>
            <w:pPr>
              <w:rPr>
                <w:rFonts w:eastAsiaTheme="minorEastAsia"/>
              </w:rPr>
            </w:pPr>
            <w:r>
              <w:rPr>
                <w:rFonts w:eastAsiaTheme="minorEastAsia"/>
              </w:rPr>
              <w:t>La vitesse de collision et ainsi permettre de passer la barrière que constitue l’énergie d’activation.</w:t>
            </w:r>
          </w:p>
        </w:tc>
      </w:tr>
    </w:tbl>
    <w:p>
      <w:pPr>
        <w:rPr>
          <w:rFonts w:eastAsiaTheme="minorEastAsia"/>
        </w:rPr>
      </w:pPr>
      <w:r>
        <w:rPr>
          <w:rFonts w:eastAsiaTheme="minorEastAsia"/>
          <w:u w:val="single"/>
        </w:rPr>
        <w:t>Rmq :</w:t>
      </w:r>
      <w:r>
        <w:rPr>
          <w:rFonts w:eastAsiaTheme="minorEastAsia"/>
        </w:rPr>
        <w:t xml:space="preserve"> Cela revient à augmenter la probabilité que la réaction est lieu.</w:t>
      </w:r>
    </w:p>
    <w:p>
      <w:pPr>
        <w:rPr>
          <w:rFonts w:eastAsiaTheme="minorEastAsia"/>
        </w:rPr>
      </w:pPr>
      <w:r>
        <w:rPr>
          <w:rFonts w:eastAsiaTheme="minorEastAsia"/>
        </w:rPr>
        <w:t xml:space="preserve">Vitesse de disparition </w:t>
      </w:r>
      <m:oMath>
        <m:r>
          <w:rPr>
            <w:rFonts w:ascii="Cambria Math" w:eastAsiaTheme="minorEastAsia" w:hAnsi="Cambria Math"/>
          </w:rPr>
          <m:t>2A→B</m:t>
        </m:r>
      </m:oMath>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Vitesse</w:t>
            </w:r>
          </w:p>
        </w:tc>
        <w:tc>
          <w:tcPr>
            <w:tcW w:w="3668" w:type="dxa"/>
          </w:tcPr>
          <w:p>
            <w:pPr>
              <w:rPr>
                <w:rFonts w:eastAsiaTheme="minorEastAsia"/>
              </w:rPr>
            </w:pPr>
            <w:r>
              <w:rPr>
                <w:rFonts w:eastAsiaTheme="minorEastAsia"/>
              </w:rPr>
              <w:t>Loi de vitesse</w:t>
            </w:r>
          </w:p>
        </w:tc>
      </w:tr>
      <w:tr>
        <w:trPr>
          <w:trHeight w:val="608"/>
        </w:trPr>
        <w:tc>
          <w:tcPr>
            <w:tcW w:w="3667" w:type="dxa"/>
          </w:tcPr>
          <w:p>
            <w:pPr>
              <w:rPr>
                <w:rFonts w:eastAsiaTheme="minorEastAsia"/>
                <w:bCs/>
              </w:rPr>
            </w:pPr>
            <m:oMathPara>
              <m:oMath>
                <m:r>
                  <w:rPr>
                    <w:rFonts w:ascii="Cambria Math" w:eastAsiaTheme="minorEastAsia" w:hAnsi="Cambria Math"/>
                  </w:rPr>
                  <m:t>v=</m:t>
                </m:r>
                <m:f>
                  <m:fPr>
                    <m:ctrlPr>
                      <w:rPr>
                        <w:rFonts w:ascii="Cambria Math" w:eastAsiaTheme="minorEastAsia" w:hAnsi="Cambria Math"/>
                        <w:bCs/>
                        <w:i/>
                      </w:rPr>
                    </m:ctrlPr>
                  </m:fPr>
                  <m:num>
                    <m:r>
                      <w:rPr>
                        <w:rFonts w:ascii="Cambria Math" w:eastAsiaTheme="minorEastAsia" w:hAnsi="Cambria Math"/>
                      </w:rPr>
                      <m:t>d[B]</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d[A]</m:t>
                    </m:r>
                  </m:num>
                  <m:den>
                    <m:r>
                      <w:rPr>
                        <w:rFonts w:ascii="Cambria Math" w:eastAsiaTheme="minorEastAsia" w:hAnsi="Cambria Math"/>
                      </w:rPr>
                      <m:t>2×dt</m:t>
                    </m:r>
                  </m:den>
                </m:f>
              </m:oMath>
            </m:oMathPara>
          </w:p>
        </w:tc>
        <w:tc>
          <w:tcPr>
            <w:tcW w:w="3668" w:type="dxa"/>
          </w:tcPr>
          <w:p>
            <w:pPr>
              <w:rPr>
                <w:rFonts w:eastAsiaTheme="minorEastAsia"/>
              </w:rPr>
            </w:pPr>
            <m:oMathPara>
              <m:oMath>
                <m:r>
                  <w:rPr>
                    <w:rFonts w:ascii="Cambria Math" w:eastAsiaTheme="minorEastAsia" w:hAnsi="Cambria Math"/>
                  </w:rPr>
                  <m:t>v=k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tc>
      </w:tr>
    </w:tbl>
    <w:p>
      <w:pPr>
        <w:rPr>
          <w:rFonts w:eastAsiaTheme="minorEastAsia"/>
        </w:rPr>
      </w:pPr>
      <w:r>
        <w:rPr>
          <w:rFonts w:eastAsiaTheme="minorEastAsia"/>
        </w:rPr>
        <w:t>La vitesse de disparition de A est deux fois plus rapide que celle de B.</w:t>
      </w:r>
    </w:p>
    <w:p>
      <w:pPr>
        <w:rPr>
          <w:rFonts w:eastAsiaTheme="minorEastAsia"/>
        </w:rPr>
      </w:pPr>
      <w:r>
        <w:rPr>
          <w:rStyle w:val="Accentuation"/>
        </w:rPr>
        <w:t>Réaction élémentaire</w:t>
      </w:r>
      <w:r>
        <w:rPr>
          <w:rFonts w:eastAsiaTheme="minorEastAsia"/>
        </w:rPr>
        <w:t xml:space="preserve"> réaction en une seule étape.</w:t>
      </w:r>
    </w:p>
    <w:p>
      <w:pPr>
        <w:rPr>
          <w:rFonts w:eastAsiaTheme="minorEastAsia"/>
        </w:rPr>
      </w:pPr>
      <w:r>
        <w:rPr>
          <w:rStyle w:val="Accentuation"/>
        </w:rPr>
        <w:t>Molarité</w:t>
      </w:r>
      <w:r>
        <w:rPr>
          <w:rFonts w:eastAsiaTheme="minorEastAsia"/>
        </w:rPr>
        <w:t xml:space="preserve"> nombre d’entités chimiques (molécules, ions, radicaux) qui participent à une réaction élémentaire.</w:t>
      </w:r>
    </w:p>
    <w:p>
      <w:pPr>
        <w:rPr>
          <w:rFonts w:eastAsiaTheme="minorEastAsia"/>
        </w:rPr>
      </w:pPr>
      <w:r>
        <w:rPr>
          <w:rStyle w:val="Accentuation"/>
        </w:rPr>
        <w:t>Ordre partielle</w:t>
      </w:r>
      <w:r>
        <w:rPr>
          <w:rFonts w:eastAsiaTheme="minorEastAsia"/>
        </w:rPr>
        <w:t xml:space="preserve"> nombre de molécules de chaque espèce.</w:t>
      </w:r>
    </w:p>
    <w:p>
      <w:pPr>
        <w:rPr>
          <w:rFonts w:eastAsiaTheme="minorEastAsia"/>
        </w:rPr>
      </w:pPr>
      <w:r>
        <w:rPr>
          <w:rStyle w:val="Accentuation"/>
        </w:rPr>
        <w:t>Ordre de réaction</w:t>
      </w:r>
      <w:r>
        <w:rPr>
          <w:rFonts w:eastAsiaTheme="minorEastAsia"/>
        </w:rPr>
        <w:t xml:space="preserve"> évolution de la concentration de l’espèce.</w:t>
      </w:r>
    </w:p>
    <w:p>
      <w:pPr>
        <w:rPr>
          <w:rFonts w:eastAsiaTheme="minorEastAsia"/>
        </w:rPr>
      </w:pPr>
      <w:r>
        <w:rPr>
          <w:rFonts w:eastAsiaTheme="minorEastAsia"/>
        </w:rPr>
        <w:t>Calcule de la vitesse en fonction de l’</w:t>
      </w:r>
    </w:p>
    <w:p>
      <w:pPr>
        <w:rPr>
          <w:rFonts w:eastAsiaTheme="minorEastAsia"/>
        </w:rPr>
      </w:pPr>
      <m:oMathPara>
        <m:oMath>
          <m:r>
            <w:rPr>
              <w:rFonts w:ascii="Cambria Math" w:eastAsiaTheme="minorEastAsia" w:hAnsi="Cambria Math"/>
            </w:rPr>
            <m:t>A+B→C</m:t>
          </m:r>
        </m:oMath>
      </m:oMathPara>
    </w:p>
    <w:p>
      <w:pPr>
        <w:rPr>
          <w:rFonts w:eastAsiaTheme="minorEastAsia"/>
        </w:rPr>
      </w:pPr>
      <w:r>
        <w:rPr>
          <w:rFonts w:eastAsiaTheme="minorEastAsia"/>
        </w:rPr>
        <w:t xml:space="preserve">La vitesse est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dt</m:t>
            </m:r>
          </m:den>
        </m:f>
      </m:oMath>
    </w:p>
    <w:tbl>
      <w:tblPr>
        <w:tblStyle w:val="Grilledetableauclaire"/>
        <w:tblW w:w="5000" w:type="pct"/>
        <w:tblLook w:val="0420" w:firstRow="1" w:lastRow="0" w:firstColumn="0" w:lastColumn="0" w:noHBand="0" w:noVBand="1"/>
      </w:tblPr>
      <w:tblGrid>
        <w:gridCol w:w="846"/>
        <w:gridCol w:w="2126"/>
        <w:gridCol w:w="1701"/>
        <w:gridCol w:w="2662"/>
      </w:tblGrid>
      <w:tr>
        <w:trPr>
          <w:cnfStyle w:val="100000000000" w:firstRow="1" w:lastRow="0" w:firstColumn="0" w:lastColumn="0" w:oddVBand="0" w:evenVBand="0" w:oddHBand="0" w:evenHBand="0" w:firstRowFirstColumn="0" w:firstRowLastColumn="0" w:lastRowFirstColumn="0" w:lastRowLastColumn="0"/>
        </w:trPr>
        <w:tc>
          <w:tcPr>
            <w:tcW w:w="846" w:type="dxa"/>
          </w:tcPr>
          <w:p>
            <w:pPr>
              <w:jc w:val="center"/>
              <w:rPr>
                <w:rFonts w:eastAsiaTheme="minorEastAsia"/>
              </w:rPr>
            </w:pPr>
            <w:r>
              <w:rPr>
                <w:rFonts w:eastAsiaTheme="minorEastAsia"/>
              </w:rPr>
              <w:t>Ordre</w:t>
            </w:r>
          </w:p>
        </w:tc>
        <w:tc>
          <w:tcPr>
            <w:tcW w:w="3827" w:type="dxa"/>
            <w:gridSpan w:val="2"/>
          </w:tcPr>
          <w:p>
            <w:pPr>
              <w:jc w:val="center"/>
              <w:rPr>
                <w:rFonts w:eastAsiaTheme="minorEastAsia"/>
              </w:rPr>
            </w:pPr>
            <w:r>
              <w:rPr>
                <w:rFonts w:eastAsiaTheme="minorEastAsia"/>
              </w:rPr>
              <w:t>Loi de vitesse</w:t>
            </w:r>
          </w:p>
        </w:tc>
        <w:tc>
          <w:tcPr>
            <w:tcW w:w="2662" w:type="dxa"/>
          </w:tcPr>
          <w:p>
            <w:pPr>
              <w:jc w:val="center"/>
              <w:rPr>
                <w:rFonts w:eastAsiaTheme="minorEastAsia"/>
              </w:rPr>
            </w:pPr>
            <w:r>
              <w:rPr>
                <w:rFonts w:eastAsiaTheme="minorEastAsia"/>
              </w:rPr>
              <w:t>Loi de la vitesse intégrée</w:t>
            </w:r>
          </w:p>
        </w:tc>
      </w:tr>
      <w:tr>
        <w:tc>
          <w:tcPr>
            <w:tcW w:w="846" w:type="dxa"/>
          </w:tcPr>
          <w:p>
            <w:pPr>
              <w:jc w:val="center"/>
              <w:rPr>
                <w:rFonts w:eastAsiaTheme="minorEastAsia"/>
              </w:rPr>
            </w:pPr>
            <w:r>
              <w:rPr>
                <w:rFonts w:eastAsiaTheme="minorEastAsia"/>
              </w:rPr>
              <w:t>0</w:t>
            </w:r>
          </w:p>
        </w:tc>
        <w:tc>
          <w:tcPr>
            <w:tcW w:w="2126" w:type="dxa"/>
          </w:tcPr>
          <w:p>
            <w:pPr>
              <w:jc w:val="center"/>
              <w:rPr>
                <w:rFonts w:eastAsiaTheme="minorEastAsia"/>
              </w:rPr>
            </w:pPr>
            <m:oMathPara>
              <m:oMath>
                <m:r>
                  <m:rPr>
                    <m:sty m:val="bi"/>
                  </m:rPr>
                  <w:rPr>
                    <w:rFonts w:ascii="Cambria Math" w:eastAsiaTheme="minorEastAsia" w:hAnsi="Cambria Math"/>
                  </w:rPr>
                  <m:t>v=k</m:t>
                </m:r>
              </m:oMath>
            </m:oMathPara>
          </w:p>
        </w:tc>
        <w:tc>
          <w:tcPr>
            <w:tcW w:w="1701" w:type="dxa"/>
          </w:tcPr>
          <w:p>
            <w:pPr>
              <w:jc w:val="center"/>
              <w:rPr>
                <w:rFonts w:eastAsiaTheme="minorEastAsia"/>
              </w:rPr>
            </w:pPr>
            <m:oMathPara>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=-k.dt</m:t>
                </m:r>
              </m:oMath>
            </m:oMathPara>
          </w:p>
        </w:tc>
        <w:tc>
          <w:tcPr>
            <w:tcW w:w="2662" w:type="dxa"/>
          </w:tcPr>
          <w:p>
            <w:pPr>
              <w:jc w:val="center"/>
              <w:rPr>
                <w:rFonts w:eastAsiaTheme="minorEastAsia"/>
              </w:rPr>
            </w:pPr>
            <m:oMathPara>
              <m:oMath>
                <m:r>
                  <w:rPr>
                    <w:rFonts w:ascii="Cambria Math" w:eastAsiaTheme="minorEastAsia" w:hAnsi="Cambria Math"/>
                  </w:rPr>
                  <m:t>A=-kt</m:t>
                </m:r>
              </m:oMath>
            </m:oMathPara>
          </w:p>
        </w:tc>
      </w:tr>
      <w:tr>
        <w:tc>
          <w:tcPr>
            <w:tcW w:w="846" w:type="dxa"/>
          </w:tcPr>
          <w:p>
            <w:pPr>
              <w:jc w:val="center"/>
              <w:rPr>
                <w:rFonts w:eastAsia="Calibri" w:cs="Times New Roman"/>
              </w:rPr>
            </w:pPr>
            <w:r>
              <w:rPr>
                <w:rFonts w:eastAsia="Calibri" w:cs="Times New Roman"/>
              </w:rPr>
              <w:t>1</w:t>
            </w:r>
          </w:p>
        </w:tc>
        <w:tc>
          <w:tcPr>
            <w:tcW w:w="2126" w:type="dxa"/>
          </w:tcPr>
          <w:p>
            <w:pPr>
              <w:jc w:val="center"/>
              <w:rPr>
                <w:rFonts w:eastAsiaTheme="minorEastAsia"/>
                <w:b/>
                <w:bCs/>
              </w:rPr>
            </w:pPr>
            <m:oMathPara>
              <m:oMath>
                <m:r>
                  <m:rPr>
                    <m:sty m:val="bi"/>
                  </m:rPr>
                  <w:rPr>
                    <w:rFonts w:ascii="Cambria Math" w:eastAsiaTheme="minorEastAsia" w:hAnsi="Cambria Math"/>
                  </w:rPr>
                  <m:t>v=k</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oMath>
            </m:oMathPara>
          </w:p>
        </w:tc>
        <w:tc>
          <w:tcPr>
            <w:tcW w:w="1701" w:type="dxa"/>
          </w:tcPr>
          <w:p>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[A]</m:t>
                    </m:r>
                  </m:den>
                </m:f>
                <m:r>
                  <w:rPr>
                    <w:rFonts w:ascii="Cambria Math" w:eastAsiaTheme="minorEastAsia" w:hAnsi="Cambria Math"/>
                  </w:rPr>
                  <m:t>=-k.dt</m:t>
                </m:r>
              </m:oMath>
            </m:oMathPara>
          </w:p>
        </w:tc>
        <w:tc>
          <w:tcPr>
            <w:tcW w:w="2662" w:type="dxa"/>
          </w:tcPr>
          <w:p>
            <w:pPr>
              <w:jc w:val="center"/>
              <w:rPr>
                <w:rFonts w:eastAsia="Calibri" w:cs="Times New Roman"/>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tc>
      </w:tr>
      <w:tr>
        <w:trPr>
          <w:trHeight w:val="705"/>
        </w:trPr>
        <w:tc>
          <w:tcPr>
            <w:tcW w:w="846" w:type="dxa"/>
          </w:tcPr>
          <w:p>
            <w:pPr>
              <w:jc w:val="center"/>
              <w:rPr>
                <w:rFonts w:eastAsia="Calibri" w:cs="Times New Roman"/>
              </w:rPr>
            </w:pPr>
            <w:r>
              <w:rPr>
                <w:rFonts w:eastAsia="Calibri" w:cs="Times New Roman"/>
              </w:rPr>
              <w:t>2</w:t>
            </w:r>
          </w:p>
        </w:tc>
        <w:tc>
          <w:tcPr>
            <w:tcW w:w="2126" w:type="dxa"/>
          </w:tcPr>
          <w:p>
            <w:pPr>
              <w:jc w:val="center"/>
              <w:rPr>
                <w:rFonts w:eastAsia="Calibri" w:cs="Times New Roman"/>
                <w:b/>
              </w:rPr>
            </w:pPr>
            <m:oMathPara>
              <m:oMath>
                <m:r>
                  <m:rPr>
                    <m:sty m:val="bi"/>
                  </m:rPr>
                  <w:rPr>
                    <w:rFonts w:ascii="Cambria Math" w:eastAsiaTheme="minorEastAsia" w:hAnsi="Cambria Math"/>
                  </w:rPr>
                  <m:t>v=k</m:t>
                </m:r>
                <m:sSup>
                  <m:sSupPr>
                    <m:ctrlPr>
                      <w:rPr>
                        <w:rFonts w:ascii="Cambria Math" w:eastAsiaTheme="minorEastAsia" w:hAnsi="Cambria Math"/>
                        <w:b/>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A</m:t>
                        </m:r>
                      </m:e>
                    </m:d>
                  </m:e>
                  <m:sup>
                    <m:r>
                      <m:rPr>
                        <m:sty m:val="bi"/>
                      </m:rPr>
                      <w:rPr>
                        <w:rFonts w:ascii="Cambria Math" w:eastAsiaTheme="minorEastAsia" w:hAnsi="Cambria Math"/>
                      </w:rPr>
                      <m:t>2</m:t>
                    </m:r>
                  </m:sup>
                </m:sSup>
              </m:oMath>
            </m:oMathPara>
          </w:p>
        </w:tc>
        <w:tc>
          <w:tcPr>
            <w:tcW w:w="1701" w:type="dxa"/>
          </w:tcPr>
          <w:p>
            <w:pPr>
              <w:jc w:val="center"/>
              <w:rPr>
                <w:rFonts w:eastAsia="Times New Roman"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den>
                </m:f>
                <m:r>
                  <w:rPr>
                    <w:rFonts w:ascii="Cambria Math" w:eastAsiaTheme="minorEastAsia" w:hAnsi="Cambria Math"/>
                  </w:rPr>
                  <m:t>=k.dt</m:t>
                </m:r>
              </m:oMath>
            </m:oMathPara>
          </w:p>
        </w:tc>
        <w:tc>
          <w:tcPr>
            <w:tcW w:w="2662" w:type="dxa"/>
          </w:tcPr>
          <w:p>
            <w:pPr>
              <w:jc w:val="center"/>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A</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0</m:t>
                        </m:r>
                      </m:sub>
                    </m:sSub>
                  </m:den>
                </m:f>
                <m:r>
                  <w:rPr>
                    <w:rFonts w:ascii="Cambria Math" w:eastAsia="Times New Roman" w:hAnsi="Cambria Math" w:cs="Times New Roman"/>
                  </w:rPr>
                  <m:t>+kt</m:t>
                </m:r>
              </m:oMath>
            </m:oMathPara>
          </w:p>
        </w:tc>
      </w:tr>
    </w:tbl>
    <w:p>
      <w:pPr>
        <w:rPr>
          <w:rFonts w:eastAsiaTheme="minorEastAsia"/>
          <w:u w:val="single"/>
        </w:rPr>
      </w:pPr>
      <m:oMath>
        <m:r>
          <m:rPr>
            <m:sty m:val="bi"/>
          </m:rPr>
          <w:rPr>
            <w:rFonts w:ascii="Cambria Math" w:eastAsiaTheme="minorEastAsia" w:hAnsi="Cambria Math"/>
          </w:rPr>
          <m:t>k</m:t>
        </m:r>
      </m:oMath>
      <w:r>
        <w:rPr>
          <w:rFonts w:eastAsiaTheme="minorEastAsia"/>
        </w:rPr>
        <w:t xml:space="preserve"> </w:t>
      </w:r>
      <w:r>
        <w:rPr>
          <w:rFonts w:eastAsia="Calibri" w:cs="Times New Roman"/>
        </w:rPr>
        <w:t>constante de vitesse</w:t>
      </w:r>
    </w:p>
    <w:p>
      <w:pPr>
        <w:rPr>
          <w:rFonts w:eastAsiaTheme="minorEastAsia"/>
        </w:rPr>
      </w:pPr>
      <w:r>
        <w:rPr>
          <w:rFonts w:eastAsiaTheme="minorEastAsia"/>
          <w:u w:val="single"/>
        </w:rPr>
        <w:t>NB :</w:t>
      </w:r>
      <w:r>
        <w:rPr>
          <w:rFonts w:eastAsiaTheme="minorEastAsia"/>
        </w:rPr>
        <w:t xml:space="preserve"> </w:t>
      </w:r>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r>
              <w:rPr>
                <w:rFonts w:ascii="Cambria Math" w:eastAsiaTheme="minorEastAsia" w:hAnsi="Cambria Math"/>
              </w:rPr>
              <m:t>A</m:t>
            </m:r>
          </m:sup>
          <m:e>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[A]</m:t>
                </m:r>
              </m:den>
            </m:f>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r>
              <w:rPr>
                <w:rFonts w:ascii="Cambria Math" w:eastAsiaTheme="minorEastAsia" w:hAnsi="Cambria Math"/>
              </w:rPr>
              <m:t>A</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func>
        <m:r>
          <w:rPr>
            <w:rFonts w:ascii="Cambria Math" w:eastAsiaTheme="minorEastAsia" w:hAnsi="Cambria Math"/>
          </w:rPr>
          <m:t>=-kdt⟺A=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p>
    <w:p>
      <w:pPr>
        <w:rPr>
          <w:rFonts w:eastAsiaTheme="minorEastAsia"/>
        </w:rPr>
      </w:pPr>
      <w:r>
        <w:rPr>
          <w:rFonts w:eastAsiaTheme="minorEastAsia"/>
          <w:u w:val="single"/>
        </w:rPr>
        <w:t>Rmq :</w:t>
      </w:r>
      <w:r>
        <w:rPr>
          <w:rFonts w:eastAsiaTheme="minorEastAsia"/>
        </w:rPr>
        <w:t xml:space="preserve"> pour tracer le graphique, on peut linéariser en utilisant  </w:t>
      </w:r>
      <m:oMath>
        <m:r>
          <m:rPr>
            <m:sty m:val="p"/>
          </m:rPr>
          <w:rPr>
            <w:rFonts w:ascii="Cambria Math" w:eastAsiaTheme="minorEastAsia" w:hAnsi="Cambria Math"/>
          </w:rPr>
          <m:t>ln⁡</m:t>
        </m:r>
        <m:r>
          <w:rPr>
            <w:rFonts w:ascii="Cambria Math" w:eastAsiaTheme="minorEastAsia" w:hAnsi="Cambria Math"/>
          </w:rPr>
          <m:t>(A)</m:t>
        </m:r>
        <m:r>
          <m:rPr>
            <m:sty m:val="p"/>
          </m:rPr>
          <w:rPr>
            <w:rFonts w:ascii="Cambria Math" w:eastAsiaTheme="minorEastAsia" w:hAnsi="Cambria Math"/>
          </w:rPr>
          <w:br/>
        </m:r>
      </m:oMath>
      <w:r>
        <w:rPr>
          <w:rFonts w:eastAsiaTheme="minorEastAsia"/>
        </w:rPr>
        <w:t xml:space="preserve">Demi-temps de vie, c’est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2</m:t>
            </m:r>
          </m:den>
        </m:f>
      </m:oMath>
    </w:p>
    <w:p>
      <w:r>
        <w:t>Deux méthodes pour déterminer l’ordre d’une réaction :</w:t>
      </w:r>
    </w:p>
    <w:p>
      <w:pPr>
        <w:pStyle w:val="Paragraphedeliste"/>
        <w:numPr>
          <w:ilvl w:val="0"/>
          <w:numId w:val="36"/>
        </w:numPr>
      </w:pPr>
      <w:r>
        <w:t>Intégrale. On suppose l’ordre de la réaction et on représente la forme linéaire pour chaque ordre hypothétique, l’ordre réel correspondra au graphique qui trace une droite.</w:t>
      </w:r>
    </w:p>
    <w:p>
      <w:pPr>
        <w:pStyle w:val="Paragraphedeliste"/>
        <w:numPr>
          <w:ilvl w:val="0"/>
          <w:numId w:val="36"/>
        </w:numPr>
      </w:pPr>
      <w:r>
        <w:t>Différentielle (linéariser la vitesse et déterminer l’ordre à partir du coefficent b de la droite).</w:t>
      </w:r>
    </w:p>
    <w:p>
      <w:pPr>
        <w:pStyle w:val="Titre3"/>
      </w:pPr>
      <w:r>
        <w:t>Méthode intégrale</w:t>
      </w:r>
    </w:p>
    <w:p>
      <w:r>
        <w:t xml:space="preserve">On représente </w:t>
      </w:r>
      <m:oMath>
        <m:r>
          <w:rPr>
            <w:rFonts w:ascii="Cambria Math" w:hAnsi="Cambria Math"/>
          </w:rPr>
          <m:t>f(x)=y</m:t>
        </m:r>
      </m:oMath>
      <w:r>
        <w:t xml:space="preserve"> pour chacun des ordres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Ordre</w:t>
            </w:r>
          </w:p>
        </w:tc>
        <w:tc>
          <w:tcPr>
            <w:tcW w:w="1834" w:type="dxa"/>
          </w:tcPr>
          <w:p>
            <w:pPr>
              <w:cnfStyle w:val="100000000000" w:firstRow="1" w:lastRow="0" w:firstColumn="0" w:lastColumn="0" w:oddVBand="0" w:evenVBand="0" w:oddHBand="0" w:evenHBand="0" w:firstRowFirstColumn="0" w:firstRowLastColumn="0" w:lastRowFirstColumn="0" w:lastRowLastColumn="0"/>
            </w:pPr>
            <w:r>
              <w:t>0</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834" w:type="dxa"/>
          </w:tcPr>
          <w:p>
            <w:pPr>
              <w:cnfStyle w:val="100000000000" w:firstRow="1" w:lastRow="0" w:firstColumn="0" w:lastColumn="0" w:oddVBand="0" w:evenVBand="0" w:oddHBand="0" w:evenHBand="0" w:firstRowFirstColumn="0" w:firstRowLastColumn="0" w:lastRowFirstColumn="0" w:lastRowLastColumn="0"/>
            </w:pPr>
            <w:r>
              <w:t>2</w:t>
            </w:r>
          </w:p>
        </w:tc>
      </w:tr>
      <w:tr>
        <w:tc>
          <w:tcPr>
            <w:cnfStyle w:val="001000000000" w:firstRow="0" w:lastRow="0" w:firstColumn="1" w:lastColumn="0" w:oddVBand="0" w:evenVBand="0" w:oddHBand="0" w:evenHBand="0" w:firstRowFirstColumn="0" w:firstRowLastColumn="0" w:lastRowFirstColumn="0" w:lastRowLastColumn="0"/>
            <w:tcW w:w="1833" w:type="dxa"/>
          </w:tcPr>
          <w:p>
            <w:r>
              <w:lastRenderedPageBreak/>
              <w:t>Réprésentation</w:t>
            </w:r>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y=[A]</m:t>
                </m:r>
              </m:oMath>
            </m:oMathPara>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c>
          <w:tcPr>
            <w:tcW w:w="183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[A]</m:t>
                    </m:r>
                  </m:den>
                </m:f>
              </m:oMath>
            </m:oMathPara>
          </w:p>
        </w:tc>
      </w:tr>
    </w:tbl>
    <w:p>
      <w:r>
        <w:t>L’ordre de la réaction correspond à la représentation graphique donnerat une droite.</w:t>
      </w:r>
    </w:p>
    <w:p>
      <w:pPr>
        <w:pStyle w:val="Titre3"/>
      </w:pPr>
      <w:r>
        <w:t>Méthode différentielle</w:t>
      </w:r>
    </w:p>
    <w:p>
      <w:r>
        <w:t>On trace le graphique</w:t>
      </w:r>
      <w:r>
        <w:rPr>
          <w:rFonts w:ascii="Cambria Math" w:hAnsi="Cambria Math"/>
          <w:i/>
        </w:rPr>
        <w:t xml:space="preserve"> </w:t>
      </w:r>
      <m:oMath>
        <m:r>
          <w:rPr>
            <w:rFonts w:ascii="Cambria Math" w:hAnsi="Cambria Math"/>
          </w:rPr>
          <m:t>f</m:t>
        </m:r>
        <m:d>
          <m:dPr>
            <m:ctrlPr>
              <w:rPr>
                <w:rFonts w:ascii="Cambria Math" w:hAnsi="Cambria Math"/>
                <w:i/>
              </w:rPr>
            </m:ctrlPr>
          </m:dPr>
          <m:e>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v</m:t>
            </m:r>
          </m:e>
        </m:func>
      </m:oMath>
    </w:p>
    <w:p>
      <w:pPr>
        <w:rPr>
          <w:rFonts w:ascii="Cambria Math" w:eastAsiaTheme="minorEastAsia" w:hAnsi="Cambria Math"/>
          <w:i/>
        </w:rPr>
      </w:pPr>
      <w:r>
        <w:t xml:space="preserve">Car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oMath>
      <w:r>
        <w:t>. Pour rappel la vitesse est la variation de concentration pour une petite unité de temps :</w:t>
      </w:r>
      <w:r>
        <w:rPr>
          <w:rFonts w:ascii="Cambria Math" w:hAnsi="Cambria Math"/>
          <w:i/>
        </w:rPr>
        <w:t xml:space="preserve"> </w:t>
      </w:r>
      <m:oMath>
        <m:r>
          <w:rPr>
            <w:rFonts w:ascii="Cambria Math" w:hAnsi="Cambria Math"/>
          </w:rPr>
          <m:t>v=-</m:t>
        </m:r>
        <m:f>
          <m:fPr>
            <m:ctrlPr>
              <w:rPr>
                <w:rFonts w:ascii="Cambria Math" w:hAnsi="Cambria Math"/>
                <w:i/>
              </w:rPr>
            </m:ctrlPr>
          </m:fPr>
          <m:num>
            <m:r>
              <w:rPr>
                <w:rFonts w:ascii="Cambria Math" w:hAnsi="Cambria Math"/>
              </w:rPr>
              <m:t>d[A]</m:t>
            </m:r>
          </m:num>
          <m:den>
            <m:r>
              <w:rPr>
                <w:rFonts w:ascii="Cambria Math" w:hAnsi="Cambria Math"/>
              </w:rPr>
              <m:t>dt</m:t>
            </m:r>
          </m:den>
        </m:f>
      </m:oMath>
    </w:p>
    <w:p>
      <w:pPr>
        <w:pStyle w:val="Titre2"/>
      </w:pPr>
      <w:r>
        <w:rPr>
          <w:rFonts w:eastAsiaTheme="minorEastAsia"/>
        </w:rPr>
        <w:t xml:space="preserve">Variation de la vitesse en fonction de la température (et de l’ </w:t>
      </w:r>
      <w:r>
        <w:t>énergie</w:t>
      </w:r>
      <w:r>
        <w:rPr>
          <w:rFonts w:eastAsiaTheme="minorEastAsia"/>
        </w:rPr>
        <w:t xml:space="preserve"> d’activation et la constante de vitesse)</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k=A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5355" w:type="dxa"/>
          </w:tcPr>
          <w:p>
            <w:pPr>
              <w:rPr>
                <w:rFonts w:eastAsiaTheme="minorEastAsia"/>
                <w:b/>
              </w:rPr>
            </w:pPr>
            <m:oMath>
              <m:r>
                <w:rPr>
                  <w:rFonts w:ascii="Cambria Math" w:hAnsi="Cambria Math"/>
                </w:rPr>
                <m:t>k</m:t>
              </m:r>
            </m:oMath>
            <w:r>
              <w:rPr>
                <w:rFonts w:eastAsiaTheme="minorEastAsia"/>
              </w:rPr>
              <w:t xml:space="preserve"> </w:t>
            </w:r>
            <w:r>
              <w:t>constante de vitesse</w:t>
            </w:r>
          </w:p>
          <w:p>
            <w:pPr>
              <w:rPr>
                <w:rFonts w:eastAsiaTheme="minorEastAsia"/>
                <w:b/>
              </w:rPr>
            </w:pPr>
            <m:oMath>
              <m:r>
                <w:rPr>
                  <w:rFonts w:ascii="Cambria Math" w:hAnsi="Cambria Math"/>
                </w:rPr>
                <m:t>A</m:t>
              </m:r>
            </m:oMath>
            <w:r>
              <w:rPr>
                <w:rFonts w:eastAsiaTheme="minorEastAsia"/>
              </w:rPr>
              <w:t xml:space="preserve"> </w:t>
            </w:r>
            <w:r>
              <w:t xml:space="preserve">facteur de fréquence (même unité que </w:t>
            </w:r>
            <m:oMath>
              <m:r>
                <w:rPr>
                  <w:rFonts w:ascii="Cambria Math" w:hAnsi="Cambria Math"/>
                </w:rPr>
                <m:t>k</m:t>
              </m:r>
            </m:oMath>
            <w:r>
              <w:t>)</w:t>
            </w:r>
          </w:p>
          <w:p>
            <w:pPr>
              <w:rPr>
                <w:rFonts w:eastAsiaTheme="minorEastAsia"/>
                <w:b/>
              </w:rPr>
            </w:pPr>
            <m:oMath>
              <m:sSub>
                <m:sSubPr>
                  <m:ctrlPr>
                    <w:rPr>
                      <w:rFonts w:ascii="Cambria Math" w:hAnsi="Cambria Math"/>
                      <w:b/>
                      <w:i/>
                    </w:rPr>
                  </m:ctrlPr>
                </m:sSubPr>
                <m:e>
                  <m:r>
                    <w:rPr>
                      <w:rFonts w:ascii="Cambria Math" w:hAnsi="Cambria Math"/>
                    </w:rPr>
                    <m:t>E</m:t>
                  </m:r>
                </m:e>
                <m:sub>
                  <m:r>
                    <w:rPr>
                      <w:rFonts w:ascii="Cambria Math" w:hAnsi="Cambria Math"/>
                    </w:rPr>
                    <m:t>a</m:t>
                  </m:r>
                </m:sub>
              </m:sSub>
            </m:oMath>
            <w:r>
              <w:rPr>
                <w:rFonts w:eastAsiaTheme="minorEastAsia"/>
              </w:rPr>
              <w:t xml:space="preserve"> </w:t>
            </w:r>
            <w:r>
              <w:t>énergie d’activation j.mol</w:t>
            </w:r>
            <w:r>
              <w:rPr>
                <w:vertAlign w:val="superscript"/>
              </w:rPr>
              <w:t>-1</w:t>
            </w:r>
          </w:p>
          <w:p>
            <m:oMath>
              <m:r>
                <m:rPr>
                  <m:sty m:val="bi"/>
                </m:rPr>
                <w:rPr>
                  <w:rFonts w:ascii="Cambria Math" w:eastAsiaTheme="minorEastAsia" w:hAnsi="Cambria Math"/>
                </w:rPr>
                <m:t>R</m:t>
              </m:r>
            </m:oMath>
            <w:r>
              <w:rPr>
                <w:rFonts w:eastAsiaTheme="minorEastAsia"/>
                <w:b/>
              </w:rPr>
              <w:t xml:space="preserve"> </w:t>
            </w:r>
            <w:r>
              <w:t>constante des gaz parfaits 8,314 j.K</w:t>
            </w:r>
            <w:r>
              <w:rPr>
                <w:vertAlign w:val="superscript"/>
              </w:rPr>
              <w:t>-1</w:t>
            </w:r>
            <w:r>
              <w:t>.mol</w:t>
            </w:r>
            <w:r>
              <w:rPr>
                <w:vertAlign w:val="superscript"/>
              </w:rPr>
              <w:t>-1</w:t>
            </w:r>
          </w:p>
          <w:p>
            <w:pPr>
              <w:rPr>
                <w:rFonts w:eastAsiaTheme="minorEastAsia"/>
              </w:rPr>
            </w:pPr>
            <m:oMath>
              <m:r>
                <m:rPr>
                  <m:sty m:val="bi"/>
                </m:rPr>
                <w:rPr>
                  <w:rFonts w:ascii="Cambria Math" w:eastAsiaTheme="minorEastAsia" w:hAnsi="Cambria Math"/>
                </w:rPr>
                <m:t>T</m:t>
              </m:r>
            </m:oMath>
            <w:r>
              <w:rPr>
                <w:rFonts w:eastAsiaTheme="minorEastAsia"/>
                <w:b/>
              </w:rPr>
              <w:t xml:space="preserve"> </w:t>
            </w:r>
            <w:r>
              <w:t>température en K</w:t>
            </w:r>
          </w:p>
        </w:tc>
      </w:tr>
    </w:tbl>
    <w:p>
      <w:r>
        <w:rPr>
          <w:u w:val="single"/>
        </w:rPr>
        <w:t>Rmq :</w:t>
      </w:r>
      <w:r>
        <w:t xml:space="preserve"> lorsque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m:t>
            </m:r>
          </m:sub>
        </m:sSub>
      </m:oMath>
      <w:r>
        <w:t xml:space="preserve">augmente, </w:t>
      </w:r>
      <m:oMath>
        <m:r>
          <w:rPr>
            <w:rFonts w:ascii="Cambria Math" w:hAnsi="Cambria Math"/>
          </w:rPr>
          <m:t>k</m:t>
        </m:r>
      </m:oMath>
      <w:r>
        <w:t xml:space="preserve"> diminue et lorsque </w:t>
      </w:r>
      <m:oMath>
        <m:r>
          <w:rPr>
            <w:rFonts w:ascii="Cambria Math" w:hAnsi="Cambria Math"/>
          </w:rPr>
          <m:t>T</m:t>
        </m:r>
      </m:oMath>
      <w:r>
        <w:t xml:space="preserve"> augmente </w:t>
      </w:r>
      <m:oMath>
        <m:r>
          <w:rPr>
            <w:rFonts w:ascii="Cambria Math" w:hAnsi="Cambria Math"/>
          </w:rPr>
          <m:t>k</m:t>
        </m:r>
      </m:oMath>
      <w:r>
        <w:t xml:space="preserve"> augmente. Plus </w:t>
      </w:r>
      <m:oMath>
        <m:r>
          <w:rPr>
            <w:rFonts w:ascii="Cambria Math" w:hAnsi="Cambria Math"/>
          </w:rPr>
          <m:t>k</m:t>
        </m:r>
      </m:oMath>
      <w:r>
        <w:t xml:space="preserve"> est grand plus la réaction est rapide.</w:t>
      </w:r>
    </w:p>
    <w:p>
      <w:pPr>
        <w:pStyle w:val="Titre3"/>
      </w:pPr>
      <w:r>
        <w:t xml:space="preserve">Linéarisation et représentation graphique </w:t>
      </w:r>
    </w:p>
    <w:p>
      <w:pPr>
        <w:rPr>
          <w:rFonts w:eastAsiaTheme="minorEastAsia"/>
        </w:rPr>
      </w:pPr>
      <m:oMathPara>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oMath>
      </m:oMathPara>
    </w:p>
    <w:p>
      <w:r>
        <w:rPr>
          <w:u w:val="single"/>
        </w:rPr>
        <w:t>Rmq :</w:t>
      </w:r>
      <w:r>
        <w:t xml:space="preserve"> L’énergie d’activation correspond alors au coefficent de la droite.</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rPr>
              <w:t>Méthode : Pour vérifier si la réaction suit la loi de la variation de la température, on trâce sa représentation graphique et si c’est une droite alors la réaction suit bien cette loi.</w:t>
            </w:r>
          </w:p>
        </w:tc>
      </w:tr>
    </w:tbl>
    <w:p>
      <w:pPr>
        <w:pStyle w:val="Titre1"/>
        <w:rPr>
          <w:rFonts w:eastAsiaTheme="minorEastAsia"/>
        </w:rPr>
      </w:pPr>
      <w:r>
        <w:rPr>
          <w:rFonts w:eastAsiaTheme="minorEastAsia"/>
        </w:rPr>
        <w:t>La dissolution</w:t>
      </w:r>
    </w:p>
    <w:p>
      <w:pPr>
        <w:rPr>
          <w:rFonts w:eastAsiaTheme="minorEastAsia"/>
        </w:rPr>
      </w:pPr>
      <w:r>
        <w:rPr>
          <w:rFonts w:eastAsiaTheme="minorEastAsia"/>
        </w:rPr>
        <w:t>La dissolution est une réaction chimique qui fait intervenir deux phénomènes :</w:t>
      </w:r>
    </w:p>
    <w:p>
      <w:pPr>
        <w:pStyle w:val="Paragraphedeliste"/>
        <w:numPr>
          <w:ilvl w:val="0"/>
          <w:numId w:val="29"/>
        </w:numPr>
        <w:rPr>
          <w:rFonts w:eastAsiaTheme="minorEastAsia"/>
        </w:rPr>
      </w:pPr>
      <w:r>
        <w:rPr>
          <w:rFonts w:eastAsiaTheme="minorEastAsia"/>
        </w:rPr>
        <w:t>Dissociation polarité des molécules du solvant.</w:t>
      </w:r>
    </w:p>
    <w:p>
      <w:pPr>
        <w:pStyle w:val="Paragraphedeliste"/>
        <w:numPr>
          <w:ilvl w:val="0"/>
          <w:numId w:val="29"/>
        </w:numPr>
        <w:rPr>
          <w:rFonts w:eastAsiaTheme="minorEastAsia"/>
        </w:rPr>
      </w:pPr>
      <w:r>
        <w:rPr>
          <w:rFonts w:eastAsiaTheme="minorEastAsia"/>
        </w:rPr>
        <w:t>Solvatation stabilisation des espèces formées nombre de molécules autour des ions. Dispersion taille et de la charge.</w:t>
      </w:r>
    </w:p>
    <w:p>
      <w:pPr>
        <w:pStyle w:val="Titre1"/>
        <w:rPr>
          <w:rFonts w:eastAsiaTheme="minorEastAsia"/>
        </w:rPr>
      </w:pPr>
      <w:r>
        <w:rPr>
          <w:rFonts w:eastAsiaTheme="minorEastAsia"/>
        </w:rPr>
        <w:t>La catalyse</w:t>
      </w:r>
    </w:p>
    <w:p>
      <w:pPr>
        <w:rPr>
          <w:rFonts w:eastAsiaTheme="minorEastAsia"/>
        </w:rPr>
      </w:pPr>
      <w:r>
        <w:rPr>
          <w:rFonts w:eastAsiaTheme="minorEastAsia"/>
        </w:rPr>
        <w:t>Il existe deux types de catalyse en fonction de la solubilité de celui-ci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Homogène (soluble)</w:t>
            </w:r>
          </w:p>
        </w:tc>
        <w:tc>
          <w:tcPr>
            <w:tcW w:w="3668" w:type="dxa"/>
          </w:tcPr>
          <w:p>
            <w:pPr>
              <w:rPr>
                <w:rFonts w:eastAsiaTheme="minorEastAsia"/>
              </w:rPr>
            </w:pPr>
            <w:r>
              <w:rPr>
                <w:rFonts w:eastAsiaTheme="minorEastAsia"/>
              </w:rPr>
              <w:t>Hétérogène (non soluble)</w:t>
            </w:r>
          </w:p>
        </w:tc>
      </w:tr>
    </w:tbl>
    <w:p>
      <w:pPr>
        <w:rPr>
          <w:rFonts w:eastAsiaTheme="minorEastAsia"/>
        </w:rPr>
      </w:pPr>
      <w:r>
        <w:rPr>
          <w:rFonts w:eastAsiaTheme="minorEastAsia"/>
        </w:rPr>
        <w:t xml:space="preserve">Cinétique passage par des intermédiaires non stable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faible.</w:t>
      </w:r>
    </w:p>
    <w:p>
      <w:pPr>
        <w:rPr>
          <w:rFonts w:eastAsiaTheme="minorEastAsia"/>
        </w:rPr>
      </w:pPr>
      <w:r>
        <w:rPr>
          <w:rStyle w:val="Accentuation"/>
        </w:rPr>
        <w:t xml:space="preserve">Composé de coordination </w:t>
      </w:r>
      <w:r>
        <w:rPr>
          <w:rFonts w:eastAsiaTheme="minorEastAsia"/>
        </w:rPr>
        <w:t>molécule composé d’un cation central ou d’un métal.</w:t>
      </w:r>
    </w:p>
    <w:p>
      <w:pPr>
        <w:rPr>
          <w:rFonts w:eastAsiaTheme="minorEastAsia"/>
        </w:rPr>
      </w:pPr>
    </w:p>
    <w:p>
      <w:pPr>
        <w:rPr>
          <w:rFonts w:eastAsiaTheme="minorEastAsia"/>
        </w:rPr>
      </w:pPr>
    </w:p>
    <w:p>
      <w:pPr>
        <w:rPr>
          <w:rFonts w:eastAsia="Open Sans Light" w:cs="Open Sans Light"/>
        </w:rPr>
      </w:pPr>
      <w:r>
        <w:rPr>
          <w:rFonts w:eastAsia="Open Sans Light" w:cs="Open Sans Light"/>
        </w:rPr>
        <w:t xml:space="preserve"> </w:t>
      </w:r>
    </w:p>
    <w:p>
      <w:pPr>
        <w:rPr>
          <w:rFonts w:eastAsiaTheme="minorEastAsia"/>
        </w:rPr>
      </w:pPr>
    </w:p>
    <w:sectPr>
      <w:footerReference w:type="default" r:id="rId35"/>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CRCB</w:t>
    </w:r>
    <w:r>
      <w:ptab w:relativeTo="margin" w:alignment="center" w:leader="none"/>
    </w:r>
    <w:r>
      <w:t>Cinétique chimique, réactivité, chimie biologique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4pt;height:22.6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1B2666"/>
    <w:multiLevelType w:val="hybridMultilevel"/>
    <w:tmpl w:val="C53661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E738B3"/>
    <w:multiLevelType w:val="hybridMultilevel"/>
    <w:tmpl w:val="D3B45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E3630D"/>
    <w:multiLevelType w:val="hybridMultilevel"/>
    <w:tmpl w:val="77206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EE71D8"/>
    <w:multiLevelType w:val="hybridMultilevel"/>
    <w:tmpl w:val="19981C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1A0993"/>
    <w:multiLevelType w:val="hybridMultilevel"/>
    <w:tmpl w:val="E4064BF2"/>
    <w:lvl w:ilvl="0" w:tplc="DA6AC7EA">
      <w:start w:val="1"/>
      <w:numFmt w:val="bullet"/>
      <w:lvlText w:val=""/>
      <w:lvlJc w:val="left"/>
      <w:pPr>
        <w:ind w:left="720" w:hanging="360"/>
      </w:pPr>
      <w:rPr>
        <w:rFonts w:ascii="Symbol" w:hAnsi="Symbol" w:hint="default"/>
      </w:rPr>
    </w:lvl>
    <w:lvl w:ilvl="1" w:tplc="EB6876E2">
      <w:start w:val="1"/>
      <w:numFmt w:val="bullet"/>
      <w:lvlText w:val="o"/>
      <w:lvlJc w:val="left"/>
      <w:pPr>
        <w:ind w:left="1440" w:hanging="360"/>
      </w:pPr>
      <w:rPr>
        <w:rFonts w:ascii="Courier New" w:hAnsi="Courier New" w:hint="default"/>
      </w:rPr>
    </w:lvl>
    <w:lvl w:ilvl="2" w:tplc="54246FF2">
      <w:start w:val="1"/>
      <w:numFmt w:val="bullet"/>
      <w:lvlText w:val=""/>
      <w:lvlJc w:val="left"/>
      <w:pPr>
        <w:ind w:left="2160" w:hanging="360"/>
      </w:pPr>
      <w:rPr>
        <w:rFonts w:ascii="Wingdings" w:hAnsi="Wingdings" w:hint="default"/>
      </w:rPr>
    </w:lvl>
    <w:lvl w:ilvl="3" w:tplc="04268E62">
      <w:start w:val="1"/>
      <w:numFmt w:val="bullet"/>
      <w:lvlText w:val=""/>
      <w:lvlJc w:val="left"/>
      <w:pPr>
        <w:ind w:left="2880" w:hanging="360"/>
      </w:pPr>
      <w:rPr>
        <w:rFonts w:ascii="Symbol" w:hAnsi="Symbol" w:hint="default"/>
      </w:rPr>
    </w:lvl>
    <w:lvl w:ilvl="4" w:tplc="BF1623B6">
      <w:start w:val="1"/>
      <w:numFmt w:val="bullet"/>
      <w:lvlText w:val="o"/>
      <w:lvlJc w:val="left"/>
      <w:pPr>
        <w:ind w:left="3600" w:hanging="360"/>
      </w:pPr>
      <w:rPr>
        <w:rFonts w:ascii="Courier New" w:hAnsi="Courier New" w:hint="default"/>
      </w:rPr>
    </w:lvl>
    <w:lvl w:ilvl="5" w:tplc="866AF79C">
      <w:start w:val="1"/>
      <w:numFmt w:val="bullet"/>
      <w:lvlText w:val=""/>
      <w:lvlJc w:val="left"/>
      <w:pPr>
        <w:ind w:left="4320" w:hanging="360"/>
      </w:pPr>
      <w:rPr>
        <w:rFonts w:ascii="Wingdings" w:hAnsi="Wingdings" w:hint="default"/>
      </w:rPr>
    </w:lvl>
    <w:lvl w:ilvl="6" w:tplc="D8E45606">
      <w:start w:val="1"/>
      <w:numFmt w:val="bullet"/>
      <w:lvlText w:val=""/>
      <w:lvlJc w:val="left"/>
      <w:pPr>
        <w:ind w:left="5040" w:hanging="360"/>
      </w:pPr>
      <w:rPr>
        <w:rFonts w:ascii="Symbol" w:hAnsi="Symbol" w:hint="default"/>
      </w:rPr>
    </w:lvl>
    <w:lvl w:ilvl="7" w:tplc="9A5C6740">
      <w:start w:val="1"/>
      <w:numFmt w:val="bullet"/>
      <w:lvlText w:val="o"/>
      <w:lvlJc w:val="left"/>
      <w:pPr>
        <w:ind w:left="5760" w:hanging="360"/>
      </w:pPr>
      <w:rPr>
        <w:rFonts w:ascii="Courier New" w:hAnsi="Courier New" w:hint="default"/>
      </w:rPr>
    </w:lvl>
    <w:lvl w:ilvl="8" w:tplc="79A084D0">
      <w:start w:val="1"/>
      <w:numFmt w:val="bullet"/>
      <w:lvlText w:val=""/>
      <w:lvlJc w:val="left"/>
      <w:pPr>
        <w:ind w:left="6480" w:hanging="360"/>
      </w:pPr>
      <w:rPr>
        <w:rFonts w:ascii="Wingdings" w:hAnsi="Wingdings" w:hint="default"/>
      </w:rPr>
    </w:lvl>
  </w:abstractNum>
  <w:abstractNum w:abstractNumId="8"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355389"/>
    <w:multiLevelType w:val="hybridMultilevel"/>
    <w:tmpl w:val="C7F80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6130998"/>
    <w:multiLevelType w:val="hybridMultilevel"/>
    <w:tmpl w:val="7AB62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5C53440"/>
    <w:multiLevelType w:val="hybridMultilevel"/>
    <w:tmpl w:val="55725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F7416F"/>
    <w:multiLevelType w:val="hybridMultilevel"/>
    <w:tmpl w:val="F724B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C969EE"/>
    <w:multiLevelType w:val="hybridMultilevel"/>
    <w:tmpl w:val="5E625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6E8652C"/>
    <w:multiLevelType w:val="hybridMultilevel"/>
    <w:tmpl w:val="3C88A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CB247C"/>
    <w:multiLevelType w:val="hybridMultilevel"/>
    <w:tmpl w:val="DF8A6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362F8E"/>
    <w:multiLevelType w:val="hybridMultilevel"/>
    <w:tmpl w:val="923EF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5"/>
  </w:num>
  <w:num w:numId="4">
    <w:abstractNumId w:val="1"/>
  </w:num>
  <w:num w:numId="5">
    <w:abstractNumId w:val="13"/>
  </w:num>
  <w:num w:numId="6">
    <w:abstractNumId w:val="11"/>
  </w:num>
  <w:num w:numId="7">
    <w:abstractNumId w:val="17"/>
  </w:num>
  <w:num w:numId="8">
    <w:abstractNumId w:val="24"/>
  </w:num>
  <w:num w:numId="9">
    <w:abstractNumId w:val="31"/>
  </w:num>
  <w:num w:numId="10">
    <w:abstractNumId w:val="18"/>
  </w:num>
  <w:num w:numId="11">
    <w:abstractNumId w:val="19"/>
  </w:num>
  <w:num w:numId="12">
    <w:abstractNumId w:val="4"/>
  </w:num>
  <w:num w:numId="13">
    <w:abstractNumId w:val="34"/>
  </w:num>
  <w:num w:numId="14">
    <w:abstractNumId w:val="23"/>
  </w:num>
  <w:num w:numId="15">
    <w:abstractNumId w:val="26"/>
  </w:num>
  <w:num w:numId="16">
    <w:abstractNumId w:val="36"/>
  </w:num>
  <w:num w:numId="17">
    <w:abstractNumId w:val="8"/>
  </w:num>
  <w:num w:numId="18">
    <w:abstractNumId w:val="12"/>
  </w:num>
  <w:num w:numId="19">
    <w:abstractNumId w:val="25"/>
  </w:num>
  <w:num w:numId="20">
    <w:abstractNumId w:val="33"/>
  </w:num>
  <w:num w:numId="21">
    <w:abstractNumId w:val="21"/>
  </w:num>
  <w:num w:numId="22">
    <w:abstractNumId w:val="28"/>
  </w:num>
  <w:num w:numId="23">
    <w:abstractNumId w:val="38"/>
  </w:num>
  <w:num w:numId="24">
    <w:abstractNumId w:val="35"/>
  </w:num>
  <w:num w:numId="25">
    <w:abstractNumId w:val="37"/>
  </w:num>
  <w:num w:numId="26">
    <w:abstractNumId w:val="9"/>
  </w:num>
  <w:num w:numId="27">
    <w:abstractNumId w:val="0"/>
  </w:num>
  <w:num w:numId="28">
    <w:abstractNumId w:val="20"/>
  </w:num>
  <w:num w:numId="29">
    <w:abstractNumId w:val="14"/>
  </w:num>
  <w:num w:numId="30">
    <w:abstractNumId w:val="27"/>
  </w:num>
  <w:num w:numId="31">
    <w:abstractNumId w:val="22"/>
  </w:num>
  <w:num w:numId="32">
    <w:abstractNumId w:val="2"/>
  </w:num>
  <w:num w:numId="33">
    <w:abstractNumId w:val="3"/>
  </w:num>
  <w:num w:numId="34">
    <w:abstractNumId w:val="10"/>
  </w:num>
  <w:num w:numId="35">
    <w:abstractNumId w:val="7"/>
  </w:num>
  <w:num w:numId="36">
    <w:abstractNumId w:val="6"/>
  </w:num>
  <w:num w:numId="37">
    <w:abstractNumId w:val="39"/>
  </w:num>
  <w:num w:numId="38">
    <w:abstractNumId w:val="16"/>
  </w:num>
  <w:num w:numId="39">
    <w:abstractNumId w:val="5"/>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normaltextrun">
    <w:name w:val="normaltextrun"/>
    <w:basedOn w:val="Policepardfaut"/>
  </w:style>
  <w:style w:type="character" w:customStyle="1" w:styleId="eop">
    <w:name w:val="eop"/>
    <w:basedOn w:val="Policepardfau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492457786">
      <w:bodyDiv w:val="1"/>
      <w:marLeft w:val="0"/>
      <w:marRight w:val="0"/>
      <w:marTop w:val="0"/>
      <w:marBottom w:val="0"/>
      <w:divBdr>
        <w:top w:val="none" w:sz="0" w:space="0" w:color="auto"/>
        <w:left w:val="none" w:sz="0" w:space="0" w:color="auto"/>
        <w:bottom w:val="none" w:sz="0" w:space="0" w:color="auto"/>
        <w:right w:val="none" w:sz="0" w:space="0" w:color="auto"/>
      </w:divBdr>
      <w:divsChild>
        <w:div w:id="974532001">
          <w:marLeft w:val="0"/>
          <w:marRight w:val="0"/>
          <w:marTop w:val="0"/>
          <w:marBottom w:val="0"/>
          <w:divBdr>
            <w:top w:val="none" w:sz="0" w:space="0" w:color="auto"/>
            <w:left w:val="none" w:sz="0" w:space="0" w:color="auto"/>
            <w:bottom w:val="none" w:sz="0" w:space="0" w:color="auto"/>
            <w:right w:val="none" w:sz="0" w:space="0" w:color="auto"/>
          </w:divBdr>
        </w:div>
        <w:div w:id="28578428">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79781242">
      <w:bodyDiv w:val="1"/>
      <w:marLeft w:val="0"/>
      <w:marRight w:val="0"/>
      <w:marTop w:val="0"/>
      <w:marBottom w:val="0"/>
      <w:divBdr>
        <w:top w:val="none" w:sz="0" w:space="0" w:color="auto"/>
        <w:left w:val="none" w:sz="0" w:space="0" w:color="auto"/>
        <w:bottom w:val="none" w:sz="0" w:space="0" w:color="auto"/>
        <w:right w:val="none" w:sz="0" w:space="0" w:color="auto"/>
      </w:divBdr>
      <w:divsChild>
        <w:div w:id="88619399">
          <w:marLeft w:val="0"/>
          <w:marRight w:val="0"/>
          <w:marTop w:val="0"/>
          <w:marBottom w:val="0"/>
          <w:divBdr>
            <w:top w:val="none" w:sz="0" w:space="0" w:color="auto"/>
            <w:left w:val="none" w:sz="0" w:space="0" w:color="auto"/>
            <w:bottom w:val="none" w:sz="0" w:space="0" w:color="auto"/>
            <w:right w:val="none" w:sz="0" w:space="0" w:color="auto"/>
          </w:divBdr>
          <w:divsChild>
            <w:div w:id="1591083598">
              <w:marLeft w:val="0"/>
              <w:marRight w:val="0"/>
              <w:marTop w:val="0"/>
              <w:marBottom w:val="0"/>
              <w:divBdr>
                <w:top w:val="none" w:sz="0" w:space="0" w:color="auto"/>
                <w:left w:val="none" w:sz="0" w:space="0" w:color="auto"/>
                <w:bottom w:val="none" w:sz="0" w:space="0" w:color="auto"/>
                <w:right w:val="none" w:sz="0" w:space="0" w:color="auto"/>
              </w:divBdr>
            </w:div>
          </w:divsChild>
        </w:div>
        <w:div w:id="743574543">
          <w:marLeft w:val="0"/>
          <w:marRight w:val="0"/>
          <w:marTop w:val="0"/>
          <w:marBottom w:val="0"/>
          <w:divBdr>
            <w:top w:val="none" w:sz="0" w:space="0" w:color="auto"/>
            <w:left w:val="none" w:sz="0" w:space="0" w:color="auto"/>
            <w:bottom w:val="none" w:sz="0" w:space="0" w:color="auto"/>
            <w:right w:val="none" w:sz="0" w:space="0" w:color="auto"/>
          </w:divBdr>
          <w:divsChild>
            <w:div w:id="469514982">
              <w:marLeft w:val="0"/>
              <w:marRight w:val="0"/>
              <w:marTop w:val="0"/>
              <w:marBottom w:val="0"/>
              <w:divBdr>
                <w:top w:val="none" w:sz="0" w:space="0" w:color="auto"/>
                <w:left w:val="none" w:sz="0" w:space="0" w:color="auto"/>
                <w:bottom w:val="none" w:sz="0" w:space="0" w:color="auto"/>
                <w:right w:val="none" w:sz="0" w:space="0" w:color="auto"/>
              </w:divBdr>
            </w:div>
          </w:divsChild>
        </w:div>
        <w:div w:id="1713574027">
          <w:marLeft w:val="0"/>
          <w:marRight w:val="0"/>
          <w:marTop w:val="0"/>
          <w:marBottom w:val="0"/>
          <w:divBdr>
            <w:top w:val="none" w:sz="0" w:space="0" w:color="auto"/>
            <w:left w:val="none" w:sz="0" w:space="0" w:color="auto"/>
            <w:bottom w:val="none" w:sz="0" w:space="0" w:color="auto"/>
            <w:right w:val="none" w:sz="0" w:space="0" w:color="auto"/>
          </w:divBdr>
          <w:divsChild>
            <w:div w:id="803429785">
              <w:marLeft w:val="0"/>
              <w:marRight w:val="0"/>
              <w:marTop w:val="0"/>
              <w:marBottom w:val="0"/>
              <w:divBdr>
                <w:top w:val="none" w:sz="0" w:space="0" w:color="auto"/>
                <w:left w:val="none" w:sz="0" w:space="0" w:color="auto"/>
                <w:bottom w:val="none" w:sz="0" w:space="0" w:color="auto"/>
                <w:right w:val="none" w:sz="0" w:space="0" w:color="auto"/>
              </w:divBdr>
            </w:div>
          </w:divsChild>
        </w:div>
        <w:div w:id="330370754">
          <w:marLeft w:val="0"/>
          <w:marRight w:val="0"/>
          <w:marTop w:val="0"/>
          <w:marBottom w:val="0"/>
          <w:divBdr>
            <w:top w:val="none" w:sz="0" w:space="0" w:color="auto"/>
            <w:left w:val="none" w:sz="0" w:space="0" w:color="auto"/>
            <w:bottom w:val="none" w:sz="0" w:space="0" w:color="auto"/>
            <w:right w:val="none" w:sz="0" w:space="0" w:color="auto"/>
          </w:divBdr>
          <w:divsChild>
            <w:div w:id="762918910">
              <w:marLeft w:val="0"/>
              <w:marRight w:val="0"/>
              <w:marTop w:val="0"/>
              <w:marBottom w:val="0"/>
              <w:divBdr>
                <w:top w:val="none" w:sz="0" w:space="0" w:color="auto"/>
                <w:left w:val="none" w:sz="0" w:space="0" w:color="auto"/>
                <w:bottom w:val="none" w:sz="0" w:space="0" w:color="auto"/>
                <w:right w:val="none" w:sz="0" w:space="0" w:color="auto"/>
              </w:divBdr>
            </w:div>
          </w:divsChild>
        </w:div>
        <w:div w:id="60254043">
          <w:marLeft w:val="0"/>
          <w:marRight w:val="0"/>
          <w:marTop w:val="0"/>
          <w:marBottom w:val="0"/>
          <w:divBdr>
            <w:top w:val="none" w:sz="0" w:space="0" w:color="auto"/>
            <w:left w:val="none" w:sz="0" w:space="0" w:color="auto"/>
            <w:bottom w:val="none" w:sz="0" w:space="0" w:color="auto"/>
            <w:right w:val="none" w:sz="0" w:space="0" w:color="auto"/>
          </w:divBdr>
          <w:divsChild>
            <w:div w:id="696811312">
              <w:marLeft w:val="0"/>
              <w:marRight w:val="0"/>
              <w:marTop w:val="0"/>
              <w:marBottom w:val="0"/>
              <w:divBdr>
                <w:top w:val="none" w:sz="0" w:space="0" w:color="auto"/>
                <w:left w:val="none" w:sz="0" w:space="0" w:color="auto"/>
                <w:bottom w:val="none" w:sz="0" w:space="0" w:color="auto"/>
                <w:right w:val="none" w:sz="0" w:space="0" w:color="auto"/>
              </w:divBdr>
            </w:div>
          </w:divsChild>
        </w:div>
        <w:div w:id="643587251">
          <w:marLeft w:val="0"/>
          <w:marRight w:val="0"/>
          <w:marTop w:val="0"/>
          <w:marBottom w:val="0"/>
          <w:divBdr>
            <w:top w:val="none" w:sz="0" w:space="0" w:color="auto"/>
            <w:left w:val="none" w:sz="0" w:space="0" w:color="auto"/>
            <w:bottom w:val="none" w:sz="0" w:space="0" w:color="auto"/>
            <w:right w:val="none" w:sz="0" w:space="0" w:color="auto"/>
          </w:divBdr>
          <w:divsChild>
            <w:div w:id="832063497">
              <w:marLeft w:val="0"/>
              <w:marRight w:val="0"/>
              <w:marTop w:val="0"/>
              <w:marBottom w:val="0"/>
              <w:divBdr>
                <w:top w:val="none" w:sz="0" w:space="0" w:color="auto"/>
                <w:left w:val="none" w:sz="0" w:space="0" w:color="auto"/>
                <w:bottom w:val="none" w:sz="0" w:space="0" w:color="auto"/>
                <w:right w:val="none" w:sz="0" w:space="0" w:color="auto"/>
              </w:divBdr>
            </w:div>
          </w:divsChild>
        </w:div>
        <w:div w:id="922034080">
          <w:marLeft w:val="0"/>
          <w:marRight w:val="0"/>
          <w:marTop w:val="0"/>
          <w:marBottom w:val="0"/>
          <w:divBdr>
            <w:top w:val="none" w:sz="0" w:space="0" w:color="auto"/>
            <w:left w:val="none" w:sz="0" w:space="0" w:color="auto"/>
            <w:bottom w:val="none" w:sz="0" w:space="0" w:color="auto"/>
            <w:right w:val="none" w:sz="0" w:space="0" w:color="auto"/>
          </w:divBdr>
          <w:divsChild>
            <w:div w:id="1691451169">
              <w:marLeft w:val="0"/>
              <w:marRight w:val="0"/>
              <w:marTop w:val="0"/>
              <w:marBottom w:val="0"/>
              <w:divBdr>
                <w:top w:val="none" w:sz="0" w:space="0" w:color="auto"/>
                <w:left w:val="none" w:sz="0" w:space="0" w:color="auto"/>
                <w:bottom w:val="none" w:sz="0" w:space="0" w:color="auto"/>
                <w:right w:val="none" w:sz="0" w:space="0" w:color="auto"/>
              </w:divBdr>
            </w:div>
          </w:divsChild>
        </w:div>
        <w:div w:id="992754681">
          <w:marLeft w:val="0"/>
          <w:marRight w:val="0"/>
          <w:marTop w:val="0"/>
          <w:marBottom w:val="0"/>
          <w:divBdr>
            <w:top w:val="none" w:sz="0" w:space="0" w:color="auto"/>
            <w:left w:val="none" w:sz="0" w:space="0" w:color="auto"/>
            <w:bottom w:val="none" w:sz="0" w:space="0" w:color="auto"/>
            <w:right w:val="none" w:sz="0" w:space="0" w:color="auto"/>
          </w:divBdr>
          <w:divsChild>
            <w:div w:id="1228300913">
              <w:marLeft w:val="0"/>
              <w:marRight w:val="0"/>
              <w:marTop w:val="0"/>
              <w:marBottom w:val="0"/>
              <w:divBdr>
                <w:top w:val="none" w:sz="0" w:space="0" w:color="auto"/>
                <w:left w:val="none" w:sz="0" w:space="0" w:color="auto"/>
                <w:bottom w:val="none" w:sz="0" w:space="0" w:color="auto"/>
                <w:right w:val="none" w:sz="0" w:space="0" w:color="auto"/>
              </w:divBdr>
            </w:div>
          </w:divsChild>
        </w:div>
        <w:div w:id="1436949212">
          <w:marLeft w:val="0"/>
          <w:marRight w:val="0"/>
          <w:marTop w:val="0"/>
          <w:marBottom w:val="0"/>
          <w:divBdr>
            <w:top w:val="none" w:sz="0" w:space="0" w:color="auto"/>
            <w:left w:val="none" w:sz="0" w:space="0" w:color="auto"/>
            <w:bottom w:val="none" w:sz="0" w:space="0" w:color="auto"/>
            <w:right w:val="none" w:sz="0" w:space="0" w:color="auto"/>
          </w:divBdr>
          <w:divsChild>
            <w:div w:id="1577979317">
              <w:marLeft w:val="0"/>
              <w:marRight w:val="0"/>
              <w:marTop w:val="0"/>
              <w:marBottom w:val="0"/>
              <w:divBdr>
                <w:top w:val="none" w:sz="0" w:space="0" w:color="auto"/>
                <w:left w:val="none" w:sz="0" w:space="0" w:color="auto"/>
                <w:bottom w:val="none" w:sz="0" w:space="0" w:color="auto"/>
                <w:right w:val="none" w:sz="0" w:space="0" w:color="auto"/>
              </w:divBdr>
            </w:div>
          </w:divsChild>
        </w:div>
        <w:div w:id="2077505585">
          <w:marLeft w:val="0"/>
          <w:marRight w:val="0"/>
          <w:marTop w:val="0"/>
          <w:marBottom w:val="0"/>
          <w:divBdr>
            <w:top w:val="none" w:sz="0" w:space="0" w:color="auto"/>
            <w:left w:val="none" w:sz="0" w:space="0" w:color="auto"/>
            <w:bottom w:val="none" w:sz="0" w:space="0" w:color="auto"/>
            <w:right w:val="none" w:sz="0" w:space="0" w:color="auto"/>
          </w:divBdr>
          <w:divsChild>
            <w:div w:id="1818760644">
              <w:marLeft w:val="0"/>
              <w:marRight w:val="0"/>
              <w:marTop w:val="0"/>
              <w:marBottom w:val="0"/>
              <w:divBdr>
                <w:top w:val="none" w:sz="0" w:space="0" w:color="auto"/>
                <w:left w:val="none" w:sz="0" w:space="0" w:color="auto"/>
                <w:bottom w:val="none" w:sz="0" w:space="0" w:color="auto"/>
                <w:right w:val="none" w:sz="0" w:space="0" w:color="auto"/>
              </w:divBdr>
            </w:div>
          </w:divsChild>
        </w:div>
        <w:div w:id="8719225">
          <w:marLeft w:val="0"/>
          <w:marRight w:val="0"/>
          <w:marTop w:val="0"/>
          <w:marBottom w:val="0"/>
          <w:divBdr>
            <w:top w:val="none" w:sz="0" w:space="0" w:color="auto"/>
            <w:left w:val="none" w:sz="0" w:space="0" w:color="auto"/>
            <w:bottom w:val="none" w:sz="0" w:space="0" w:color="auto"/>
            <w:right w:val="none" w:sz="0" w:space="0" w:color="auto"/>
          </w:divBdr>
          <w:divsChild>
            <w:div w:id="1027291908">
              <w:marLeft w:val="0"/>
              <w:marRight w:val="0"/>
              <w:marTop w:val="0"/>
              <w:marBottom w:val="0"/>
              <w:divBdr>
                <w:top w:val="none" w:sz="0" w:space="0" w:color="auto"/>
                <w:left w:val="none" w:sz="0" w:space="0" w:color="auto"/>
                <w:bottom w:val="none" w:sz="0" w:space="0" w:color="auto"/>
                <w:right w:val="none" w:sz="0" w:space="0" w:color="auto"/>
              </w:divBdr>
            </w:div>
            <w:div w:id="428309619">
              <w:marLeft w:val="0"/>
              <w:marRight w:val="0"/>
              <w:marTop w:val="0"/>
              <w:marBottom w:val="0"/>
              <w:divBdr>
                <w:top w:val="none" w:sz="0" w:space="0" w:color="auto"/>
                <w:left w:val="none" w:sz="0" w:space="0" w:color="auto"/>
                <w:bottom w:val="none" w:sz="0" w:space="0" w:color="auto"/>
                <w:right w:val="none" w:sz="0" w:space="0" w:color="auto"/>
              </w:divBdr>
            </w:div>
          </w:divsChild>
        </w:div>
        <w:div w:id="388725154">
          <w:marLeft w:val="0"/>
          <w:marRight w:val="0"/>
          <w:marTop w:val="0"/>
          <w:marBottom w:val="0"/>
          <w:divBdr>
            <w:top w:val="none" w:sz="0" w:space="0" w:color="auto"/>
            <w:left w:val="none" w:sz="0" w:space="0" w:color="auto"/>
            <w:bottom w:val="none" w:sz="0" w:space="0" w:color="auto"/>
            <w:right w:val="none" w:sz="0" w:space="0" w:color="auto"/>
          </w:divBdr>
          <w:divsChild>
            <w:div w:id="831720709">
              <w:marLeft w:val="0"/>
              <w:marRight w:val="0"/>
              <w:marTop w:val="0"/>
              <w:marBottom w:val="0"/>
              <w:divBdr>
                <w:top w:val="none" w:sz="0" w:space="0" w:color="auto"/>
                <w:left w:val="none" w:sz="0" w:space="0" w:color="auto"/>
                <w:bottom w:val="none" w:sz="0" w:space="0" w:color="auto"/>
                <w:right w:val="none" w:sz="0" w:space="0" w:color="auto"/>
              </w:divBdr>
            </w:div>
          </w:divsChild>
        </w:div>
        <w:div w:id="826628577">
          <w:marLeft w:val="0"/>
          <w:marRight w:val="0"/>
          <w:marTop w:val="0"/>
          <w:marBottom w:val="0"/>
          <w:divBdr>
            <w:top w:val="none" w:sz="0" w:space="0" w:color="auto"/>
            <w:left w:val="none" w:sz="0" w:space="0" w:color="auto"/>
            <w:bottom w:val="none" w:sz="0" w:space="0" w:color="auto"/>
            <w:right w:val="none" w:sz="0" w:space="0" w:color="auto"/>
          </w:divBdr>
          <w:divsChild>
            <w:div w:id="1957444997">
              <w:marLeft w:val="0"/>
              <w:marRight w:val="0"/>
              <w:marTop w:val="0"/>
              <w:marBottom w:val="0"/>
              <w:divBdr>
                <w:top w:val="none" w:sz="0" w:space="0" w:color="auto"/>
                <w:left w:val="none" w:sz="0" w:space="0" w:color="auto"/>
                <w:bottom w:val="none" w:sz="0" w:space="0" w:color="auto"/>
                <w:right w:val="none" w:sz="0" w:space="0" w:color="auto"/>
              </w:divBdr>
            </w:div>
          </w:divsChild>
        </w:div>
        <w:div w:id="1978753778">
          <w:marLeft w:val="0"/>
          <w:marRight w:val="0"/>
          <w:marTop w:val="0"/>
          <w:marBottom w:val="0"/>
          <w:divBdr>
            <w:top w:val="none" w:sz="0" w:space="0" w:color="auto"/>
            <w:left w:val="none" w:sz="0" w:space="0" w:color="auto"/>
            <w:bottom w:val="none" w:sz="0" w:space="0" w:color="auto"/>
            <w:right w:val="none" w:sz="0" w:space="0" w:color="auto"/>
          </w:divBdr>
          <w:divsChild>
            <w:div w:id="611865749">
              <w:marLeft w:val="0"/>
              <w:marRight w:val="0"/>
              <w:marTop w:val="0"/>
              <w:marBottom w:val="0"/>
              <w:divBdr>
                <w:top w:val="none" w:sz="0" w:space="0" w:color="auto"/>
                <w:left w:val="none" w:sz="0" w:space="0" w:color="auto"/>
                <w:bottom w:val="none" w:sz="0" w:space="0" w:color="auto"/>
                <w:right w:val="none" w:sz="0" w:space="0" w:color="auto"/>
              </w:divBdr>
            </w:div>
          </w:divsChild>
        </w:div>
        <w:div w:id="1077284151">
          <w:marLeft w:val="0"/>
          <w:marRight w:val="0"/>
          <w:marTop w:val="0"/>
          <w:marBottom w:val="0"/>
          <w:divBdr>
            <w:top w:val="none" w:sz="0" w:space="0" w:color="auto"/>
            <w:left w:val="none" w:sz="0" w:space="0" w:color="auto"/>
            <w:bottom w:val="none" w:sz="0" w:space="0" w:color="auto"/>
            <w:right w:val="none" w:sz="0" w:space="0" w:color="auto"/>
          </w:divBdr>
          <w:divsChild>
            <w:div w:id="187063935">
              <w:marLeft w:val="0"/>
              <w:marRight w:val="0"/>
              <w:marTop w:val="0"/>
              <w:marBottom w:val="0"/>
              <w:divBdr>
                <w:top w:val="none" w:sz="0" w:space="0" w:color="auto"/>
                <w:left w:val="none" w:sz="0" w:space="0" w:color="auto"/>
                <w:bottom w:val="none" w:sz="0" w:space="0" w:color="auto"/>
                <w:right w:val="none" w:sz="0" w:space="0" w:color="auto"/>
              </w:divBdr>
            </w:div>
          </w:divsChild>
        </w:div>
        <w:div w:id="1123382992">
          <w:marLeft w:val="0"/>
          <w:marRight w:val="0"/>
          <w:marTop w:val="0"/>
          <w:marBottom w:val="0"/>
          <w:divBdr>
            <w:top w:val="none" w:sz="0" w:space="0" w:color="auto"/>
            <w:left w:val="none" w:sz="0" w:space="0" w:color="auto"/>
            <w:bottom w:val="none" w:sz="0" w:space="0" w:color="auto"/>
            <w:right w:val="none" w:sz="0" w:space="0" w:color="auto"/>
          </w:divBdr>
          <w:divsChild>
            <w:div w:id="306205657">
              <w:marLeft w:val="0"/>
              <w:marRight w:val="0"/>
              <w:marTop w:val="0"/>
              <w:marBottom w:val="0"/>
              <w:divBdr>
                <w:top w:val="none" w:sz="0" w:space="0" w:color="auto"/>
                <w:left w:val="none" w:sz="0" w:space="0" w:color="auto"/>
                <w:bottom w:val="none" w:sz="0" w:space="0" w:color="auto"/>
                <w:right w:val="none" w:sz="0" w:space="0" w:color="auto"/>
              </w:divBdr>
            </w:div>
          </w:divsChild>
        </w:div>
        <w:div w:id="1747721405">
          <w:marLeft w:val="0"/>
          <w:marRight w:val="0"/>
          <w:marTop w:val="0"/>
          <w:marBottom w:val="0"/>
          <w:divBdr>
            <w:top w:val="none" w:sz="0" w:space="0" w:color="auto"/>
            <w:left w:val="none" w:sz="0" w:space="0" w:color="auto"/>
            <w:bottom w:val="none" w:sz="0" w:space="0" w:color="auto"/>
            <w:right w:val="none" w:sz="0" w:space="0" w:color="auto"/>
          </w:divBdr>
          <w:divsChild>
            <w:div w:id="655693595">
              <w:marLeft w:val="0"/>
              <w:marRight w:val="0"/>
              <w:marTop w:val="0"/>
              <w:marBottom w:val="0"/>
              <w:divBdr>
                <w:top w:val="none" w:sz="0" w:space="0" w:color="auto"/>
                <w:left w:val="none" w:sz="0" w:space="0" w:color="auto"/>
                <w:bottom w:val="none" w:sz="0" w:space="0" w:color="auto"/>
                <w:right w:val="none" w:sz="0" w:space="0" w:color="auto"/>
              </w:divBdr>
            </w:div>
          </w:divsChild>
        </w:div>
        <w:div w:id="1774402069">
          <w:marLeft w:val="0"/>
          <w:marRight w:val="0"/>
          <w:marTop w:val="0"/>
          <w:marBottom w:val="0"/>
          <w:divBdr>
            <w:top w:val="none" w:sz="0" w:space="0" w:color="auto"/>
            <w:left w:val="none" w:sz="0" w:space="0" w:color="auto"/>
            <w:bottom w:val="none" w:sz="0" w:space="0" w:color="auto"/>
            <w:right w:val="none" w:sz="0" w:space="0" w:color="auto"/>
          </w:divBdr>
          <w:divsChild>
            <w:div w:id="345597872">
              <w:marLeft w:val="0"/>
              <w:marRight w:val="0"/>
              <w:marTop w:val="0"/>
              <w:marBottom w:val="0"/>
              <w:divBdr>
                <w:top w:val="none" w:sz="0" w:space="0" w:color="auto"/>
                <w:left w:val="none" w:sz="0" w:space="0" w:color="auto"/>
                <w:bottom w:val="none" w:sz="0" w:space="0" w:color="auto"/>
                <w:right w:val="none" w:sz="0" w:space="0" w:color="auto"/>
              </w:divBdr>
            </w:div>
          </w:divsChild>
        </w:div>
        <w:div w:id="2047288590">
          <w:marLeft w:val="0"/>
          <w:marRight w:val="0"/>
          <w:marTop w:val="0"/>
          <w:marBottom w:val="0"/>
          <w:divBdr>
            <w:top w:val="none" w:sz="0" w:space="0" w:color="auto"/>
            <w:left w:val="none" w:sz="0" w:space="0" w:color="auto"/>
            <w:bottom w:val="none" w:sz="0" w:space="0" w:color="auto"/>
            <w:right w:val="none" w:sz="0" w:space="0" w:color="auto"/>
          </w:divBdr>
          <w:divsChild>
            <w:div w:id="1061094914">
              <w:marLeft w:val="0"/>
              <w:marRight w:val="0"/>
              <w:marTop w:val="0"/>
              <w:marBottom w:val="0"/>
              <w:divBdr>
                <w:top w:val="none" w:sz="0" w:space="0" w:color="auto"/>
                <w:left w:val="none" w:sz="0" w:space="0" w:color="auto"/>
                <w:bottom w:val="none" w:sz="0" w:space="0" w:color="auto"/>
                <w:right w:val="none" w:sz="0" w:space="0" w:color="auto"/>
              </w:divBdr>
            </w:div>
          </w:divsChild>
        </w:div>
        <w:div w:id="1534032914">
          <w:marLeft w:val="0"/>
          <w:marRight w:val="0"/>
          <w:marTop w:val="0"/>
          <w:marBottom w:val="0"/>
          <w:divBdr>
            <w:top w:val="none" w:sz="0" w:space="0" w:color="auto"/>
            <w:left w:val="none" w:sz="0" w:space="0" w:color="auto"/>
            <w:bottom w:val="none" w:sz="0" w:space="0" w:color="auto"/>
            <w:right w:val="none" w:sz="0" w:space="0" w:color="auto"/>
          </w:divBdr>
          <w:divsChild>
            <w:div w:id="464273034">
              <w:marLeft w:val="0"/>
              <w:marRight w:val="0"/>
              <w:marTop w:val="0"/>
              <w:marBottom w:val="0"/>
              <w:divBdr>
                <w:top w:val="none" w:sz="0" w:space="0" w:color="auto"/>
                <w:left w:val="none" w:sz="0" w:space="0" w:color="auto"/>
                <w:bottom w:val="none" w:sz="0" w:space="0" w:color="auto"/>
                <w:right w:val="none" w:sz="0" w:space="0" w:color="auto"/>
              </w:divBdr>
            </w:div>
          </w:divsChild>
        </w:div>
        <w:div w:id="500777503">
          <w:marLeft w:val="0"/>
          <w:marRight w:val="0"/>
          <w:marTop w:val="0"/>
          <w:marBottom w:val="0"/>
          <w:divBdr>
            <w:top w:val="none" w:sz="0" w:space="0" w:color="auto"/>
            <w:left w:val="none" w:sz="0" w:space="0" w:color="auto"/>
            <w:bottom w:val="none" w:sz="0" w:space="0" w:color="auto"/>
            <w:right w:val="none" w:sz="0" w:space="0" w:color="auto"/>
          </w:divBdr>
          <w:divsChild>
            <w:div w:id="1982883297">
              <w:marLeft w:val="0"/>
              <w:marRight w:val="0"/>
              <w:marTop w:val="0"/>
              <w:marBottom w:val="0"/>
              <w:divBdr>
                <w:top w:val="none" w:sz="0" w:space="0" w:color="auto"/>
                <w:left w:val="none" w:sz="0" w:space="0" w:color="auto"/>
                <w:bottom w:val="none" w:sz="0" w:space="0" w:color="auto"/>
                <w:right w:val="none" w:sz="0" w:space="0" w:color="auto"/>
              </w:divBdr>
            </w:div>
          </w:divsChild>
        </w:div>
        <w:div w:id="1653874708">
          <w:marLeft w:val="0"/>
          <w:marRight w:val="0"/>
          <w:marTop w:val="0"/>
          <w:marBottom w:val="0"/>
          <w:divBdr>
            <w:top w:val="none" w:sz="0" w:space="0" w:color="auto"/>
            <w:left w:val="none" w:sz="0" w:space="0" w:color="auto"/>
            <w:bottom w:val="none" w:sz="0" w:space="0" w:color="auto"/>
            <w:right w:val="none" w:sz="0" w:space="0" w:color="auto"/>
          </w:divBdr>
          <w:divsChild>
            <w:div w:id="1050766640">
              <w:marLeft w:val="0"/>
              <w:marRight w:val="0"/>
              <w:marTop w:val="0"/>
              <w:marBottom w:val="0"/>
              <w:divBdr>
                <w:top w:val="none" w:sz="0" w:space="0" w:color="auto"/>
                <w:left w:val="none" w:sz="0" w:space="0" w:color="auto"/>
                <w:bottom w:val="none" w:sz="0" w:space="0" w:color="auto"/>
                <w:right w:val="none" w:sz="0" w:space="0" w:color="auto"/>
              </w:divBdr>
            </w:div>
          </w:divsChild>
        </w:div>
        <w:div w:id="2099867185">
          <w:marLeft w:val="0"/>
          <w:marRight w:val="0"/>
          <w:marTop w:val="0"/>
          <w:marBottom w:val="0"/>
          <w:divBdr>
            <w:top w:val="none" w:sz="0" w:space="0" w:color="auto"/>
            <w:left w:val="none" w:sz="0" w:space="0" w:color="auto"/>
            <w:bottom w:val="none" w:sz="0" w:space="0" w:color="auto"/>
            <w:right w:val="none" w:sz="0" w:space="0" w:color="auto"/>
          </w:divBdr>
          <w:divsChild>
            <w:div w:id="961301402">
              <w:marLeft w:val="0"/>
              <w:marRight w:val="0"/>
              <w:marTop w:val="0"/>
              <w:marBottom w:val="0"/>
              <w:divBdr>
                <w:top w:val="none" w:sz="0" w:space="0" w:color="auto"/>
                <w:left w:val="none" w:sz="0" w:space="0" w:color="auto"/>
                <w:bottom w:val="none" w:sz="0" w:space="0" w:color="auto"/>
                <w:right w:val="none" w:sz="0" w:space="0" w:color="auto"/>
              </w:divBdr>
            </w:div>
          </w:divsChild>
        </w:div>
        <w:div w:id="161241024">
          <w:marLeft w:val="0"/>
          <w:marRight w:val="0"/>
          <w:marTop w:val="0"/>
          <w:marBottom w:val="0"/>
          <w:divBdr>
            <w:top w:val="none" w:sz="0" w:space="0" w:color="auto"/>
            <w:left w:val="none" w:sz="0" w:space="0" w:color="auto"/>
            <w:bottom w:val="none" w:sz="0" w:space="0" w:color="auto"/>
            <w:right w:val="none" w:sz="0" w:space="0" w:color="auto"/>
          </w:divBdr>
          <w:divsChild>
            <w:div w:id="1957639796">
              <w:marLeft w:val="0"/>
              <w:marRight w:val="0"/>
              <w:marTop w:val="0"/>
              <w:marBottom w:val="0"/>
              <w:divBdr>
                <w:top w:val="none" w:sz="0" w:space="0" w:color="auto"/>
                <w:left w:val="none" w:sz="0" w:space="0" w:color="auto"/>
                <w:bottom w:val="none" w:sz="0" w:space="0" w:color="auto"/>
                <w:right w:val="none" w:sz="0" w:space="0" w:color="auto"/>
              </w:divBdr>
            </w:div>
          </w:divsChild>
        </w:div>
        <w:div w:id="1228806335">
          <w:marLeft w:val="0"/>
          <w:marRight w:val="0"/>
          <w:marTop w:val="0"/>
          <w:marBottom w:val="0"/>
          <w:divBdr>
            <w:top w:val="none" w:sz="0" w:space="0" w:color="auto"/>
            <w:left w:val="none" w:sz="0" w:space="0" w:color="auto"/>
            <w:bottom w:val="none" w:sz="0" w:space="0" w:color="auto"/>
            <w:right w:val="none" w:sz="0" w:space="0" w:color="auto"/>
          </w:divBdr>
          <w:divsChild>
            <w:div w:id="2097433390">
              <w:marLeft w:val="0"/>
              <w:marRight w:val="0"/>
              <w:marTop w:val="0"/>
              <w:marBottom w:val="0"/>
              <w:divBdr>
                <w:top w:val="none" w:sz="0" w:space="0" w:color="auto"/>
                <w:left w:val="none" w:sz="0" w:space="0" w:color="auto"/>
                <w:bottom w:val="none" w:sz="0" w:space="0" w:color="auto"/>
                <w:right w:val="none" w:sz="0" w:space="0" w:color="auto"/>
              </w:divBdr>
            </w:div>
          </w:divsChild>
        </w:div>
        <w:div w:id="285085633">
          <w:marLeft w:val="0"/>
          <w:marRight w:val="0"/>
          <w:marTop w:val="0"/>
          <w:marBottom w:val="0"/>
          <w:divBdr>
            <w:top w:val="none" w:sz="0" w:space="0" w:color="auto"/>
            <w:left w:val="none" w:sz="0" w:space="0" w:color="auto"/>
            <w:bottom w:val="none" w:sz="0" w:space="0" w:color="auto"/>
            <w:right w:val="none" w:sz="0" w:space="0" w:color="auto"/>
          </w:divBdr>
          <w:divsChild>
            <w:div w:id="1720475074">
              <w:marLeft w:val="0"/>
              <w:marRight w:val="0"/>
              <w:marTop w:val="0"/>
              <w:marBottom w:val="0"/>
              <w:divBdr>
                <w:top w:val="none" w:sz="0" w:space="0" w:color="auto"/>
                <w:left w:val="none" w:sz="0" w:space="0" w:color="auto"/>
                <w:bottom w:val="none" w:sz="0" w:space="0" w:color="auto"/>
                <w:right w:val="none" w:sz="0" w:space="0" w:color="auto"/>
              </w:divBdr>
            </w:div>
          </w:divsChild>
        </w:div>
        <w:div w:id="124550154">
          <w:marLeft w:val="0"/>
          <w:marRight w:val="0"/>
          <w:marTop w:val="0"/>
          <w:marBottom w:val="0"/>
          <w:divBdr>
            <w:top w:val="none" w:sz="0" w:space="0" w:color="auto"/>
            <w:left w:val="none" w:sz="0" w:space="0" w:color="auto"/>
            <w:bottom w:val="none" w:sz="0" w:space="0" w:color="auto"/>
            <w:right w:val="none" w:sz="0" w:space="0" w:color="auto"/>
          </w:divBdr>
          <w:divsChild>
            <w:div w:id="1776290700">
              <w:marLeft w:val="0"/>
              <w:marRight w:val="0"/>
              <w:marTop w:val="0"/>
              <w:marBottom w:val="0"/>
              <w:divBdr>
                <w:top w:val="none" w:sz="0" w:space="0" w:color="auto"/>
                <w:left w:val="none" w:sz="0" w:space="0" w:color="auto"/>
                <w:bottom w:val="none" w:sz="0" w:space="0" w:color="auto"/>
                <w:right w:val="none" w:sz="0" w:space="0" w:color="auto"/>
              </w:divBdr>
            </w:div>
          </w:divsChild>
        </w:div>
        <w:div w:id="1554190739">
          <w:marLeft w:val="0"/>
          <w:marRight w:val="0"/>
          <w:marTop w:val="0"/>
          <w:marBottom w:val="0"/>
          <w:divBdr>
            <w:top w:val="none" w:sz="0" w:space="0" w:color="auto"/>
            <w:left w:val="none" w:sz="0" w:space="0" w:color="auto"/>
            <w:bottom w:val="none" w:sz="0" w:space="0" w:color="auto"/>
            <w:right w:val="none" w:sz="0" w:space="0" w:color="auto"/>
          </w:divBdr>
          <w:divsChild>
            <w:div w:id="11194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941180991">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664697135">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1243278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7</Pages>
  <Words>1697</Words>
  <Characters>9335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75</cp:revision>
  <cp:lastPrinted>2021-02-13T18:38:00Z</cp:lastPrinted>
  <dcterms:created xsi:type="dcterms:W3CDTF">2021-05-17T20:06:00Z</dcterms:created>
  <dcterms:modified xsi:type="dcterms:W3CDTF">2022-01-02T19:50:00Z</dcterms:modified>
</cp:coreProperties>
</file>