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est toujours inférieure à celle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Charge Formelle à la répartition des électrons.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Les atomes les plus 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539"/>
        <w:gridCol w:w="309"/>
        <w:gridCol w:w="829"/>
        <w:gridCol w:w="1291"/>
        <w:gridCol w:w="1136"/>
        <w:gridCol w:w="97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6C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 xml:space="preserve">7N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8O 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11Na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12Mg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15P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16S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17Cl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19K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t>20Ca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lastRenderedPageBreak/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lastRenderedPageBreak/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Une 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229" w:type="dxa"/>
          </w:tcPr>
          <w:p>
            <w:r>
              <w:t>En milieu basique</w:t>
            </w:r>
          </w:p>
        </w:tc>
      </w:tr>
      <w:tr>
        <w:tc>
          <w:tcPr>
            <w:tcW w:w="4106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lastRenderedPageBreak/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  <w:r>
        <w:rPr>
          <w:rFonts w:eastAsiaTheme="minorEastAsia"/>
        </w:rPr>
        <w:t>Acide gras</w:t>
      </w:r>
    </w:p>
    <w:p>
      <w:pPr>
        <w:rPr>
          <w:rFonts w:eastAsiaTheme="minorEastAsia"/>
        </w:rPr>
      </w:pPr>
      <w:r>
        <w:rPr>
          <w:rFonts w:eastAsiaTheme="minorEastAsia"/>
        </w:rPr>
        <w:t>Catabolisme des acides gras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Groupement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Ester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Les riches attaques les pauvres</w:t>
      </w:r>
    </w:p>
    <w:p>
      <w:pPr>
        <w:rPr>
          <w:rFonts w:eastAsiaTheme="minorEastAsia"/>
        </w:rPr>
      </w:pPr>
      <w:r>
        <w:rPr>
          <w:rFonts w:eastAsiaTheme="minorEastAsia"/>
        </w:rPr>
        <w:t>L’atome de S est un bon nucléophile mais un mauvais groupe partant</w:t>
      </w:r>
    </w:p>
    <w:p>
      <w:pPr>
        <w:rPr>
          <w:rFonts w:eastAsiaTheme="minorEastAsia"/>
        </w:rPr>
      </w:pPr>
      <w:r>
        <w:rPr>
          <w:rFonts w:eastAsiaTheme="minorEastAsia"/>
        </w:rPr>
        <w:t>Un riche attaque un pauvre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Un mou (atome avec qu’un dure (atome très électronégatif avec un faible nombre de couches électrioniques). </w:t>
      </w:r>
    </w:p>
    <w:p>
      <w:pPr>
        <w:rPr>
          <w:rFonts w:eastAsiaTheme="minorEastAsia"/>
        </w:rPr>
      </w:pPr>
      <w:r>
        <w:rPr>
          <w:rFonts w:eastAsiaTheme="minorEastAsia"/>
        </w:rPr>
        <w:t>Exemple : le thiol (S) est un bon électrophile mais un mauvais nucléofuge (groupe partant).</w:t>
      </w:r>
    </w:p>
    <w:p>
      <w:pPr>
        <w:rPr>
          <w:rFonts w:eastAsiaTheme="minorEastAsia"/>
        </w:rPr>
      </w:pPr>
      <w:r>
        <w:rPr>
          <w:rFonts w:eastAsiaTheme="minorEastAsia"/>
        </w:rPr>
        <w:t>L’oxydation en milieu biologique se déroule par quasiment tout le temps grâce à NAD (NAD+) ou FAD</w:t>
      </w:r>
    </w:p>
    <w:p>
      <w:r>
        <w:t>Gros nuage de S le rend plus facilement polarisable </w:t>
      </w:r>
    </w:p>
    <w:p>
      <w:r>
        <w:t>NOH O par effet inductif donneur o est nucléophile. 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lang w:eastAsia="fr-FR"/>
        </w:rPr>
        <w:t>Force motrice : étape irréversible qui permet de favoriser la réaction dans un sens. Par exemple, lorsqu’une réaction produit un gaz c’est à dire la production d’une molécule qui quitte le système. 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lang w:eastAsia="fr-FR"/>
        </w:rPr>
        <w:t>Prototropie et tautomérie la différence. La tautomérie peut se réaliser uniquement des atomes reliés à 4 liaisons. 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lang w:eastAsia="fr-FR"/>
        </w:rPr>
        <w:t>La prototropie fait intervenir un intermédiaire réactionnel. Le mécanisme n’est généralement pas écrit. </w:t>
      </w:r>
    </w:p>
    <w:p>
      <w:r>
        <w:t>Transposition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>
      <w:pPr>
        <w:ind w:left="708" w:hanging="708"/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2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27"/>
  </w:num>
  <w:num w:numId="10">
    <w:abstractNumId w:val="14"/>
  </w:num>
  <w:num w:numId="11">
    <w:abstractNumId w:val="15"/>
  </w:num>
  <w:num w:numId="12">
    <w:abstractNumId w:val="4"/>
  </w:num>
  <w:num w:numId="13">
    <w:abstractNumId w:val="29"/>
  </w:num>
  <w:num w:numId="14">
    <w:abstractNumId w:val="19"/>
  </w:num>
  <w:num w:numId="15">
    <w:abstractNumId w:val="22"/>
  </w:num>
  <w:num w:numId="16">
    <w:abstractNumId w:val="31"/>
  </w:num>
  <w:num w:numId="17">
    <w:abstractNumId w:val="5"/>
  </w:num>
  <w:num w:numId="18">
    <w:abstractNumId w:val="9"/>
  </w:num>
  <w:num w:numId="19">
    <w:abstractNumId w:val="21"/>
  </w:num>
  <w:num w:numId="20">
    <w:abstractNumId w:val="28"/>
  </w:num>
  <w:num w:numId="21">
    <w:abstractNumId w:val="17"/>
  </w:num>
  <w:num w:numId="22">
    <w:abstractNumId w:val="24"/>
  </w:num>
  <w:num w:numId="23">
    <w:abstractNumId w:val="33"/>
  </w:num>
  <w:num w:numId="24">
    <w:abstractNumId w:val="30"/>
  </w:num>
  <w:num w:numId="25">
    <w:abstractNumId w:val="32"/>
  </w:num>
  <w:num w:numId="26">
    <w:abstractNumId w:val="6"/>
  </w:num>
  <w:num w:numId="27">
    <w:abstractNumId w:val="0"/>
  </w:num>
  <w:num w:numId="28">
    <w:abstractNumId w:val="16"/>
  </w:num>
  <w:num w:numId="29">
    <w:abstractNumId w:val="11"/>
  </w:num>
  <w:num w:numId="30">
    <w:abstractNumId w:val="23"/>
  </w:num>
  <w:num w:numId="31">
    <w:abstractNumId w:val="18"/>
  </w:num>
  <w:num w:numId="32">
    <w:abstractNumId w:val="2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2021-05-17T20:06:00Z</dcterms:created>
  <dcterms:modified xsi:type="dcterms:W3CDTF">2021-11-07T20:05:00Z</dcterms:modified>
</cp:coreProperties>
</file>