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t>Kékulé</w:t>
      </w:r>
      <w:proofErr w:type="spellEnd"/>
      <w:r>
        <w:t xml:space="preserve"> :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Zwitterion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Charge partielle noté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charge inférieure à la charge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Formelle répartition des électrons lié à la répartition des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Réducteur (par opposition à l’oxydant) atome qui gagne un ou plusieurs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Degré d’oxydation différence d’électrons autour de l’atome.</w:t>
      </w:r>
    </w:p>
    <w:p>
      <w:pPr>
        <w:rPr>
          <w:rFonts w:eastAsiaTheme="minorEastAsia"/>
        </w:rPr>
      </w:pPr>
      <w:r>
        <w:rPr>
          <w:rFonts w:eastAsiaTheme="minorEastAsia"/>
        </w:rPr>
        <w:t>Rmq :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Différence d’électronégativité est &gt;0,5 pour que l’atome récupère celui du voisin 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celui du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rPr>
          <w:rFonts w:eastAsiaTheme="minorEastAsia"/>
        </w:rPr>
      </w:pPr>
      <w:r>
        <w:rPr>
          <w:rFonts w:eastAsiaTheme="minorEastAsia"/>
        </w:rPr>
        <w:t>Thermodynamique équilibre maximale stabilité moléculaire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Notion d’énergie d’activation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 sur la rencontre entre les molécules (collision)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Fonts w:eastAsiaTheme="minorEastAsia"/>
        </w:rPr>
        <w:t>Réaction élémentaire réaction en une seule étape.</w:t>
      </w:r>
    </w:p>
    <w:p>
      <w:pPr>
        <w:rPr>
          <w:rFonts w:eastAsiaTheme="minorEastAsia"/>
        </w:rPr>
      </w:pPr>
      <w:r>
        <w:rPr>
          <w:rFonts w:eastAsiaTheme="minorEastAsia"/>
        </w:rPr>
        <w:t>Molarité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Composé de coordination molécule composé d’un cation central ou d’un métal. </w:t>
      </w:r>
    </w:p>
    <w:p>
      <w:pPr>
        <w:rPr>
          <w:rFonts w:eastAsiaTheme="minorEastAsia"/>
        </w:rPr>
      </w:pP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6"/>
  </w:num>
  <w:num w:numId="9">
    <w:abstractNumId w:val="22"/>
  </w:num>
  <w:num w:numId="10">
    <w:abstractNumId w:val="11"/>
  </w:num>
  <w:num w:numId="11">
    <w:abstractNumId w:val="12"/>
  </w:num>
  <w:num w:numId="12">
    <w:abstractNumId w:val="2"/>
  </w:num>
  <w:num w:numId="13">
    <w:abstractNumId w:val="24"/>
  </w:num>
  <w:num w:numId="14">
    <w:abstractNumId w:val="15"/>
  </w:num>
  <w:num w:numId="15">
    <w:abstractNumId w:val="18"/>
  </w:num>
  <w:num w:numId="16">
    <w:abstractNumId w:val="26"/>
  </w:num>
  <w:num w:numId="17">
    <w:abstractNumId w:val="3"/>
  </w:num>
  <w:num w:numId="18">
    <w:abstractNumId w:val="6"/>
  </w:num>
  <w:num w:numId="19">
    <w:abstractNumId w:val="17"/>
  </w:num>
  <w:num w:numId="20">
    <w:abstractNumId w:val="23"/>
  </w:num>
  <w:num w:numId="21">
    <w:abstractNumId w:val="14"/>
  </w:num>
  <w:num w:numId="22">
    <w:abstractNumId w:val="19"/>
  </w:num>
  <w:num w:numId="23">
    <w:abstractNumId w:val="28"/>
  </w:num>
  <w:num w:numId="24">
    <w:abstractNumId w:val="25"/>
  </w:num>
  <w:num w:numId="25">
    <w:abstractNumId w:val="27"/>
  </w:num>
  <w:num w:numId="26">
    <w:abstractNumId w:val="4"/>
  </w:num>
  <w:num w:numId="27">
    <w:abstractNumId w:val="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2021-05-17T20:06:00Z</dcterms:created>
  <dcterms:modified xsi:type="dcterms:W3CDTF">2021-08-10T15:43:00Z</dcterms:modified>
</cp:coreProperties>
</file>