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 Norme de réaction : ensemble de phénotypes observés pour un même génotype selon les conditions environnementales.</w:t>
      </w:r>
    </w:p>
    <w:p>
      <w:r>
        <w:t xml:space="preserve">Plasticité phénotypique : capacité d'un organisme à exprimer </w:t>
      </w:r>
    </w:p>
    <w:p>
      <w:r>
        <w:t xml:space="preserve">différents phénotypes à partir d'un génotype donné selon </w:t>
      </w:r>
    </w:p>
    <w:p>
      <w:r>
        <w:t>l’environnement.</w:t>
      </w:r>
    </w:p>
    <w:p>
      <w:pPr>
        <w:pStyle w:val="Titre3"/>
      </w:pPr>
      <w:r>
        <w:t>Vocabulaire</w:t>
      </w:r>
    </w:p>
    <w:p>
      <w:r>
        <w:t>Attention : il n’existe pas de hiéarchies entre les allèles mais entre les phénotypes. Ainsi, on dira qu’un phénotype [A] est dominant sur [a].</w:t>
      </w:r>
    </w:p>
    <w:p>
      <w:pPr>
        <w:pStyle w:val="Titre3"/>
      </w:pPr>
      <w:r>
        <w:t>Objectifs</w:t>
      </w:r>
    </w:p>
    <w:p>
      <w:r>
        <w:t>S’intéresse a l’histoire des populations</w:t>
      </w:r>
    </w:p>
    <w:p>
      <w:r>
        <w:t>Prédiction pour la conservation pour anticiper la perte de diversité génétique et prévenir les risques lié à la consanguinité. réintroductire des individus pour maintenir</w:t>
      </w:r>
    </w:p>
    <w:p>
      <w:r>
        <w:t>Comprendre les effets de la consanguinité</w:t>
      </w:r>
    </w:p>
    <w:p/>
    <w:p/>
    <w:p>
      <w:r>
        <w:t>Mutation</w:t>
      </w:r>
    </w:p>
    <w:p>
      <w:r>
        <w:t>Dérive génétique</w:t>
      </w:r>
    </w:p>
    <w:p>
      <w:r>
        <w:t>Écart à la panmixie</w:t>
      </w:r>
    </w:p>
    <w:p>
      <w:r>
        <w:t>Sélection</w:t>
      </w:r>
    </w:p>
    <w:p>
      <w:r>
        <w:t>Sélection sexuelle</w:t>
      </w:r>
    </w:p>
    <w:p>
      <w:r>
        <w:t>Altruisme</w:t>
      </w:r>
    </w:p>
    <w:p>
      <w:r>
        <w:t>Sélection parentèle</w:t>
      </w:r>
    </w:p>
    <w:p>
      <w:r>
        <w:t>Migration</w:t>
      </w:r>
    </w:p>
    <w:p>
      <w:r>
        <w:t xml:space="preserve">Panmixie </w:t>
      </w:r>
    </w:p>
    <w:p>
      <w:r>
        <w:t>Estimation de la fréquence des différents allèles présent dans la population.</w:t>
      </w:r>
    </w:p>
    <w:p>
      <w:r>
        <w:t>Hypothèse : on considère le nombre d’individus infini.</w:t>
      </w:r>
    </w:p>
    <w:p>
      <w:r>
        <w:t>La population est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27"/>
        <w:gridCol w:w="2704"/>
        <w:gridCol w:w="1276"/>
        <w:gridCol w:w="827"/>
        <w:gridCol w:w="70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Ens. des allèles d’un gène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 à t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r>
        <w:t>L’équilibre est stable car à chaque génération on retrouve les fréquences de départ des allèles.</w:t>
      </w:r>
    </w:p>
    <w:p>
      <w:r>
        <w:t xml:space="preserve">Dans la réalité, il existe de multiples causes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>Des mutations dans les cellules germinales (gamètes). Taux de mutation par gamète et par génération</w:t>
      </w:r>
    </w:p>
    <w:p>
      <w:pPr>
        <w:pStyle w:val="Paragraphedeliste"/>
        <w:numPr>
          <w:ilvl w:val="0"/>
          <w:numId w:val="26"/>
        </w:numPr>
      </w:pPr>
      <w:r>
        <w:t>Dérive génétiques. Le « tirage au sort » qui a lieu lors de la formation des gamètes n’est pas représentatif de la population.</w:t>
      </w:r>
    </w:p>
    <w:p>
      <w:pPr>
        <w:pStyle w:val="Paragraphedeliste"/>
        <w:numPr>
          <w:ilvl w:val="0"/>
          <w:numId w:val="26"/>
        </w:numPr>
      </w:pPr>
      <w:r>
        <w:t>La rencontre entre deux gamètes n’est pas aléatoire. On parlera de pangamie lorsque les gamètes se rencontrent au hasard (et de panmixie pour les rencontres entre les individus).</w:t>
      </w:r>
    </w:p>
    <w:p>
      <w:pPr>
        <w:pStyle w:val="Paragraphedeliste"/>
        <w:numPr>
          <w:ilvl w:val="0"/>
          <w:numId w:val="26"/>
        </w:numPr>
      </w:pPr>
      <w:r>
        <w:t>Valeur sélective (taux de survie et de fécondité) : nombre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varit en fonction du génotype.</w:t>
      </w:r>
    </w:p>
    <w:p>
      <w:pPr>
        <w:pStyle w:val="Paragraphedeliste"/>
        <w:numPr>
          <w:ilvl w:val="1"/>
          <w:numId w:val="26"/>
        </w:numPr>
      </w:pPr>
      <w:r>
        <w:lastRenderedPageBreak/>
        <w:t>Un taux de fécondité différent entre les génotypes.</w:t>
      </w:r>
    </w:p>
    <w:p>
      <w:pPr>
        <w:pStyle w:val="Paragraphedeliste"/>
        <w:numPr>
          <w:ilvl w:val="0"/>
          <w:numId w:val="26"/>
        </w:numPr>
      </w:pPr>
      <w:r>
        <w:t>Les migrations avec des fréquences différentes de la population étuidée.</w:t>
      </w:r>
    </w:p>
    <w:p>
      <w:pPr>
        <w:ind w:left="360"/>
      </w:pPr>
      <w:r>
        <w:t xml:space="preserve">Distorsion de ségrégation miotique c’est lorsqu’un groupe de gènes, souvent situé sur le même chromosome, est transmis et confèrent un </w:t>
      </w:r>
    </w:p>
    <w:p>
      <w:pPr>
        <w:ind w:left="360"/>
      </w:pPr>
      <w:r>
        <w:t>Par exemple, l’absence de ce groupe entraine la mortalité du gamète.</w:t>
      </w:r>
    </w:p>
    <w:p>
      <w:pPr>
        <w:ind w:left="360"/>
      </w:pPr>
      <w:r>
        <w:t>A l’quilibre lorsque les paramètres (notamment les fréquences) n’évoluent plus.</w:t>
      </w:r>
    </w:p>
    <w:p>
      <w:pPr>
        <w:ind w:left="360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attentues avec les fréquences obtenus.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Khi-2. Degré de liberté = nombre de paramètres indépendants.</w:t>
      </w:r>
    </w:p>
    <w:p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accepté. Cela correspond à la probabilité de rejeter H0 alors que c’est vraie.</w:t>
      </w:r>
    </w:p>
    <w:p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H0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dirat que l’on ne rejette pas H0.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sont non prédictible fluctuation aléatoires.</w:t>
      </w:r>
    </w:p>
    <w:p>
      <w:r>
        <w:t>Les changements de fréquences ont un impact important sur les populations de faible effectifs. Particulièrement vulnérable puisque l’appartition de mutants est rare.</w:t>
      </w:r>
    </w:p>
    <w:p>
      <w:r>
        <w:t>Les populations avec de faibles effectifs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La théorie neutraliste</w:t>
      </w:r>
    </w:p>
    <w:p>
      <w:r>
        <w:t xml:space="preserve">La probabilité de substitution d’un allèle </w:t>
      </w:r>
    </w:p>
    <w:p>
      <w:pPr>
        <w:pStyle w:val="Titre2"/>
      </w:pPr>
      <w:r>
        <w:t>Les croisements non panmixie</w:t>
      </w:r>
    </w:p>
    <w:p>
      <w:r>
        <w:t xml:space="preserve">Les causes </w:t>
      </w:r>
    </w:p>
    <w:p>
      <w:r>
        <w:t>Autofécondation</w:t>
      </w:r>
    </w:p>
    <w:p>
      <w:r>
        <w:t>Consanguinité (de choix, de position ou dû au faible effectif)</w:t>
      </w:r>
    </w:p>
    <w:p>
      <w:r>
        <w:t>Homogamie (et hétérogamie) c’est lorsqu’un individu a tendance à se reproduire avec un partenaire avec qui il partage des caractéristiques génétiques.</w:t>
      </w:r>
    </w:p>
    <w:p>
      <w:r>
        <w:t>L’autofécondation</w:t>
      </w:r>
    </w:p>
    <w:p>
      <w:r>
        <w:t>A l’équilibre, on aura uniquement des homozyogotes.</w:t>
      </w:r>
    </w:p>
    <w:p>
      <w:r>
        <w:t xml:space="preserve">Les fréquences alléliques ne changent pas. </w:t>
      </w:r>
    </w:p>
    <w:p>
      <w:r>
        <w:t>Modifciation des fréquences géntopytiques</w:t>
      </w:r>
    </w:p>
    <w:p>
      <w:r>
        <w:t>Il existe des mécanismes d’auto-incompatibilité qui permettent de prévenir en partie l’autofécondation.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</cp:revision>
  <cp:lastPrinted>2021-02-13T18:38:00Z</cp:lastPrinted>
  <dcterms:created xsi:type="dcterms:W3CDTF">2021-05-17T20:06:00Z</dcterms:created>
  <dcterms:modified xsi:type="dcterms:W3CDTF">2021-05-28T19:42:00Z</dcterms:modified>
</cp:coreProperties>
</file>