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Vocabulaire </w:t>
      </w:r>
    </w:p>
    <w:p>
      <w:r>
        <w:rPr>
          <w:rStyle w:val="Accentuation"/>
        </w:rPr>
        <w:t>Norme de réaction</w:t>
      </w:r>
      <w:r>
        <w:t xml:space="preserve"> ensemble de phénotypes observés pour un même génotype selon les conditions environnementales.</w:t>
      </w:r>
    </w:p>
    <w:p>
      <w:r>
        <w:rPr>
          <w:rStyle w:val="Accentuation"/>
        </w:rPr>
        <w:t>Plasticité phénotypique</w:t>
      </w:r>
      <w:r>
        <w:t xml:space="preserve"> capacité d'un organisme à exprimer différents phénotypes à partir d'un génotype donné selon l’environnement.</w:t>
      </w:r>
    </w:p>
    <w:p>
      <w:r>
        <w:t>Attention il n’existe pas de hiéarchies entre les allèles mais entre les phénotypes. Ainsi, on dira qu’un phénotype [A] est dominant sur [a].</w:t>
      </w:r>
    </w:p>
    <w:p>
      <w:pPr>
        <w:pStyle w:val="Titre3"/>
      </w:pPr>
      <w:r>
        <w:t>Objectifs</w:t>
      </w:r>
    </w:p>
    <w:p>
      <w:r>
        <w:t xml:space="preserve">La génétique des population s’intéresse à l’histoire des populations. En comprenant leur dynamique passée, on peut prévoir l’évolution et . C’est utile pour anticiper les pertes de diversité génétique et prévenir les risques lié à la consanguinité en organisant par exemple des réintroductions pour maintenir un certain niveau de diversité génétique dans une popualtion. </w:t>
      </w:r>
    </w:p>
    <w:p>
      <w:pPr>
        <w:pStyle w:val="Titre2"/>
      </w:pPr>
      <w:r>
        <w:t>Estimation de la fréquence des différents allèles présent dans la population</w:t>
      </w:r>
    </w:p>
    <w:p>
      <w:r>
        <w:t>Hypothèse : on considère le nombre d’individus infini.</w:t>
      </w:r>
    </w:p>
    <w:p>
      <w:r>
        <w:t>La population est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27"/>
        <w:gridCol w:w="2704"/>
        <w:gridCol w:w="1276"/>
        <w:gridCol w:w="827"/>
        <w:gridCol w:w="70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Ens. des allèles d’un gène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Fréquence à t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 xml:space="preserve">Fréquence des 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 t+1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>
      <w:r>
        <w:t>L’équilibre est stable car à chaque génération on retrouve les fréquences de départ des allèles. L’équilibre correspond mathématiquement à :</w:t>
      </w:r>
    </w:p>
    <w:p>
      <m:oMathPara>
        <m:oMath>
          <m:r>
            <w:rPr>
              <w:rFonts w:ascii="Cambria Math" w:hAnsi="Cambria Math"/>
            </w:rPr>
            <m:t>∆P=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>
      <w:r>
        <w:t xml:space="preserve">Dans la réalité, il existe de multiples causes qui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>Des mutations dans les cellules germinales (gamètes). On parle notamlent du taux de mutation par gamète et par génération.</w:t>
      </w:r>
    </w:p>
    <w:p>
      <w:pPr>
        <w:pStyle w:val="Paragraphedeliste"/>
        <w:numPr>
          <w:ilvl w:val="0"/>
          <w:numId w:val="26"/>
        </w:numPr>
      </w:pPr>
      <w:r>
        <w:t>La dérive génétiques qui correspont au « tirage au sort » lors de la formation des gamètes qui n’est pas représentatif de la population.</w:t>
      </w:r>
    </w:p>
    <w:p>
      <w:pPr>
        <w:pStyle w:val="Paragraphedeliste"/>
        <w:numPr>
          <w:ilvl w:val="0"/>
          <w:numId w:val="26"/>
        </w:numPr>
      </w:pPr>
      <w:r>
        <w:t>La rencontre entre deux gamètes n’est pas aléatoire. On parlera de pangamie lorsque les gamètes se rencontrent au hasard (et de panmixie pour les rencontres entre les individus).</w:t>
      </w:r>
    </w:p>
    <w:p>
      <w:pPr>
        <w:pStyle w:val="Paragraphedeliste"/>
        <w:numPr>
          <w:ilvl w:val="0"/>
          <w:numId w:val="26"/>
        </w:numPr>
      </w:pPr>
      <w:r>
        <w:t>Valeur sélective (taux de survie et de fécondité) : nombre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varit en fonction du génotype.</w:t>
      </w:r>
    </w:p>
    <w:p>
      <w:pPr>
        <w:pStyle w:val="Paragraphedeliste"/>
        <w:numPr>
          <w:ilvl w:val="1"/>
          <w:numId w:val="26"/>
        </w:numPr>
      </w:pPr>
      <w:r>
        <w:t>Un taux de fécondité différent entre les génotypes.</w:t>
      </w:r>
    </w:p>
    <w:p>
      <w:pPr>
        <w:pStyle w:val="Paragraphedeliste"/>
        <w:numPr>
          <w:ilvl w:val="0"/>
          <w:numId w:val="26"/>
        </w:numPr>
      </w:pPr>
      <w:r>
        <w:t>Les migrations avec des fréquences différentes de la population étudiée.</w:t>
      </w:r>
    </w:p>
    <w:p>
      <w:pPr>
        <w:ind w:left="360"/>
      </w:pPr>
      <w:r>
        <w:t xml:space="preserve">Distorsion de ségrégation miotique c’est lorsqu’un groupe de gènes, souvent situé sur le même chromosome, est transmis et confèrent un </w:t>
      </w:r>
    </w:p>
    <w:p>
      <w:pPr>
        <w:ind w:left="360"/>
      </w:pPr>
      <w:r>
        <w:t>Par exemple, l’absence de ce groupe entraine la mortalité du gamète.</w:t>
      </w:r>
    </w:p>
    <w:p>
      <w:pPr>
        <w:ind w:left="360"/>
      </w:pPr>
      <w:r>
        <w:t>A l’équilibre lorsque les paramètres (notamment les fréquences) n’évoluent plus.</w:t>
      </w:r>
    </w:p>
    <w:p>
      <w:pPr>
        <w:ind w:left="360"/>
      </w:pPr>
      <w:r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attentues avec les fréquences obtenus.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lastRenderedPageBreak/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 :</w:t>
      </w:r>
    </w:p>
    <w:p>
      <w:pPr>
        <w:pStyle w:val="Paragraphedeliste"/>
        <w:numPr>
          <w:ilvl w:val="0"/>
          <w:numId w:val="29"/>
        </w:numPr>
      </w:pPr>
      <w:r>
        <w:t>Le degré de liberté : nombre de paramètres indépendants.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 : probabilité de rejeter H</w:t>
      </w:r>
      <w:r>
        <w:rPr>
          <w:vertAlign w:val="subscript"/>
        </w:rPr>
        <w:t>0</w:t>
      </w:r>
      <w:r>
        <w:t xml:space="preserve"> alors que c’est vraie.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dirat que l’on ne rejette pas H0.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</m:oMath>
      </m:oMathPara>
    </w:p>
    <w:p>
      <w:pPr>
        <w:pStyle w:val="Titre2"/>
      </w:pPr>
      <w:r>
        <w:t>Mutation</w:t>
      </w:r>
    </w:p>
    <w:p>
      <w:pPr>
        <w:rPr>
          <w:rFonts w:eastAsiaTheme="minorEastAsia"/>
        </w:rPr>
      </w:pPr>
      <w:r>
        <w:t xml:space="preserve">Pour un allèle A avec un taux de mutation U, sa fréquence à la génération suivante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Les mutations récurrente influence peu les fréquences allèliques seul mais comme ils sont toujours combiner avec d’autres facteurs évolutifs (environnement,…) et créer la variabilité initiale.</w:t>
      </w:r>
    </w:p>
    <w:p>
      <w:pPr>
        <w:rPr>
          <w:rFonts w:eastAsiaTheme="minorEastAsia"/>
        </w:rPr>
      </w:pPr>
      <w:r>
        <w:rPr>
          <w:rFonts w:eastAsiaTheme="minorEastAsia"/>
        </w:rPr>
        <w:t>En tenant compte du taux de mutation reverse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t>L’évolution aléatoire des fréquences alléliques au cours du temps fluctue aléatoirement et n’est pas prédictible.</w:t>
      </w:r>
    </w:p>
    <w:p>
      <w:r>
        <w:t>Ces changements de fréquences ont un impact important sur les populations de faibles effectifs et particulièrement vulnérables à l’appartition de mutants même si elles sont rares.</w:t>
      </w:r>
    </w:p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r>
        <w:t>La théorie neutraliste</w:t>
      </w:r>
    </w:p>
    <w:p>
      <w:r>
        <w:t xml:space="preserve">La probabilité de substitution d’un allèle </w:t>
      </w:r>
    </w:p>
    <w:p>
      <w:r>
        <w:t>On cherche à déterminer pour un individu quelqu’onque à quelle fréquence il y a de possèder chaque type d’allèle.</w:t>
      </w:r>
    </w:p>
    <w:p>
      <w:pPr>
        <w:pStyle w:val="Paragraphedeliste"/>
        <w:numPr>
          <w:ilvl w:val="0"/>
          <w:numId w:val="30"/>
        </w:numPr>
      </w:pPr>
      <w:r>
        <w:t xml:space="preserve">Déterminer les génotypes possibles. </w:t>
      </w:r>
    </w:p>
    <w:p>
      <w:pPr>
        <w:pStyle w:val="Paragraphedeliste"/>
        <w:numPr>
          <w:ilvl w:val="0"/>
          <w:numId w:val="30"/>
        </w:numPr>
      </w:pPr>
      <w:r>
        <w:t>Déduire les fréquences des allèles en utilisant le phénotype double recessif et les identités remarquables.</w:t>
      </w:r>
    </w:p>
    <w:p>
      <w:pPr>
        <w:pStyle w:val="Paragraphedeliste"/>
        <w:numPr>
          <w:ilvl w:val="0"/>
          <w:numId w:val="30"/>
        </w:numPr>
      </w:pPr>
    </w:p>
    <w:p>
      <w:pPr>
        <w:rPr>
          <w:rFonts w:eastAsiaTheme="minorEastAsia"/>
        </w:rPr>
      </w:pPr>
      <w:r>
        <w:rPr>
          <w:rFonts w:eastAsiaTheme="minorEastAsia"/>
        </w:rPr>
        <w:t xml:space="preserve"> La dérive génétique entraine une diminution des allèles et donc de la variabilité génétique </w:t>
      </w:r>
    </w:p>
    <w:p>
      <w:pPr>
        <w:rPr>
          <w:rFonts w:eastAsiaTheme="minorEastAsia"/>
        </w:rPr>
      </w:pPr>
      <w:r>
        <w:rPr>
          <w:rFonts w:eastAsiaTheme="minorEastAsia"/>
        </w:rPr>
        <w:t>Elle est d’autant plus rapide pour les populations de faibles effectifs.</w:t>
      </w:r>
    </w:p>
    <w:p>
      <w:r>
        <w:rPr>
          <w:rFonts w:eastAsiaTheme="minorEastAsia"/>
        </w:rPr>
        <w:t>Note des passages de goulots d’étranglement par exemple lors d’un catastrophe naturel provoque une période avec une population avec un faible effectif.</w:t>
      </w:r>
    </w:p>
    <w:p>
      <w:pPr>
        <w:pStyle w:val="Titre2"/>
      </w:pPr>
      <w:r>
        <w:t>Les croisements non panmixie</w:t>
      </w:r>
    </w:p>
    <w:p>
      <w:r>
        <w:t xml:space="preserve">Les causes de croisements non panmixie peuvent être dû à : </w:t>
      </w:r>
    </w:p>
    <w:p>
      <w:pPr>
        <w:pStyle w:val="Paragraphedeliste"/>
        <w:numPr>
          <w:ilvl w:val="0"/>
          <w:numId w:val="31"/>
        </w:numPr>
      </w:pPr>
      <w:r>
        <w:t>Autofécondation</w:t>
      </w:r>
    </w:p>
    <w:p>
      <w:pPr>
        <w:pStyle w:val="Paragraphedeliste"/>
        <w:numPr>
          <w:ilvl w:val="0"/>
          <w:numId w:val="31"/>
        </w:numPr>
      </w:pPr>
      <w:r>
        <w:t>Consanguinité (de choix, de position ou dû au faible effectif)</w:t>
      </w:r>
    </w:p>
    <w:p>
      <w:pPr>
        <w:pStyle w:val="Paragraphedeliste"/>
        <w:numPr>
          <w:ilvl w:val="0"/>
          <w:numId w:val="31"/>
        </w:numPr>
      </w:pPr>
      <w:r>
        <w:t>Homogamie (et hétérogamie) c’est lorsqu’un individu a tendance à se reproduire avec un partenaire avec qui il partage le même phénotype.</w:t>
      </w:r>
    </w:p>
    <w:p>
      <w:pPr>
        <w:pStyle w:val="Titre3"/>
      </w:pPr>
      <w:r>
        <w:lastRenderedPageBreak/>
        <w:t>L’autofécondation</w:t>
      </w:r>
    </w:p>
    <w:p>
      <w:pPr>
        <w:rPr>
          <w:rFonts w:eastAsiaTheme="minorEastAsia"/>
        </w:rPr>
      </w:pPr>
      <w:r>
        <w:t xml:space="preserve">A l’équilibre, on aura uniquement des homozyogotes car même si l’individu est hétérozygote (Aa), ces descendants auront 50% de chances de conserver l’hétérozygote :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probabilité d’hétérozote diminue de moitié à chaque génération 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=0,5.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population, </w:t>
      </w:r>
    </w:p>
    <w:p>
      <w:r>
        <w:rPr>
          <w:rFonts w:eastAsiaTheme="minorEastAsia"/>
        </w:rPr>
        <w:t xml:space="preserve">La perte des hétérozygotes est extrêment rapide et tout le génome est conserné c’est-à-dire une </w:t>
      </w:r>
      <w:r>
        <w:t>modifciation des fréquences génotypiques.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>
        <w:tc>
          <w:tcPr>
            <w:tcW w:w="3114" w:type="dxa"/>
          </w:tcPr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0,5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  <w:b/>
              </w:rPr>
              <w:t>.0,5</w:t>
            </w:r>
          </w:p>
        </w:tc>
        <w:tc>
          <w:tcPr>
            <w:tcW w:w="4221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d’homozygote AA dans la population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d’hétérozygote Aa dans la population</w:t>
            </w:r>
          </w:p>
        </w:tc>
      </w:tr>
    </w:tbl>
    <w:p>
      <w:r>
        <w:rPr>
          <w:rFonts w:eastAsiaTheme="minorEastAsia"/>
        </w:rPr>
        <w:t xml:space="preserve">Ainsi, sur le long terme (c’est-à-dire quand n tend vers l’infini), les </w:t>
      </w:r>
      <w:r>
        <w:t>fréquences alléliques ne changent pas.</w:t>
      </w:r>
    </w:p>
    <w:p>
      <w:r>
        <w:t>Dans la Nature et notamment chez les plantes, il existe des mécanismes d’auto-incompatibilité qui permettent de prévenir en partie l’autofécondation.</w:t>
      </w:r>
    </w:p>
    <w:p>
      <w:pPr>
        <w:pStyle w:val="Titre2"/>
      </w:pPr>
      <w:r>
        <w:t>Consanguinité</w:t>
      </w:r>
    </w:p>
    <w:p>
      <w:r>
        <w:t>Les principales causes de consanguinité sont :</w:t>
      </w:r>
    </w:p>
    <w:p>
      <w:pPr>
        <w:pStyle w:val="Paragraphedeliste"/>
        <w:numPr>
          <w:ilvl w:val="0"/>
          <w:numId w:val="32"/>
        </w:numPr>
      </w:pPr>
      <w:r>
        <w:t>Des facteurs culturelles pour les hommes.</w:t>
      </w:r>
    </w:p>
    <w:p>
      <w:pPr>
        <w:pStyle w:val="Paragraphedeliste"/>
        <w:numPr>
          <w:ilvl w:val="0"/>
          <w:numId w:val="32"/>
        </w:numPr>
      </w:pPr>
      <w:r>
        <w:t>L’absence de choix de partenaires les populations avec peu d’individus.</w:t>
      </w:r>
    </w:p>
    <w:p>
      <w:r>
        <w:t xml:space="preserve">Un individu est autozyote s’il possède pour un gène deux allèles identiques issue d’un unique ancêtre. </w:t>
      </w:r>
    </w:p>
    <w:p>
      <w:r>
        <w:t xml:space="preserve">Coefficient de parenté </w:t>
      </w:r>
    </w:p>
    <w:p>
      <w:r>
        <w:t xml:space="preserve">Coefficient de consanguinité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issue d’un croisement de deux individus apparenté. C’est le pourcentage de gènes autozygote pour un individu.</w:t>
      </w:r>
    </w:p>
    <w:p>
      <w:r>
        <w:t xml:space="preserve">Coefficient de parenté entre deux individus correspond au nombre de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A chaque génération, la </w:t>
      </w:r>
      <m:oMath>
        <m:r>
          <w:rPr>
            <w:rFonts w:ascii="Cambria Math" w:hAnsi="Cambria Math"/>
          </w:rPr>
          <m:t>0,5</m:t>
        </m:r>
      </m:oMath>
    </w:p>
    <w:p>
      <w:pPr>
        <w:rPr>
          <w:rFonts w:eastAsiaTheme="minorEastAsia"/>
        </w:rPr>
      </w:pP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sélection</w:t>
      </w:r>
    </w:p>
    <w:p>
      <w:r>
        <w:t>Valeur sélective nombre moyen de descendants viables et fertiles laissé par cet individu.</w:t>
      </w:r>
    </w:p>
    <w:p>
      <w:r>
        <w:t xml:space="preserve">Par convention, la valeur sélective maximale est 1. </w:t>
      </w:r>
    </w:p>
    <w:p>
      <w:r>
        <w:t>Valeur sélective absolue = Nbre de descendants/Fertilité</w:t>
      </w:r>
    </w:p>
    <w:p>
      <w:r>
        <w:t xml:space="preserve">Valeur sélective relative = </w:t>
      </w:r>
      <w:r>
        <w:t>Valeur sélective absolue</w:t>
      </w:r>
      <w:r>
        <w:t xml:space="preserve">/max </w:t>
      </w:r>
      <w:r>
        <w:t>Valeur sélective absolue</w:t>
      </w:r>
    </w:p>
    <w:p>
      <w:pPr>
        <w:pStyle w:val="Titre2"/>
      </w:pPr>
      <w:r>
        <w:t>Altruisme et sélection parentèle</w:t>
      </w:r>
    </w:p>
    <w:p/>
    <w:p>
      <w:pPr>
        <w:pStyle w:val="Titre2"/>
      </w:pPr>
      <w:r>
        <w:t>Migration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2505762"/>
    <w:multiLevelType w:val="hybridMultilevel"/>
    <w:tmpl w:val="2CC85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92E"/>
    <w:multiLevelType w:val="hybridMultilevel"/>
    <w:tmpl w:val="58F8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43"/>
    <w:multiLevelType w:val="hybridMultilevel"/>
    <w:tmpl w:val="FF9CA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7571"/>
    <w:multiLevelType w:val="hybridMultilevel"/>
    <w:tmpl w:val="88F2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A7C06"/>
    <w:multiLevelType w:val="hybridMultilevel"/>
    <w:tmpl w:val="6A46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8"/>
  </w:num>
  <w:num w:numId="9">
    <w:abstractNumId w:val="24"/>
  </w:num>
  <w:num w:numId="10">
    <w:abstractNumId w:val="11"/>
  </w:num>
  <w:num w:numId="11">
    <w:abstractNumId w:val="12"/>
  </w:num>
  <w:num w:numId="12">
    <w:abstractNumId w:val="3"/>
  </w:num>
  <w:num w:numId="13">
    <w:abstractNumId w:val="26"/>
  </w:num>
  <w:num w:numId="14">
    <w:abstractNumId w:val="16"/>
  </w:num>
  <w:num w:numId="15">
    <w:abstractNumId w:val="20"/>
  </w:num>
  <w:num w:numId="16">
    <w:abstractNumId w:val="28"/>
  </w:num>
  <w:num w:numId="17">
    <w:abstractNumId w:val="4"/>
  </w:num>
  <w:num w:numId="18">
    <w:abstractNumId w:val="7"/>
  </w:num>
  <w:num w:numId="19">
    <w:abstractNumId w:val="19"/>
  </w:num>
  <w:num w:numId="20">
    <w:abstractNumId w:val="25"/>
  </w:num>
  <w:num w:numId="21">
    <w:abstractNumId w:val="15"/>
  </w:num>
  <w:num w:numId="22">
    <w:abstractNumId w:val="21"/>
  </w:num>
  <w:num w:numId="23">
    <w:abstractNumId w:val="31"/>
  </w:num>
  <w:num w:numId="24">
    <w:abstractNumId w:val="27"/>
  </w:num>
  <w:num w:numId="25">
    <w:abstractNumId w:val="30"/>
  </w:num>
  <w:num w:numId="26">
    <w:abstractNumId w:val="5"/>
  </w:num>
  <w:num w:numId="27">
    <w:abstractNumId w:val="1"/>
  </w:num>
  <w:num w:numId="28">
    <w:abstractNumId w:val="29"/>
  </w:num>
  <w:num w:numId="29">
    <w:abstractNumId w:val="0"/>
  </w:num>
  <w:num w:numId="30">
    <w:abstractNumId w:val="13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16</cp:revision>
  <cp:lastPrinted>2021-02-13T18:38:00Z</cp:lastPrinted>
  <dcterms:created xsi:type="dcterms:W3CDTF">2021-05-17T20:06:00Z</dcterms:created>
  <dcterms:modified xsi:type="dcterms:W3CDTF">2021-06-02T08:04:00Z</dcterms:modified>
</cp:coreProperties>
</file>