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codent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 (par opposition à polymorphisme).</w:t>
      </w:r>
    </w:p>
    <w:p>
      <w:r>
        <w:t>Attention il n’existe pas de hiérarchies entre les allèles mais entre les phénotypes. Ainsi, on dira qu’un phénotype [A] est dominant sur [a].</w:t>
      </w:r>
    </w:p>
    <w:p>
      <w:r>
        <w:t>Nb : un allèle dominant ne s’exprime pas toujours. Il peut être caractérisé par l’absence d’expression.</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3"/>
      </w:pPr>
      <w:r>
        <w:t>Les indicateurs de diversité</w:t>
      </w:r>
    </w:p>
    <w:p>
      <w:r>
        <w:t>Taux d’allèles hétérozygotes,</w:t>
      </w:r>
    </w:p>
    <w:p>
      <w:r>
        <w:t>Taux de polymorphisme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lastRenderedPageBreak/>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Allèles</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w:t>
      </w:r>
    </w:p>
    <w:p>
      <w:r>
        <w:t>Par exemple, l’absence de ce groupe entraine la mortalité du gamète.</w:t>
      </w:r>
    </w:p>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lastRenderedPageBreak/>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rPr>
          <w:rStyle w:val="Accentuation"/>
        </w:rPr>
        <w:t>Parenté</w:t>
      </w:r>
      <w:r>
        <w:t xml:space="preserve"> deux individus partageant au moins un ancêtre commun. </w:t>
      </w:r>
    </w:p>
    <w:p>
      <w:r>
        <w:rPr>
          <w:rStyle w:val="Accentuation"/>
        </w:rPr>
        <w:t>Coefficient de parenté</w:t>
      </w:r>
      <w:r>
        <w:t xml:space="preserve"> </w:t>
      </w:r>
      <w:r>
        <w:t>probabilité d’un allèle à un locus soit identique entre deux individus.</w:t>
      </w:r>
    </w:p>
    <w:p>
      <w:r>
        <w:rPr>
          <w:rStyle w:val="Accentuation"/>
        </w:rPr>
        <w:t>Consanguinité</w:t>
      </w:r>
      <w:r>
        <w:t> individu issue d’un croisement de deux individus apparentés. </w:t>
      </w:r>
    </w:p>
    <w:p>
      <w:pPr>
        <w:rPr>
          <w:b/>
          <w:bCs/>
        </w:rPr>
      </w:pPr>
      <w:r>
        <w:rPr>
          <w:rStyle w:val="Accentuation"/>
        </w:rPr>
        <w:t>Coefficient de consanguinité</w:t>
      </w:r>
      <w:r>
        <w:t xml:space="preserve">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 </w:t>
      </w:r>
    </w:p>
    <w:p>
      <w:pPr>
        <w:rPr>
          <w:rFonts w:ascii="Segoe UI" w:hAnsi="Segoe UI" w:cs="Segoe UI"/>
          <w:sz w:val="18"/>
          <w:szCs w:val="18"/>
        </w:rPr>
      </w:pPr>
      <w:r>
        <w:t xml:space="preserve">À chaque génération, la </w:t>
      </w:r>
      <m:oMath>
        <m:r>
          <w:rPr>
            <w:rFonts w:ascii="Cambria Math" w:hAnsi="Cambria Math"/>
          </w:rPr>
          <m:t>0,5</m:t>
        </m:r>
      </m:oMath>
      <w:r>
        <w:rPr>
          <w:rStyle w:val="normaltextrun"/>
          <w:rFonts w:ascii="Calibri" w:hAnsi="Calibri" w:cs="Calibri"/>
        </w:rPr>
        <w:t xml:space="preserve"> </w:t>
      </w:r>
    </w:p>
    <w:p>
      <w:pPr>
        <w:pStyle w:val="Titre1"/>
        <w:rPr>
          <w:rFonts w:eastAsiaTheme="minorEastAsia"/>
        </w:rPr>
      </w:pPr>
      <w:r>
        <w:rPr>
          <w:rFonts w:eastAsiaTheme="minorEastAsia"/>
        </w:rPr>
        <w:lastRenderedPageBreak/>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2"/>
      </w:pPr>
      <w:r>
        <w:t>Sélection naturelle</w:t>
      </w:r>
    </w:p>
    <w:p>
      <w:r>
        <w:t>Trois types de sélection naturelle</w:t>
      </w:r>
    </w:p>
    <w:p>
      <w:pPr>
        <w:pStyle w:val="Paragraphedeliste"/>
        <w:numPr>
          <w:ilvl w:val="0"/>
          <w:numId w:val="26"/>
        </w:numPr>
      </w:pPr>
      <w:r>
        <w:t>Directionnelle favorise un extrême</w:t>
      </w:r>
    </w:p>
    <w:p>
      <w:pPr>
        <w:pStyle w:val="Paragraphedeliste"/>
        <w:numPr>
          <w:ilvl w:val="0"/>
          <w:numId w:val="26"/>
        </w:numPr>
      </w:pPr>
      <w:r>
        <w:t>Divergente ou disruptive favorise les extrêmes et désavantage le phénotype intermédiaire.</w:t>
      </w:r>
    </w:p>
    <w:p>
      <w:pPr>
        <w:pStyle w:val="Paragraphedeliste"/>
        <w:numPr>
          <w:ilvl w:val="0"/>
          <w:numId w:val="26"/>
        </w:numPr>
      </w:pPr>
      <w:r>
        <w:t>Stabilisante ou normalisant favorise le phénotype intermédiaire et empêche toute déviation de celui-ci désavantage toute variation.</w:t>
      </w:r>
    </w:p>
    <w:p>
      <w:pPr>
        <w:pStyle w:val="Titre2"/>
      </w:pPr>
      <w:r>
        <w:t>Sélection sexuelle</w:t>
      </w:r>
    </w:p>
    <w:p>
      <w:r>
        <w:t>Elle peut donner notamment à un dimorphisme</w:t>
      </w:r>
    </w:p>
    <w:p>
      <w:pPr>
        <w:pStyle w:val="Paragraphedeliste"/>
        <w:numPr>
          <w:ilvl w:val="0"/>
          <w:numId w:val="26"/>
        </w:numPr>
      </w:pPr>
      <w:r>
        <w:t>Intrasexuelle entre les individus du même sexe. Un mâle dispose d’un groupe de femelle. 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 entre les populations</w:t>
      </w:r>
    </w:p>
    <w:p>
      <w:r>
        <w:t>Le flux génétique tend à diminuer les différences génétiques entre les populations.</w:t>
      </w:r>
    </w:p>
    <w:p>
      <w:r>
        <w:t>Les flux génétiques peuvent empêcher les populations de s’adapter pleinement à un environnement en empêchant la sélection naturelle de s’exercer pleinement.</w:t>
      </w:r>
    </w:p>
    <w:p>
      <w:r>
        <w:t xml:space="preserve">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r>
        <w:t>Méthode : il est parfois plus simple de faire les calculs de probabilité de l’événement inverse.</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50.25pt;height:21.7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561356924">
      <w:bodyDiv w:val="1"/>
      <w:marLeft w:val="0"/>
      <w:marRight w:val="0"/>
      <w:marTop w:val="0"/>
      <w:marBottom w:val="0"/>
      <w:divBdr>
        <w:top w:val="none" w:sz="0" w:space="0" w:color="auto"/>
        <w:left w:val="none" w:sz="0" w:space="0" w:color="auto"/>
        <w:bottom w:val="none" w:sz="0" w:space="0" w:color="auto"/>
        <w:right w:val="none" w:sz="0" w:space="0" w:color="auto"/>
      </w:divBdr>
      <w:divsChild>
        <w:div w:id="1492138386">
          <w:marLeft w:val="0"/>
          <w:marRight w:val="0"/>
          <w:marTop w:val="0"/>
          <w:marBottom w:val="0"/>
          <w:divBdr>
            <w:top w:val="none" w:sz="0" w:space="0" w:color="auto"/>
            <w:left w:val="none" w:sz="0" w:space="0" w:color="auto"/>
            <w:bottom w:val="none" w:sz="0" w:space="0" w:color="auto"/>
            <w:right w:val="none" w:sz="0" w:space="0" w:color="auto"/>
          </w:divBdr>
        </w:div>
        <w:div w:id="1052464769">
          <w:marLeft w:val="0"/>
          <w:marRight w:val="0"/>
          <w:marTop w:val="0"/>
          <w:marBottom w:val="0"/>
          <w:divBdr>
            <w:top w:val="none" w:sz="0" w:space="0" w:color="auto"/>
            <w:left w:val="none" w:sz="0" w:space="0" w:color="auto"/>
            <w:bottom w:val="none" w:sz="0" w:space="0" w:color="auto"/>
            <w:right w:val="none" w:sz="0" w:space="0" w:color="auto"/>
          </w:divBdr>
        </w:div>
        <w:div w:id="1123766577">
          <w:marLeft w:val="0"/>
          <w:marRight w:val="0"/>
          <w:marTop w:val="0"/>
          <w:marBottom w:val="0"/>
          <w:divBdr>
            <w:top w:val="none" w:sz="0" w:space="0" w:color="auto"/>
            <w:left w:val="none" w:sz="0" w:space="0" w:color="auto"/>
            <w:bottom w:val="none" w:sz="0" w:space="0" w:color="auto"/>
            <w:right w:val="none" w:sz="0" w:space="0" w:color="auto"/>
          </w:divBdr>
        </w:div>
      </w:divsChild>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1888</Words>
  <Characters>10387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cp:revision>
  <cp:lastPrinted>2021-02-13T18:38:00Z</cp:lastPrinted>
  <dcterms:created xsi:type="dcterms:W3CDTF">2021-09-07T07:04:00Z</dcterms:created>
  <dcterms:modified xsi:type="dcterms:W3CDTF">2021-10-18T19:18:00Z</dcterms:modified>
</cp:coreProperties>
</file>