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2"/>
      </w:pPr>
      <w:r>
        <w:t>Vocabulaire</w:t>
      </w:r>
    </w:p>
    <w:p>
      <w:r>
        <w:rPr>
          <w:rStyle w:val="Accentuation"/>
        </w:rPr>
        <w:t>Norme de réaction</w:t>
      </w:r>
      <w:r>
        <w:t xml:space="preserve"> ensemble des phénotypes observés en faisant varier les conditions environnementales pour un génotype.</w:t>
      </w:r>
    </w:p>
    <w:p>
      <w:r>
        <w:rPr>
          <w:rStyle w:val="Accentuation"/>
        </w:rPr>
        <w:t>Plasticité phénotypique</w:t>
      </w:r>
      <w:r>
        <w:t xml:space="preserve"> capacité d'un organisme à exprimer différents phénotypes à partir d'un génotype donné selon l’environnement.</w:t>
      </w:r>
    </w:p>
    <w:p>
      <w:r>
        <w:rPr>
          <w:rStyle w:val="Accentuation"/>
        </w:rPr>
        <w:t>Locus (pluriel loci)</w:t>
      </w:r>
      <w:r>
        <w:t xml:space="preserve"> position fixe, localisation d’un gène ou d’un marqueur génétique.</w:t>
      </w:r>
    </w:p>
    <w:p>
      <w:r>
        <w:rPr>
          <w:rStyle w:val="Accentuation"/>
        </w:rPr>
        <w:t>Caractère</w:t>
      </w:r>
      <w:r>
        <w:t xml:space="preserve"> variable, aspect d’un organisme qui peut être analysé.</w:t>
      </w:r>
    </w:p>
    <w:p>
      <w:r>
        <w:rPr>
          <w:rStyle w:val="Accentuation"/>
        </w:rPr>
        <w:t>Génotype</w:t>
      </w:r>
      <w:r>
        <w:t xml:space="preserve"> différentes valeurs pour un caractère c’est-à-dire l’ensemble des allèles qui codent un caractère donné.</w:t>
      </w:r>
    </w:p>
    <w:p>
      <w:r>
        <w:rPr>
          <w:rStyle w:val="Accentuation"/>
        </w:rPr>
        <w:t>Gène</w:t>
      </w:r>
      <w:r>
        <w:t xml:space="preserve"> unité d’information qui code pour caractère donné.</w:t>
      </w:r>
    </w:p>
    <w:p>
      <w:r>
        <w:rPr>
          <w:rStyle w:val="Accentuation"/>
        </w:rPr>
        <w:t>Cline</w:t>
      </w:r>
      <w:r>
        <w:t xml:space="preserve"> évolution graduelle d’un caractère en fonction de l’axe géographique. Il y a une corrélation entre la latitude et la fréquence de l’allèle.</w:t>
      </w:r>
    </w:p>
    <w:p>
      <w:r>
        <w:rPr>
          <w:rStyle w:val="Accentuation"/>
        </w:rPr>
        <w:t>Population</w:t>
      </w:r>
      <w:r>
        <w:t xml:space="preserve"> groupe d’individus d’une même espèce qui vivent dans la même zone géographique, se reproduisent et engendrent une descendance féconde. Les individus d’une population sont fortement apparentés.</w:t>
      </w:r>
    </w:p>
    <w:p>
      <w:r>
        <w:rPr>
          <w:rStyle w:val="Accentuation"/>
        </w:rPr>
        <w:t>Patrimoine génétique (ou pool génétique ou fond génétique)</w:t>
      </w:r>
      <w:r>
        <w:t xml:space="preserve"> composition génétique d’une population.</w:t>
      </w:r>
    </w:p>
    <w:p>
      <w:r>
        <w:t>Lorsqu’un seul allèle est présent dans une population on dit que l’allèle est fixé (par opposition à polymorphisme).</w:t>
      </w:r>
    </w:p>
    <w:p>
      <w:r>
        <w:t>Attention il n’existe pas de hiérarchies entre les allèles mais entre les phénotypes. Ainsi, on dira qu’un phénotype [A] est dominant sur [a].</w:t>
      </w:r>
    </w:p>
    <w:p>
      <w:r>
        <w:rPr>
          <w:u w:val="single"/>
        </w:rPr>
        <w:t>NB :</w:t>
      </w:r>
      <w:r>
        <w:t xml:space="preserve"> un allèle dominant ne s’exprime pas toujours. Il peut être caractérisé par l’absence d’expression.</w:t>
      </w:r>
    </w:p>
    <w:p>
      <w:pPr>
        <w:pStyle w:val="Titre2"/>
      </w:pPr>
      <w:r>
        <w:t>Objectifs</w:t>
      </w:r>
    </w:p>
    <w:p>
      <w:r>
        <w:t xml:space="preserve">La génétique des populations s’intéresse à l’histoire des populations. En comprenant leur dynamique passée, on peut prévoir leur évolution future. </w:t>
      </w:r>
    </w:p>
    <w:p>
      <w:r>
        <w:t>Par exemple, c’est utile pour anticiper les pertes de diversité génétique et prévenir les risques liés à la consanguinité en organisant par exemple des réintroductions pour maintenir un certain niveau de diversité génétique dans la population.</w:t>
      </w:r>
    </w:p>
    <w:p>
      <w:pPr>
        <w:pStyle w:val="Titre3"/>
      </w:pPr>
      <w:r>
        <w:t>Les indicateurs de diversité</w:t>
      </w:r>
    </w:p>
    <w:p>
      <w:r>
        <w:t>Taux d’allèles hétérozygotes,</w:t>
      </w:r>
    </w:p>
    <w:p>
      <w:r>
        <w:t>Taux de polymorphisme fréquence d’individus hétérozygotes.</w:t>
      </w:r>
    </w:p>
    <w:p>
      <w:pPr>
        <w:pStyle w:val="Titre2"/>
      </w:pPr>
      <w:r>
        <w:t>Estimation de la fréquence des différents allèles présent dans la population</w:t>
      </w:r>
    </w:p>
    <w:p>
      <w:r>
        <w:t>La variation génétique des individus au sein d’une population est dû à la reproduction sexuée. Elle est responsable du brassage génétique à trois niveaux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r>
              <w:t>Crossover</w:t>
            </w:r>
          </w:p>
        </w:tc>
        <w:tc>
          <w:tcPr>
            <w:tcW w:w="2445" w:type="dxa"/>
          </w:tcPr>
          <w:p>
            <w:r>
              <w:t>Assortiment des chromosomes</w:t>
            </w:r>
          </w:p>
        </w:tc>
        <w:tc>
          <w:tcPr>
            <w:tcW w:w="2445" w:type="dxa"/>
          </w:tcPr>
          <w:p>
            <w:r>
              <w:t>Fécondation</w:t>
            </w:r>
          </w:p>
        </w:tc>
      </w:tr>
      <w:tr>
        <w:tc>
          <w:tcPr>
            <w:tcW w:w="2445" w:type="dxa"/>
          </w:tcPr>
          <w:p>
            <w:r>
              <w:t>Entre les séquences d’un même chromosome</w:t>
            </w:r>
          </w:p>
        </w:tc>
        <w:tc>
          <w:tcPr>
            <w:tcW w:w="2445" w:type="dxa"/>
          </w:tcPr>
          <w:p>
            <w:r>
              <w:t>Entre les chromosomes</w:t>
            </w:r>
          </w:p>
        </w:tc>
        <w:tc>
          <w:tcPr>
            <w:tcW w:w="2445" w:type="dxa"/>
          </w:tcPr>
          <w:p>
            <w:r>
              <w:t>La rencontre entre les deux parents</w:t>
            </w:r>
          </w:p>
        </w:tc>
      </w:tr>
    </w:tbl>
    <w:p>
      <w:r>
        <w:t>La population correspond à l’ensemble des allèles.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18"/>
        <w:gridCol w:w="2666"/>
        <w:gridCol w:w="1263"/>
        <w:gridCol w:w="817"/>
        <w:gridCol w:w="771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>
            <w:r>
              <w:t>Allèles</w:t>
            </w:r>
          </w:p>
        </w:tc>
        <w:tc>
          <w:tcPr>
            <w:tcW w:w="266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6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1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>
            <w:r>
              <w:t>Fréquence</w:t>
            </w:r>
          </w:p>
        </w:tc>
        <w:tc>
          <w:tcPr>
            <w:tcW w:w="266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6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1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814"/>
        <w:gridCol w:w="2662"/>
        <w:gridCol w:w="1267"/>
        <w:gridCol w:w="821"/>
        <w:gridCol w:w="771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Zygotes formés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</w:t>
            </w:r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</w:t>
            </w:r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aa </w:t>
            </w: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Fréquence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²</m:t>
                </m:r>
              </m:oMath>
            </m:oMathPara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²</m:t>
                </m:r>
              </m:oMath>
            </m:oMathPara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lastRenderedPageBreak/>
              <w:t>Allèles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>
            <w:r>
              <w:t>Fréq à la génération +1</w:t>
            </w:r>
          </w:p>
        </w:tc>
        <w:tc>
          <w:tcPr>
            <w:tcW w:w="270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7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2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</w:tbl>
    <w:p>
      <w:r>
        <w:t>Attention pour une population N d’individus diploïdes, l’ensemble des allèles 2N.</w:t>
      </w:r>
    </w:p>
    <w:p>
      <w:r>
        <w:t>Population allélique = fréquence allélique.</w:t>
      </w:r>
    </w:p>
    <w:p>
      <w:pPr>
        <w:rPr>
          <w:rFonts w:eastAsiaTheme="minorEastAsia"/>
        </w:rPr>
      </w:pPr>
      <w:r>
        <w:rPr>
          <w:rFonts w:eastAsiaTheme="minorEastAsia"/>
          <w:i/>
          <w:iCs/>
        </w:rPr>
        <w:t>Exemple :</w:t>
      </w:r>
      <w:r>
        <w:rPr>
          <w:rFonts w:eastAsiaTheme="minorEastAsia"/>
        </w:rPr>
        <w:t xml:space="preserve"> pour une population avec N individus de phénotype et avec comme allèle possible A et B, la fréquence allélique de A 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rPr>
          <w:trHeight w:val="1816"/>
        </w:trPr>
        <w:tc>
          <w:tcPr>
            <w:tcW w:w="7335" w:type="dxa"/>
          </w:tcPr>
          <w:p>
            <w:pPr>
              <w:rPr>
                <w:b/>
              </w:rPr>
            </w:pPr>
            <w:r>
              <w:t>Point méthode : calcul des fréquences alléliques</w:t>
            </w:r>
          </w:p>
          <w:tbl>
            <w:tblPr>
              <w:tblStyle w:val="Grilledetableauclaire"/>
              <w:tblW w:w="0" w:type="auto"/>
              <w:tblLook w:val="0480" w:firstRow="0" w:lastRow="0" w:firstColumn="1" w:lastColumn="0" w:noHBand="0" w:noVBand="1"/>
            </w:tblPr>
            <w:tblGrid>
              <w:gridCol w:w="1182"/>
              <w:gridCol w:w="1438"/>
              <w:gridCol w:w="1188"/>
              <w:gridCol w:w="1892"/>
              <w:gridCol w:w="1409"/>
            </w:tblGrid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7" w:type="dxa"/>
                </w:tcPr>
                <w:p>
                  <w:r>
                    <w:t>Génotype</w:t>
                  </w:r>
                </w:p>
              </w:tc>
              <w:tc>
                <w:tcPr>
                  <w:tcW w:w="155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AA</w:t>
                  </w:r>
                </w:p>
              </w:tc>
              <w:tc>
                <w:tcPr>
                  <w:tcW w:w="127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AB</w:t>
                  </w:r>
                </w:p>
              </w:tc>
              <w:tc>
                <w:tcPr>
                  <w:tcW w:w="206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BB</w:t>
                  </w:r>
                </w:p>
              </w:tc>
              <w:tc>
                <w:tcPr>
                  <w:tcW w:w="1478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TOTAL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7" w:type="dxa"/>
                </w:tcPr>
                <w:p>
                  <w:r>
                    <w:t>Eff</w:t>
                  </w:r>
                </w:p>
              </w:tc>
              <w:tc>
                <w:tcPr>
                  <w:tcW w:w="155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35</w:t>
                  </w:r>
                </w:p>
              </w:tc>
              <w:tc>
                <w:tcPr>
                  <w:tcW w:w="127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40</w:t>
                  </w:r>
                </w:p>
              </w:tc>
              <w:tc>
                <w:tcPr>
                  <w:tcW w:w="2069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25</w:t>
                  </w:r>
                </w:p>
              </w:tc>
              <w:tc>
                <w:tcPr>
                  <w:tcW w:w="1478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100</w:t>
                  </w:r>
                </w:p>
              </w:tc>
            </w:tr>
          </w:tbl>
          <w:p>
            <w:pPr>
              <w:rPr>
                <w:b/>
              </w:rPr>
            </w:pPr>
            <w:r>
              <w:t>Calcul des fréquences alléliques :</w:t>
            </w:r>
          </w:p>
          <w:p>
            <w:pPr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Freq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2N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2×35+40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200</m:t>
                    </m:r>
                  </m:den>
                </m:f>
                <m:r>
                  <w:rPr>
                    <w:rFonts w:ascii="Cambria Math" w:hAnsi="Cambria Math"/>
                  </w:rPr>
                  <m:t>=0,55</m:t>
                </m:r>
              </m:oMath>
            </m:oMathPara>
          </w:p>
        </w:tc>
      </w:tr>
    </w:tbl>
    <w:p>
      <w:pPr>
        <w:pStyle w:val="Titre3"/>
      </w:pPr>
      <w:r>
        <w:t>L’équilibre</w:t>
      </w:r>
    </w:p>
    <w:p>
      <w:r>
        <w:t xml:space="preserve">L’équilibre est stable si l’état les paramètres n’évoluent plus. Les fréquences alléliques sont constantes. à chaque génération on retrouve les fréquences de départ des allèles, ce qui correspond mathématiquement à : </w:t>
      </w:r>
      <m:oMath>
        <m:r>
          <w:rPr>
            <w:rFonts w:ascii="Cambria Math" w:hAnsi="Cambria Math"/>
          </w:rPr>
          <m:t>∆P=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>
      <w:r>
        <w:rPr>
          <w:u w:val="single"/>
        </w:rPr>
        <w:t>Rmq :</w:t>
      </w:r>
      <w:r>
        <w:t xml:space="preserve"> généralement une population est à l’équilibre uniquement sur certains gènes précis.</w:t>
      </w:r>
    </w:p>
    <w:p>
      <w:r>
        <w:t>Cela stipule que la recombinaison allélique et la ségrégation mendélienne sont indépendantes. Un allèle a une chance identique d’être présent à la génération suivante.</w:t>
      </w:r>
    </w:p>
    <w:p>
      <w:r>
        <w:t xml:space="preserve">Dans la réalité, il existe de multiples causes qui peuvent modifier les fréquences alléliques d’une génération à l’autre : </w:t>
      </w:r>
    </w:p>
    <w:p>
      <w:pPr>
        <w:pStyle w:val="Paragraphedeliste"/>
        <w:numPr>
          <w:ilvl w:val="0"/>
          <w:numId w:val="26"/>
        </w:numPr>
      </w:pPr>
      <w:r>
        <w:t xml:space="preserve">Les mutations dans les cellules germinales (gamètes). </w:t>
      </w:r>
    </w:p>
    <w:p>
      <w:pPr>
        <w:pStyle w:val="Paragraphedeliste"/>
        <w:numPr>
          <w:ilvl w:val="0"/>
          <w:numId w:val="26"/>
        </w:numPr>
      </w:pPr>
      <w:r>
        <w:t>La dérive génétique. Cela correspond au « tirage au sort » lors de la formation des gamètes qui peut ne pas être représentatif de la population.p</w:t>
      </w:r>
    </w:p>
    <w:p>
      <w:pPr>
        <w:pStyle w:val="Paragraphedeliste"/>
        <w:numPr>
          <w:ilvl w:val="0"/>
          <w:numId w:val="26"/>
        </w:numPr>
      </w:pPr>
      <w:r>
        <w:t>Lorsque la rencontre entre les deux gamètes n’est pas aléatoire.</w:t>
      </w:r>
    </w:p>
    <w:p>
      <w:pPr>
        <w:pStyle w:val="Paragraphedeliste"/>
        <w:numPr>
          <w:ilvl w:val="0"/>
          <w:numId w:val="26"/>
        </w:numPr>
      </w:pPr>
      <w:r>
        <w:t>Des différences de taux de survie et de fécondité en fonction des allèles. C’est ce que l’on appelle la valeur sélective.</w:t>
      </w:r>
    </w:p>
    <w:p>
      <w:pPr>
        <w:pStyle w:val="Paragraphedeliste"/>
        <w:numPr>
          <w:ilvl w:val="0"/>
          <w:numId w:val="26"/>
        </w:numPr>
      </w:pPr>
      <w:r>
        <w:t>Les migrations avec des fréquences alléliques différentes de la population étudiée.</w:t>
      </w:r>
    </w:p>
    <w:p>
      <w:r>
        <w:rPr>
          <w:rStyle w:val="Accentuation"/>
        </w:rPr>
        <w:t>Distorsion de ségrégation miotique</w:t>
      </w:r>
      <w:r>
        <w:t xml:space="preserve"> groupe de gènes souvent situé sur le même chromosome transmis ensemble qui confère un avantage sélectif. Par exemple, l’absence de ce groupe entraine la mortalité du gamète.</w:t>
      </w:r>
    </w:p>
    <w:p>
      <w:pPr>
        <w:rPr>
          <w:lang w:eastAsia="fr-FR"/>
        </w:rPr>
      </w:pPr>
      <w:r>
        <w:rPr>
          <w:lang w:eastAsia="fr-FR"/>
        </w:rPr>
        <w:t>En fonction du nombre d’allèles, on qualifira l’équilibre de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lang w:eastAsia="fr-FR"/>
              </w:rPr>
            </w:pPr>
            <w:r>
              <w:rPr>
                <w:lang w:eastAsia="fr-FR"/>
              </w:rPr>
              <w:t>Polymorphe (plusieurs allèles)</w:t>
            </w:r>
          </w:p>
        </w:tc>
        <w:tc>
          <w:tcPr>
            <w:tcW w:w="3668" w:type="dxa"/>
          </w:tcPr>
          <w:p>
            <w:pPr>
              <w:rPr>
                <w:lang w:eastAsia="fr-FR"/>
              </w:rPr>
            </w:pPr>
            <w:r>
              <w:rPr>
                <w:lang w:eastAsia="fr-FR"/>
              </w:rPr>
              <w:t>Monomorphe (1 seul allèles)</w:t>
            </w:r>
          </w:p>
        </w:tc>
      </w:tr>
    </w:tbl>
    <w:p>
      <w:pPr>
        <w:pStyle w:val="Titre3"/>
      </w:pPr>
      <w:r>
        <w:t>Hypothèse en cas d’absence de phénotype intermédiaire</w:t>
      </w:r>
    </w:p>
    <w:p>
      <w:r>
        <w:t xml:space="preserve">Dans le cas où le phénotype intermédiaire n’existe pas, on peut faire calculer les fréquences alléliques en faisant l’hypothèse que la population est à l’équilibre. Ainsi, </w:t>
      </w:r>
    </w:p>
    <w:p>
      <w:pPr>
        <w:pStyle w:val="Titre3"/>
      </w:pPr>
      <w:r>
        <w:t>Vérifier si une population est à l’équilibre</w:t>
      </w:r>
    </w:p>
    <w:p>
      <w:pPr>
        <w:pStyle w:val="Paragraphedeliste"/>
        <w:numPr>
          <w:ilvl w:val="0"/>
          <w:numId w:val="27"/>
        </w:numPr>
      </w:pPr>
      <w:r>
        <w:t>Calculer les effectifs théoriques</w:t>
      </w:r>
    </w:p>
    <w:p>
      <w:pPr>
        <w:pStyle w:val="Paragraphedeliste"/>
        <w:numPr>
          <w:ilvl w:val="0"/>
          <w:numId w:val="27"/>
        </w:numPr>
      </w:pPr>
      <w:r>
        <w:t xml:space="preserve">Comparer les résultats attendus avec les fréquences réelles. </w:t>
      </w:r>
    </w:p>
    <w:p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(eff théor.-eff obser)²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eff théor</m:t>
                  </m:r>
                </m:den>
              </m:f>
            </m:e>
          </m:nary>
        </m:oMath>
      </m:oMathPara>
    </w:p>
    <w:p>
      <w:pPr>
        <w:pStyle w:val="Paragraphedeliste"/>
        <w:numPr>
          <w:ilvl w:val="0"/>
          <w:numId w:val="27"/>
        </w:numPr>
      </w:pPr>
      <w:r>
        <w:t xml:space="preserve">Pour cela on utilise un test statistique : </w:t>
      </w:r>
    </w:p>
    <w:p>
      <w:pPr>
        <w:pStyle w:val="Paragraphedeliste"/>
        <w:numPr>
          <w:ilvl w:val="0"/>
          <w:numId w:val="27"/>
        </w:numPr>
      </w:pPr>
      <w:r>
        <w:t>H</w:t>
      </w:r>
      <w:r>
        <w:rPr>
          <w:vertAlign w:val="subscript"/>
        </w:rPr>
        <w:t>0 </w:t>
      </w:r>
      <w:r>
        <w:t>: les résultats théoriques sont conformes à ce obtenus.</w:t>
      </w:r>
    </w:p>
    <w:p>
      <w:pPr>
        <w:pStyle w:val="Paragraphedeliste"/>
        <w:numPr>
          <w:ilvl w:val="0"/>
          <w:numId w:val="27"/>
        </w:numPr>
      </w:pPr>
      <w:r>
        <w:t>H</w:t>
      </w:r>
      <w:r>
        <w:rPr>
          <w:vertAlign w:val="subscript"/>
        </w:rPr>
        <w:t>1 </w:t>
      </w:r>
      <w:r>
        <w:t>: les résultats théoriques ne sont pas conformes à ce obtenus.</w:t>
      </w:r>
    </w:p>
    <w:p>
      <w:r>
        <w:t>Utilisation du test du Khi-2 :</w:t>
      </w:r>
    </w:p>
    <w:p>
      <w:pPr>
        <w:pStyle w:val="Paragraphedeliste"/>
        <w:numPr>
          <w:ilvl w:val="0"/>
          <w:numId w:val="29"/>
        </w:numPr>
      </w:pPr>
      <w:r>
        <w:lastRenderedPageBreak/>
        <w:t>Le degré de liberté : nombre de paramètres indépendants.</w:t>
      </w:r>
    </w:p>
    <w:p>
      <w:pPr>
        <w:pStyle w:val="Paragraphedeliste"/>
        <w:numPr>
          <w:ilvl w:val="0"/>
          <w:numId w:val="29"/>
        </w:numPr>
      </w:pPr>
      <m:oMath>
        <m:r>
          <w:rPr>
            <w:rFonts w:ascii="Cambria Math" w:eastAsiaTheme="minorEastAsia" w:hAnsi="Cambria Math"/>
          </w:rPr>
          <m:t>α</m:t>
        </m:r>
      </m:oMath>
      <w:r>
        <w:t xml:space="preserve"> le taux d’erreur accepté : probabilité de rejeter H</w:t>
      </w:r>
      <w:r>
        <w:rPr>
          <w:vertAlign w:val="subscript"/>
        </w:rPr>
        <w:t>0</w:t>
      </w:r>
      <w:r>
        <w:t xml:space="preserve"> alors que c’est vrai.</w:t>
      </w:r>
    </w:p>
    <w:p>
      <w:pPr>
        <w:pStyle w:val="Paragraphedeliste"/>
        <w:numPr>
          <w:ilvl w:val="0"/>
          <w:numId w:val="29"/>
        </w:numPr>
      </w:pP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probabilité d’accepter 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alors que c’est faux.</w:t>
      </w:r>
    </w:p>
    <w:p>
      <w:r>
        <w:t xml:space="preserve">Si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</m:t>
        </m:r>
        <m:r>
          <w:rPr>
            <w:rFonts w:ascii="Cambria Math" w:eastAsiaTheme="minorEastAsia" w:hAnsi="Cambria Math"/>
          </w:rPr>
          <m:t>X²(α)</m:t>
        </m:r>
      </m:oMath>
      <w:r>
        <w:rPr>
          <w:rFonts w:eastAsiaTheme="minorEastAsia"/>
        </w:rPr>
        <w:t xml:space="preserve"> ,</w:t>
      </w:r>
      <w:r>
        <w:t>on dira alors que l’on ne rejette pas H0. La population est à l’équilibre.</w:t>
      </w:r>
    </w:p>
    <w:p>
      <w:r>
        <w:rPr>
          <w:u w:val="single"/>
        </w:rPr>
        <w:t>Rmq :</w:t>
      </w:r>
      <w:r>
        <w:t xml:space="preserve"> Généralement, on calcul à partir des fréquences alléliques observées les phénotypes théoriques à obtenir si la population est à l’équilibre. On vérifie ensuite que la conformité des résultats en utilisant le test du Khi-2.</w:t>
      </w:r>
    </w:p>
    <w:p>
      <w:pPr>
        <w:pStyle w:val="Titre1"/>
      </w:pPr>
      <w:r>
        <w:t>Mutation</w:t>
      </w:r>
    </w:p>
    <w:p>
      <w:r>
        <w:t>On parle notamment du taux de mutation par gamète et par génération.</w:t>
      </w:r>
    </w:p>
    <w:p>
      <w:pPr>
        <w:rPr>
          <w:rFonts w:eastAsiaTheme="minorEastAsia"/>
        </w:rPr>
      </w:pPr>
      <w:r>
        <w:t>Pour un allèle A de fréquence P</w:t>
      </w:r>
      <w:r>
        <w:rPr>
          <w:vertAlign w:val="subscript"/>
        </w:rPr>
        <w:t>n</w:t>
      </w:r>
      <w:r>
        <w:t xml:space="preserve"> avec un taux de mutation U, sa fréquence à la génération suivante est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-u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>Les mutations récurrentes influencent peu les fréquences alléliques seul mais comme ils sont toujours combiner avec d’autres facteurs évolutifs (environnement…) et créer la variabilité initiale.</w:t>
      </w:r>
    </w:p>
    <w:p>
      <w:pPr>
        <w:rPr>
          <w:rFonts w:eastAsiaTheme="minorEastAsia"/>
        </w:rPr>
      </w:pPr>
      <w:r>
        <w:rPr>
          <w:rStyle w:val="Accentuation"/>
        </w:rPr>
        <w:t>Taux mutation reverse</w:t>
      </w:r>
      <w:r>
        <w:rPr>
          <w:rFonts w:eastAsiaTheme="minorEastAsia"/>
        </w:rPr>
        <w:t xml:space="preserve"> taux de mutation qui annule la mutation.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Le taux de mutation chez les Végétaux et les Animaux est d’environ 1 pour 100 000 gènes. 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dérive génétique</w:t>
      </w:r>
    </w:p>
    <w:p>
      <w:r>
        <w:rPr>
          <w:rStyle w:val="Accentuation"/>
        </w:rPr>
        <w:t>Dérive génétique</w:t>
      </w:r>
      <w:r>
        <w:t xml:space="preserve"> fluctuation aléatoire des fréquences alléliques d’une génération à une autre. Elle n’est pas prédictible.</w:t>
      </w:r>
    </w:p>
    <w:p>
      <w:r>
        <w:t xml:space="preserve">Les effets de la dérive génétique sont particulièrement importants sur les populations avec de petits effectifs comme lorsqu’un petit groupe </w:t>
      </w:r>
      <w:r>
        <w:t>d’individus qui fonde une nouvelle population. La dérive peut alors provoquer l’accumulation d’allèles néfastes pour la survie de la population.</w:t>
      </w:r>
    </w:p>
    <w:p>
      <w:r>
        <w:t>Ces changements de fréquences ont un impact important sur les populations de faibles effectifs et particulièrement vulnérables à l’apparition de mutants même si elles sont rares.</w:t>
      </w:r>
    </w:p>
    <w:p>
      <w:r>
        <w:rPr>
          <w:rStyle w:val="Accentuation"/>
        </w:rPr>
        <w:t>Effet fondateur</w:t>
      </w:r>
      <w:r>
        <w:t xml:space="preserve"> perte de la diversité génétique qui se produit lorsqu’un petit nombre d’individus fonde une nouvelle population.</w:t>
      </w:r>
    </w:p>
    <w:p>
      <w:r>
        <w:rPr>
          <w:rStyle w:val="Accentuation"/>
        </w:rPr>
        <w:t>Effet goulot</w:t>
      </w:r>
      <w:r>
        <w:t xml:space="preserve"> réduction radicale du nombre d’individus d’une population et ainsi de sa diversité génétique à la suite d’une catastrophe.</w:t>
      </w:r>
    </w:p>
    <w:p>
      <w:r>
        <w:t>La théorie neutraliste</w:t>
      </w:r>
    </w:p>
    <w:p>
      <w:r>
        <w:t xml:space="preserve">La probabilité de substitution d’un allèle </w:t>
      </w:r>
    </w:p>
    <w:p>
      <w:r>
        <w:t>On cherche à déterminer pour un individu quelqu’une à quelle fréquence il y a de posséder chaque type d’allèle.</w:t>
      </w:r>
    </w:p>
    <w:p>
      <w:pPr>
        <w:pStyle w:val="Paragraphedeliste"/>
        <w:numPr>
          <w:ilvl w:val="0"/>
          <w:numId w:val="30"/>
        </w:numPr>
      </w:pPr>
      <w:r>
        <w:t xml:space="preserve">Déterminer les génotypes possibles. </w:t>
      </w:r>
    </w:p>
    <w:p>
      <w:pPr>
        <w:pStyle w:val="Paragraphedeliste"/>
        <w:numPr>
          <w:ilvl w:val="0"/>
          <w:numId w:val="30"/>
        </w:numPr>
      </w:pPr>
      <w:r>
        <w:t>Déduire les fréquences des allèles en utilisant le phénotype double récessif et les identités remarquables.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 La dérive génétique entraine une diminution des allèles et donc de la variabilité génétique </w:t>
      </w:r>
    </w:p>
    <w:p>
      <w:pPr>
        <w:rPr>
          <w:rFonts w:eastAsiaTheme="minorEastAsia"/>
        </w:rPr>
      </w:pPr>
      <w:r>
        <w:rPr>
          <w:rFonts w:eastAsiaTheme="minorEastAsia"/>
        </w:rPr>
        <w:t>Elle est d’autant plus rapide pour les populations de faibles effectifs.</w:t>
      </w:r>
    </w:p>
    <w:p>
      <w:pPr>
        <w:pStyle w:val="Titre1"/>
      </w:pPr>
      <w:r>
        <w:t xml:space="preserve">Les rencontres non aléatoires entre les gamètes </w:t>
      </w:r>
    </w:p>
    <w:p>
      <w:r>
        <w:t>On parlera de pangamie lorsque les gamètes se rencontrent au hasard (et de panmixie pour les rencontres entre les individus).</w:t>
      </w:r>
    </w:p>
    <w:p>
      <w:r>
        <w:t xml:space="preserve">Les causes de croisements non-panmixie peuvent être dû à : </w:t>
      </w:r>
    </w:p>
    <w:p>
      <w:pPr>
        <w:pStyle w:val="Paragraphedeliste"/>
        <w:numPr>
          <w:ilvl w:val="0"/>
          <w:numId w:val="31"/>
        </w:numPr>
      </w:pPr>
      <w:r>
        <w:t>Autofécondation</w:t>
      </w:r>
    </w:p>
    <w:p>
      <w:pPr>
        <w:pStyle w:val="Paragraphedeliste"/>
        <w:numPr>
          <w:ilvl w:val="0"/>
          <w:numId w:val="31"/>
        </w:numPr>
      </w:pPr>
      <w:r>
        <w:t>Consanguinité (de choix, de position ou dû au faible effectif)</w:t>
      </w:r>
    </w:p>
    <w:p>
      <w:pPr>
        <w:pStyle w:val="Paragraphedeliste"/>
        <w:numPr>
          <w:ilvl w:val="0"/>
          <w:numId w:val="31"/>
        </w:numPr>
      </w:pPr>
      <w:r>
        <w:lastRenderedPageBreak/>
        <w:t>Homogamie (et hétérogamie) c’est lorsqu’un individu a tendance à se reproduire avec un partenaire avec qui il partage le même phénotype.</w:t>
      </w:r>
    </w:p>
    <w:p>
      <w:pPr>
        <w:pStyle w:val="Titre2"/>
      </w:pPr>
      <w:r>
        <w:t>L’autofécondation</w:t>
      </w:r>
    </w:p>
    <w:p>
      <w:pPr>
        <w:rPr>
          <w:rFonts w:eastAsiaTheme="minorEastAsia"/>
        </w:rPr>
      </w:pPr>
      <w:r>
        <w:t xml:space="preserve">À l’équilibre, on aura uniquement des homozygotes car même si l’individu est hétérozygote (Aa), ces descendants auront 50% de chances de conserver l’hétérozygote :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AA+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aa</m:t>
        </m:r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La probabilité d’hétérozygote diminue de moitié à chaque génération :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=0,5.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>
      <w:pPr>
        <w:rPr>
          <w:rFonts w:eastAsiaTheme="minorEastAsia"/>
        </w:rPr>
      </w:pPr>
      <w:r>
        <w:rPr>
          <w:rFonts w:eastAsiaTheme="minorEastAsia"/>
        </w:rPr>
        <w:t xml:space="preserve">Pour une population, </w:t>
      </w:r>
    </w:p>
    <w:p>
      <w:r>
        <w:rPr>
          <w:rFonts w:eastAsiaTheme="minorEastAsia"/>
        </w:rPr>
        <w:t xml:space="preserve">La perte des hétérozygotes est extrêmement rapide et tout le génome est concerné c’est-à-dire une </w:t>
      </w:r>
      <w:r>
        <w:t>modification des fréquences génotypiques.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114"/>
        <w:gridCol w:w="4221"/>
      </w:tblGrid>
      <w:tr>
        <w:tc>
          <w:tcPr>
            <w:tcW w:w="3114" w:type="dxa"/>
          </w:tcPr>
          <w:p>
            <w:pPr>
              <w:rPr>
                <w:rFonts w:eastAsiaTheme="minorEastAsia"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  <w:bCs/>
              </w:rPr>
              <w:t>.0,5</w:t>
            </w:r>
          </w:p>
        </w:tc>
        <w:tc>
          <w:tcPr>
            <w:tcW w:w="4221" w:type="dxa"/>
          </w:tcPr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vertAlign w:val="subscript"/>
              </w:rPr>
              <w:t xml:space="preserve">0 </w:t>
            </w:r>
            <w:r>
              <w:rPr>
                <w:rFonts w:eastAsiaTheme="minorEastAsia"/>
              </w:rPr>
              <w:t>fréq d’homozygote AA dans la population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</w:t>
            </w:r>
            <w:r>
              <w:rPr>
                <w:rFonts w:eastAsiaTheme="minorEastAsia"/>
                <w:vertAlign w:val="subscript"/>
              </w:rPr>
              <w:t xml:space="preserve">0 </w:t>
            </w:r>
            <w:r>
              <w:rPr>
                <w:rFonts w:eastAsiaTheme="minorEastAsia"/>
              </w:rPr>
              <w:t>fréq d’hétérozygote Aa dans la population</w:t>
            </w:r>
          </w:p>
        </w:tc>
      </w:tr>
    </w:tbl>
    <w:p>
      <w:r>
        <w:rPr>
          <w:rFonts w:eastAsiaTheme="minorEastAsia"/>
        </w:rPr>
        <w:t xml:space="preserve">Ainsi, sur le long terme (c’est-à-dire quand n tend vers l’infini), les </w:t>
      </w:r>
      <w:r>
        <w:t>fréquences alléliques ne changent pas.</w:t>
      </w:r>
    </w:p>
    <w:p>
      <w:r>
        <w:t>Dans la Nature et notamment chez les plantes, il existe des mécanismes d’auto-incompatibilité qui permettent de prévenir en partie l’autofécondation.</w:t>
      </w:r>
    </w:p>
    <w:p>
      <w:pPr>
        <w:pStyle w:val="Titre2"/>
      </w:pPr>
      <w:r>
        <w:t>Consanguinité</w:t>
      </w:r>
    </w:p>
    <w:p>
      <w:r>
        <w:t>Les principales causes de consanguinité sont :</w:t>
      </w:r>
    </w:p>
    <w:p>
      <w:pPr>
        <w:pStyle w:val="Paragraphedeliste"/>
        <w:numPr>
          <w:ilvl w:val="0"/>
          <w:numId w:val="32"/>
        </w:numPr>
      </w:pPr>
      <w:r>
        <w:t>Des facteurs culturels pour les hommes.</w:t>
      </w:r>
    </w:p>
    <w:p>
      <w:pPr>
        <w:pStyle w:val="Paragraphedeliste"/>
        <w:numPr>
          <w:ilvl w:val="0"/>
          <w:numId w:val="32"/>
        </w:numPr>
      </w:pPr>
      <w:r>
        <w:t>L’absence de choix de partenaires les populations avec peu d’individus.</w:t>
      </w:r>
    </w:p>
    <w:p>
      <w:r>
        <w:t xml:space="preserve">Un individu est autozygote s’il possède pour un gène deux allèles identiques issue d’un unique ancêtre. </w:t>
      </w:r>
    </w:p>
    <w:p>
      <w:r>
        <w:rPr>
          <w:rStyle w:val="Accentuation"/>
        </w:rPr>
        <w:t>Parenté</w:t>
      </w:r>
      <w:r>
        <w:t xml:space="preserve"> deux individus partageant au moins un ancêtre commun. </w:t>
      </w:r>
    </w:p>
    <w:p>
      <w:r>
        <w:rPr>
          <w:rStyle w:val="Accentuation"/>
        </w:rPr>
        <w:t>Coefficient de parenté</w:t>
      </w:r>
      <w:r>
        <w:t xml:space="preserve"> probabilité d’un allèle à un locus soit identique entre deux individus.</w:t>
      </w:r>
    </w:p>
    <w:p>
      <w:r>
        <w:rPr>
          <w:rStyle w:val="Accentuation"/>
        </w:rPr>
        <w:t>Consanguinité</w:t>
      </w:r>
      <w:r>
        <w:t> individu issue d’un croisement de deux individus apparentés. </w:t>
      </w:r>
    </w:p>
    <w:p>
      <w:pPr>
        <w:rPr>
          <w:b/>
          <w:bCs/>
        </w:rPr>
      </w:pPr>
      <w:r>
        <w:rPr>
          <w:rStyle w:val="Accentuation"/>
        </w:rPr>
        <w:t>Coefficient de consanguinité</w:t>
      </w:r>
      <w:r>
        <w:t xml:space="preserve"> noté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issue d’un croisement de deux individus apparentés. C’est le pourcentage de gènes autozygotes pour un individu. </w:t>
      </w:r>
    </w:p>
    <w:p>
      <w:r>
        <w:t>Soit A a deux descendants : B et C. On sait que A possède pour F</w:t>
      </w:r>
      <w:r>
        <w:rPr>
          <w:vertAlign w:val="subscript"/>
        </w:rPr>
        <w:t>a</w:t>
      </w:r>
      <w:r>
        <w:t xml:space="preserve"> de gènes identiques (autozygotes).</w:t>
      </w:r>
    </w:p>
    <w:p>
      <w:r>
        <w:t>Quelle est la probabilité de trouver des gènes identiques entre C et B ?</w:t>
      </w:r>
    </w:p>
    <w:p>
      <w:pPr>
        <w:pStyle w:val="Paragraphedeliste"/>
        <w:numPr>
          <w:ilvl w:val="0"/>
          <w:numId w:val="33"/>
        </w:numPr>
      </w:pPr>
      <w:r>
        <w:t xml:space="preserve">Pour les gènes non identique (1-Fa), on a une chance sur deux de transmettre le même gène à ses descendants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</w:p>
    <w:p>
      <w:pPr>
        <w:pStyle w:val="Paragraphedeliste"/>
        <w:numPr>
          <w:ilvl w:val="0"/>
          <w:numId w:val="33"/>
        </w:numPr>
      </w:pPr>
      <w:r>
        <w:t xml:space="preserve">Pour les gènes identiques Fa, on a 100% de chance de retrouver le gène chez les descendants 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>
      <w:r>
        <w:rPr>
          <w:noProof/>
        </w:rPr>
        <w:drawing>
          <wp:inline distT="0" distB="0" distL="0" distR="0">
            <wp:extent cx="1333500" cy="1295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6" r="11385" b="7470"/>
                    <a:stretch/>
                  </pic:blipFill>
                  <pic:spPr bwMode="auto">
                    <a:xfrm>
                      <a:off x="0" y="0"/>
                      <a:ext cx="1338053" cy="129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rPr>
          <w:rFonts w:eastAsiaTheme="minorEastAsia"/>
        </w:rPr>
      </w:pPr>
      <w:r>
        <w:t xml:space="preserve">Ainsi, la proportions de gènes communs entre B et C est 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)</m:t>
        </m:r>
      </m:oMath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lastRenderedPageBreak/>
        <w:t>La sélection</w:t>
      </w:r>
    </w:p>
    <w:p>
      <w:r>
        <w:rPr>
          <w:rStyle w:val="Accentuation"/>
        </w:rPr>
        <w:t>Valeur adaptative (ou fitness)</w:t>
      </w:r>
      <w:r>
        <w:t xml:space="preserve"> contribution d’un individu à la génération suivante en nombre de descendants. C’est le phénotype qui est soumis à la sélection et indirectement le génotype.</w:t>
      </w:r>
    </w:p>
    <w:p>
      <w:r>
        <w:t>Le nombre de descendants moyens de descendants viables et fertiles.</w:t>
      </w:r>
    </w:p>
    <w:p>
      <w:pPr>
        <w:pStyle w:val="Paragraphedeliste"/>
        <w:numPr>
          <w:ilvl w:val="1"/>
          <w:numId w:val="26"/>
        </w:numPr>
      </w:pPr>
      <w:r>
        <w:t>Un taux de survie des reproducteurs qui varie en fonction du génotype.</w:t>
      </w:r>
    </w:p>
    <w:p>
      <w:pPr>
        <w:pStyle w:val="Paragraphedeliste"/>
        <w:numPr>
          <w:ilvl w:val="1"/>
          <w:numId w:val="26"/>
        </w:numPr>
      </w:pPr>
      <w:r>
        <w:t>Un taux de fécondité différent entre les génotypes.</w:t>
      </w:r>
    </w:p>
    <w:p>
      <w:r>
        <w:rPr>
          <w:rStyle w:val="Accentuation"/>
        </w:rPr>
        <w:t>Valeur sélective</w:t>
      </w:r>
      <w:r>
        <w:t xml:space="preserve"> nombre moyen de descendants viables et fertiles laissé par cet individu.</w:t>
      </w:r>
    </w:p>
    <w:p>
      <w:r>
        <w:t xml:space="preserve">Par convention, la valeur sélective maximale est 1. </w:t>
      </w:r>
    </w:p>
    <w:p>
      <m:oMathPara>
        <m:oMath>
          <m:r>
            <w:rPr>
              <w:rFonts w:ascii="Cambria Math" w:eastAsiaTheme="minorEastAsia" w:hAnsi="Cambria Math"/>
            </w:rPr>
            <m:t>valeur sélective absolue=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Nbre de descendants</m:t>
              </m:r>
            </m:num>
            <m:den>
              <m:r>
                <w:rPr>
                  <w:rFonts w:ascii="Cambria Math" w:hAnsi="Cambria Math"/>
                </w:rPr>
                <m:t>Fertilité</m:t>
              </m:r>
            </m:den>
          </m:f>
        </m:oMath>
      </m:oMathPara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valeur sélective relative=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valeur sélective absolue</m:t>
              </m:r>
            </m:num>
            <m:den>
              <m:r>
                <w:rPr>
                  <w:rFonts w:ascii="Cambria Math" w:hAnsi="Cambria Math"/>
                </w:rPr>
                <m:t>valeur sélective absolue maximum</m:t>
              </m:r>
            </m:den>
          </m:f>
        </m:oMath>
      </m:oMathPara>
    </w:p>
    <w:p>
      <w:r>
        <w:t xml:space="preserve">Soit deux allèles A et a de fréquences respectives </w:t>
      </w:r>
      <m:oMath>
        <m:r>
          <w:rPr>
            <w:rFonts w:ascii="Cambria Math" w:hAnsi="Cambria Math"/>
          </w:rPr>
          <m:t>(p,q)</m:t>
        </m:r>
      </m:oMath>
      <w:r>
        <w:t xml:space="preserve"> pouvant donner les génotype AA, Aa et aa ayant pour valeur sélective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.</w:t>
      </w:r>
    </w:p>
    <w:p>
      <w:r>
        <w:t xml:space="preserve">On note </w:t>
      </w:r>
      <m:oMath>
        <m:r>
          <w:rPr>
            <w:rFonts w:ascii="Cambria Math" w:hAnsi="Cambria Math"/>
          </w:rPr>
          <m:t>w=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pq+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q²</m:t>
        </m:r>
      </m:oMath>
      <w:r>
        <w:t xml:space="preserve"> . Pour obtenir les fréquences alléliques ont a besoin de diviser par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  <w:r>
        <w:t>.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Calibri"/>
            </w:rPr>
            <m:t>∆p=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p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pq</m:t>
              </m:r>
            </m:num>
            <m:den>
              <m: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p+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q]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La formule se démontre facilement. Il faut penser à  </w:t>
      </w:r>
      <m:oMath>
        <m:r>
          <w:rPr>
            <w:rFonts w:ascii="Cambria Math" w:eastAsiaTheme="minorEastAsia" w:hAnsi="Cambria Math"/>
          </w:rPr>
          <m:t>p=1-q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Style w:val="Accentuation"/>
        </w:rPr>
        <w:t>Superdominance</w:t>
      </w:r>
      <w:r>
        <w:rPr>
          <w:rFonts w:eastAsiaTheme="minorEastAsia"/>
        </w:rPr>
        <w:t xml:space="preserve"> valeur sélective de l’hétérozygote est supérieure à celles des homozygotes. Elle prend la valeur de référence càd 1.</w:t>
      </w:r>
    </w:p>
    <w:p>
      <w:pPr>
        <w:pStyle w:val="Titre2"/>
      </w:pPr>
      <w:r>
        <w:t>Sélection naturelle</w:t>
      </w:r>
    </w:p>
    <w:p>
      <w:r>
        <w:t>Pour un caractére donné, la sélection naturelle conduit soit à favoriser :</w:t>
      </w:r>
    </w:p>
    <w:p>
      <w:pPr>
        <w:pStyle w:val="Paragraphedeliste"/>
        <w:numPr>
          <w:ilvl w:val="0"/>
          <w:numId w:val="26"/>
        </w:numPr>
      </w:pPr>
      <w:r>
        <w:t>un extrême. On parle de sélection directionnelle.</w:t>
      </w:r>
    </w:p>
    <w:p>
      <w:pPr>
        <w:pStyle w:val="Paragraphedeliste"/>
        <w:numPr>
          <w:ilvl w:val="0"/>
          <w:numId w:val="26"/>
        </w:numPr>
      </w:pPr>
      <w:r>
        <w:t>les extrêmes et désavantager le phénotype intermédiaire. On parle de sélection divergente ou disruptive.</w:t>
      </w:r>
    </w:p>
    <w:p>
      <w:pPr>
        <w:pStyle w:val="Paragraphedeliste"/>
        <w:numPr>
          <w:ilvl w:val="0"/>
          <w:numId w:val="26"/>
        </w:numPr>
      </w:pPr>
      <w:r>
        <w:t>Le phénotype intermédiaire et empêcher toute déviation de celui-ci désavantage toute variation. On parle de sélection stabilisante ou normalisante.</w:t>
      </w:r>
    </w:p>
    <w:p>
      <w:pPr>
        <w:pStyle w:val="Titre2"/>
      </w:pPr>
      <w:r>
        <w:t>Sélection sexuelle</w:t>
      </w:r>
    </w:p>
    <w:p>
      <w:r>
        <w:t>La sélection sexuelle peut donner lieu à un dimorphisme :</w:t>
      </w:r>
    </w:p>
    <w:p>
      <w:pPr>
        <w:pStyle w:val="Paragraphedeliste"/>
        <w:numPr>
          <w:ilvl w:val="0"/>
          <w:numId w:val="26"/>
        </w:numPr>
      </w:pPr>
      <w:r>
        <w:t>Intrasexuelle entre les individus du même sexe. Cela donne souvent lieu à un mâle dominant qui dispose d’un groupe de femelles. Parade lutte entre les sexes</w:t>
      </w:r>
    </w:p>
    <w:p>
      <w:pPr>
        <w:pStyle w:val="Paragraphedeliste"/>
        <w:numPr>
          <w:ilvl w:val="0"/>
          <w:numId w:val="26"/>
        </w:numPr>
      </w:pPr>
      <w:r>
        <w:t>Sélection intersexuelle sélection par un des sexes sur l’autre généralement la femelle.</w:t>
      </w:r>
    </w:p>
    <w:p>
      <w:pPr>
        <w:pStyle w:val="Paragraphedeliste"/>
        <w:numPr>
          <w:ilvl w:val="0"/>
          <w:numId w:val="26"/>
        </w:numPr>
      </w:pPr>
      <w:r>
        <w:t>Femelle préférence portait sur les caractères indicateurs de bons gènes.</w:t>
      </w:r>
    </w:p>
    <w:p>
      <w:pPr>
        <w:pStyle w:val="Titre1"/>
      </w:pPr>
      <w:r>
        <w:t>Migration</w:t>
      </w:r>
    </w:p>
    <w:p>
      <w:r>
        <w:rPr>
          <w:rStyle w:val="Accentuation"/>
        </w:rPr>
        <w:t>Flux génétique</w:t>
      </w:r>
      <w:r>
        <w:t xml:space="preserve"> échange d’allèles entre les populations</w:t>
      </w:r>
    </w:p>
    <w:p>
      <w:r>
        <w:t>Le flux génétique tend à diminuer les différences génétiques entre les populations.</w:t>
      </w:r>
    </w:p>
    <w:p>
      <w:r>
        <w:t xml:space="preserve">L’évolution de la fréquence allélique peut être modéliser par une suite : </w:t>
      </w:r>
    </w:p>
    <w:p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=a.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+b↔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-r</m:t>
              </m:r>
            </m:e>
          </m:d>
          <m:r>
            <w:rPr>
              <w:rFonts w:ascii="Cambria Math" w:eastAsiaTheme="minorEastAsia" w:hAnsi="Cambria Math"/>
            </w:rPr>
            <m:t>+r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>Avec pour on peut poser</w:t>
      </w:r>
      <m:oMath>
        <m:r>
          <w:rPr>
            <w:rFonts w:ascii="Cambria Math" w:eastAsiaTheme="minorEastAsia" w:hAnsi="Cambria Math"/>
          </w:rPr>
          <m:t xml:space="preserve"> 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1-a</m:t>
            </m:r>
          </m:den>
        </m:f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-r</m:t>
        </m:r>
      </m:oMath>
      <w:r>
        <w:rPr>
          <w:rFonts w:eastAsiaTheme="minorEastAsia"/>
        </w:rPr>
        <w:t xml:space="preserve">, en développant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=a.(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+r)+b</m:t>
        </m:r>
      </m:oMath>
      <w:r>
        <w:rPr>
          <w:rFonts w:eastAsiaTheme="minorEastAsia"/>
        </w:rPr>
        <w:t xml:space="preserve"> on démontre que </w:t>
      </w:r>
      <w:r>
        <w:rPr>
          <w:rFonts w:ascii="Cambria Math" w:eastAsiaTheme="minorEastAsia" w:hAnsi="Cambria Math"/>
          <w:i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-r</m:t>
            </m:r>
          </m:e>
        </m:d>
        <m:r>
          <w:rPr>
            <w:rFonts w:ascii="Cambria Math" w:eastAsiaTheme="minorEastAsia" w:hAnsi="Cambria Math"/>
          </w:rPr>
          <m:t>+r</m:t>
        </m:r>
      </m:oMath>
      <w:r>
        <w:rPr>
          <w:rFonts w:eastAsiaTheme="minorEastAsia"/>
        </w:rPr>
        <w:t xml:space="preserve"> est une suite arythmétique.</w:t>
      </w:r>
    </w:p>
    <w:p>
      <w:r>
        <w:t>Les flux génétiques peuvent empêcher les populations de s’adapter pleinement à un environnement en empêchant la sélection naturelle de s’exercer.</w:t>
      </w:r>
    </w:p>
    <w:p>
      <w:r>
        <w:lastRenderedPageBreak/>
        <w:t xml:space="preserve">L’arrivé d’allèles de populations étrangères empêche la diminution de la fréquence des allèles désavantageux. Cela peut également être l’inverse, les flux génétiques peuvent permettre à des allèles de se répandre rapidement. </w:t>
      </w:r>
    </w:p>
    <w:p>
      <w:r>
        <w:t>Les activités humaines ont rendu le flux génétique plus présent et courant qu’il ne l’était.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>Méthode : il est parfois plus simple de faire les calculs de probabilité de l’événement inverse.</w:t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40" w:firstRow="0" w:lastRow="1" w:firstColumn="0" w:lastColumn="0" w:noHBand="0" w:noVBand="1"/>
      </w:tblPr>
      <w:tblGrid>
        <w:gridCol w:w="7335"/>
      </w:tblGrid>
      <w:tr>
        <w:tc>
          <w:tcPr>
            <w:tcW w:w="7335" w:type="dxa"/>
          </w:tcPr>
          <w:p>
            <w:r>
              <w:t xml:space="preserve">Méthode : penser toujours au fait que </w:t>
            </w:r>
            <m:oMath>
              <m:r>
                <w:rPr>
                  <w:rFonts w:ascii="Cambria Math" w:hAnsi="Cambria Math"/>
                </w:rPr>
                <m:t>q=1-p</m:t>
              </m:r>
            </m:oMath>
            <w:r>
              <w:t xml:space="preserve"> notamment pour déterminer les paramètres initiaux pour obtenir un équilibre. </w:t>
            </w:r>
          </w:p>
        </w:tc>
      </w:tr>
    </w:tbl>
    <w:p/>
    <w:sectPr>
      <w:footerReference w:type="default" r:id="rId9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IGP</w:t>
    </w:r>
    <w:r>
      <w:ptab w:relativeTo="margin" w:alignment="center" w:leader="none"/>
    </w:r>
    <w:r>
      <w:t>Génétique des populations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2505762"/>
    <w:multiLevelType w:val="hybridMultilevel"/>
    <w:tmpl w:val="2CC85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65C53"/>
    <w:multiLevelType w:val="hybridMultilevel"/>
    <w:tmpl w:val="C95C64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D492E"/>
    <w:multiLevelType w:val="hybridMultilevel"/>
    <w:tmpl w:val="58F8A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64B43"/>
    <w:multiLevelType w:val="hybridMultilevel"/>
    <w:tmpl w:val="FF9CA7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87571"/>
    <w:multiLevelType w:val="hybridMultilevel"/>
    <w:tmpl w:val="88F235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CE3CB4"/>
    <w:multiLevelType w:val="hybridMultilevel"/>
    <w:tmpl w:val="73203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AA7C06"/>
    <w:multiLevelType w:val="hybridMultilevel"/>
    <w:tmpl w:val="6A469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9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18"/>
  </w:num>
  <w:num w:numId="9">
    <w:abstractNumId w:val="25"/>
  </w:num>
  <w:num w:numId="10">
    <w:abstractNumId w:val="11"/>
  </w:num>
  <w:num w:numId="11">
    <w:abstractNumId w:val="12"/>
  </w:num>
  <w:num w:numId="12">
    <w:abstractNumId w:val="3"/>
  </w:num>
  <w:num w:numId="13">
    <w:abstractNumId w:val="27"/>
  </w:num>
  <w:num w:numId="14">
    <w:abstractNumId w:val="16"/>
  </w:num>
  <w:num w:numId="15">
    <w:abstractNumId w:val="21"/>
  </w:num>
  <w:num w:numId="16">
    <w:abstractNumId w:val="29"/>
  </w:num>
  <w:num w:numId="17">
    <w:abstractNumId w:val="4"/>
  </w:num>
  <w:num w:numId="18">
    <w:abstractNumId w:val="7"/>
  </w:num>
  <w:num w:numId="19">
    <w:abstractNumId w:val="19"/>
  </w:num>
  <w:num w:numId="20">
    <w:abstractNumId w:val="26"/>
  </w:num>
  <w:num w:numId="21">
    <w:abstractNumId w:val="15"/>
  </w:num>
  <w:num w:numId="22">
    <w:abstractNumId w:val="22"/>
  </w:num>
  <w:num w:numId="23">
    <w:abstractNumId w:val="32"/>
  </w:num>
  <w:num w:numId="24">
    <w:abstractNumId w:val="28"/>
  </w:num>
  <w:num w:numId="25">
    <w:abstractNumId w:val="31"/>
  </w:num>
  <w:num w:numId="26">
    <w:abstractNumId w:val="5"/>
  </w:num>
  <w:num w:numId="27">
    <w:abstractNumId w:val="1"/>
  </w:num>
  <w:num w:numId="28">
    <w:abstractNumId w:val="30"/>
  </w:num>
  <w:num w:numId="29">
    <w:abstractNumId w:val="0"/>
  </w:num>
  <w:num w:numId="30">
    <w:abstractNumId w:val="13"/>
  </w:num>
  <w:num w:numId="31">
    <w:abstractNumId w:val="14"/>
  </w:num>
  <w:num w:numId="32">
    <w:abstractNumId w:val="17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2048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16</cp:revision>
  <cp:lastPrinted>2021-02-13T18:38:00Z</cp:lastPrinted>
  <dcterms:created xsi:type="dcterms:W3CDTF">2021-09-07T07:04:00Z</dcterms:created>
  <dcterms:modified xsi:type="dcterms:W3CDTF">2021-11-29T08:53:00Z</dcterms:modified>
</cp:coreProperties>
</file>