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/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 xml:space="preserve">Acclimatation </w:t>
            </w:r>
          </w:p>
        </w:tc>
        <w:tc>
          <w:tcPr>
            <w:tcW w:w="3668" w:type="dxa"/>
          </w:tcPr>
          <w:p>
            <w:r>
              <w:t>Adaptation</w:t>
            </w:r>
          </w:p>
        </w:tc>
      </w:tr>
      <w:tr>
        <w:tc>
          <w:tcPr>
            <w:tcW w:w="3667" w:type="dxa"/>
          </w:tcPr>
          <w:p>
            <w:r>
              <w:t xml:space="preserve">Plusieurs phénotypes possibles en fonction de l’environnement. On parle de plasticité phénotypique. </w:t>
            </w:r>
          </w:p>
        </w:tc>
        <w:tc>
          <w:tcPr>
            <w:tcW w:w="3668" w:type="dxa"/>
          </w:tcPr>
          <w:p>
            <w:r>
              <w:t xml:space="preserve">Un seul phénotype sélectionné par les contraintes environnementales </w:t>
            </w:r>
          </w:p>
          <w:p>
            <w:r>
              <w:t>= écotype</w:t>
            </w:r>
          </w:p>
        </w:tc>
      </w:tr>
    </w:tbl>
    <w:p>
      <w:proofErr w:type="spellStart"/>
      <w:r>
        <w:t>Ecotypification</w:t>
      </w:r>
      <w:proofErr w:type="spellEnd"/>
      <w:r>
        <w:t xml:space="preserve"> =&gt; </w:t>
      </w:r>
      <w:proofErr w:type="spellStart"/>
      <w:r>
        <w:t>Spéciationse</w:t>
      </w:r>
      <w:proofErr w:type="spellEnd"/>
      <w:r>
        <w:t xml:space="preserve"> </w:t>
      </w:r>
    </w:p>
    <w:p>
      <w:r>
        <w:t>Généralement :</w:t>
      </w:r>
    </w:p>
    <w:p>
      <w:pPr>
        <w:pStyle w:val="Paragraphedeliste"/>
        <w:numPr>
          <w:ilvl w:val="0"/>
          <w:numId w:val="28"/>
        </w:numPr>
      </w:pPr>
      <w:proofErr w:type="spellStart"/>
      <w:r>
        <w:t>Acclimtion</w:t>
      </w:r>
      <w:proofErr w:type="spellEnd"/>
    </w:p>
    <w:p>
      <w:pPr>
        <w:pStyle w:val="Paragraphedeliste"/>
        <w:numPr>
          <w:ilvl w:val="0"/>
          <w:numId w:val="28"/>
        </w:numPr>
      </w:pPr>
      <w:r>
        <w:t xml:space="preserve">Adaptation </w:t>
      </w:r>
    </w:p>
    <w:p>
      <w:pPr>
        <w:pStyle w:val="Paragraphedeliste"/>
        <w:numPr>
          <w:ilvl w:val="0"/>
          <w:numId w:val="28"/>
        </w:numPr>
      </w:pPr>
      <w:r>
        <w:t>Spéciation</w:t>
      </w:r>
    </w:p>
    <w:p>
      <w:r>
        <w:t xml:space="preserve">Les végétaux font preuve d’une grande plasticité dans leur développement </w:t>
      </w:r>
    </w:p>
    <w:p>
      <w:r>
        <w:t>Méristèmes apicaux deux types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Caulinaire (partie aérienne)</w:t>
            </w:r>
          </w:p>
        </w:tc>
        <w:tc>
          <w:tcPr>
            <w:tcW w:w="3668" w:type="dxa"/>
          </w:tcPr>
          <w:p>
            <w:r>
              <w:t>Racinaire</w:t>
            </w:r>
          </w:p>
        </w:tc>
      </w:tr>
    </w:tbl>
    <w:p>
      <w:pPr>
        <w:pStyle w:val="Titre2"/>
      </w:pPr>
      <w:r>
        <w:t>Adaptation à la vie aquatique</w:t>
      </w:r>
    </w:p>
    <w:p>
      <w:r>
        <w:t>Il existe deux grandes classes de plantes aquatiques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Hélophyte (amphibie)</w:t>
            </w:r>
          </w:p>
        </w:tc>
        <w:tc>
          <w:tcPr>
            <w:tcW w:w="3668" w:type="dxa"/>
          </w:tcPr>
          <w:p>
            <w:r>
              <w:t>Hydrophyte (aquatique)</w:t>
            </w:r>
          </w:p>
        </w:tc>
      </w:tr>
    </w:tbl>
    <w:p/>
    <w:p>
      <w:r>
        <w:t xml:space="preserve">Libre fixé </w:t>
      </w:r>
    </w:p>
    <w:p>
      <w:r>
        <w:t>Immergés et à feuilles flottantes.</w:t>
      </w:r>
    </w:p>
    <w:p>
      <w:r>
        <w:t>Les mangroves ont des racines qui émergent du substrat pour capter l’oxygène appelé pneumatophore.</w:t>
      </w:r>
    </w:p>
    <w:p>
      <w:pPr>
        <w:pStyle w:val="Titre2"/>
      </w:pPr>
      <w:r>
        <w:t>Les épiphytes</w:t>
      </w:r>
    </w:p>
    <w:p>
      <w:r>
        <w:t>Milieu oligotrophe</w:t>
      </w:r>
    </w:p>
    <w:p>
      <w:r>
        <w:t>Épiphyte est la plante qui pousse sur un autre appelé phorophyte.</w:t>
      </w:r>
    </w:p>
    <w:p>
      <w:proofErr w:type="spellStart"/>
      <w:r>
        <w:t>lantes</w:t>
      </w:r>
      <w:proofErr w:type="spellEnd"/>
      <w:r>
        <w:t xml:space="preserve"> Myrmécophytes racines fournissent une protection et un gîte aux </w:t>
      </w:r>
      <w:r>
        <w:t xml:space="preserve">fourmis </w:t>
      </w:r>
      <w:r>
        <w:t>dans une urne avec des racines adventives apporte des débris.</w:t>
      </w:r>
    </w:p>
    <w:p>
      <w:pPr>
        <w:pStyle w:val="Titre2"/>
      </w:pPr>
      <w:r>
        <w:t>Les plantes carnivores</w:t>
      </w:r>
    </w:p>
    <w:p>
      <w:r>
        <w:t xml:space="preserve">Plusieurs types de pièges </w:t>
      </w:r>
    </w:p>
    <w:p>
      <w:r>
        <w:t>Passif à digestion enzymatique</w:t>
      </w:r>
    </w:p>
    <w:p>
      <w:r>
        <w:t>Piège semi actif</w:t>
      </w:r>
    </w:p>
    <w:p>
      <w:r>
        <w:t>Piège actif</w:t>
      </w:r>
    </w:p>
    <w:p>
      <w:pPr>
        <w:pStyle w:val="Titre2"/>
      </w:pPr>
      <w:r>
        <w:t>Les plantes parasites</w:t>
      </w:r>
    </w:p>
    <w:p>
      <w:r>
        <w:t>Facultatif obligatoire.</w:t>
      </w:r>
    </w:p>
    <w:p>
      <w:r>
        <w:t xml:space="preserve">Épirhizes plante qui utilise les racines d’une autre espèce. </w:t>
      </w:r>
    </w:p>
    <w:p>
      <w:r>
        <w:t xml:space="preserve">Épiphyte plante qui pousse sur la partie aérienne </w:t>
      </w:r>
      <w:proofErr w:type="gramStart"/>
      <w:r>
        <w:t>d’une autre espèces</w:t>
      </w:r>
      <w:proofErr w:type="gramEnd"/>
      <w:r>
        <w:t>.</w:t>
      </w:r>
    </w:p>
    <w:p>
      <w:r>
        <w:t>Hémiparasite (gui) holoparasite</w:t>
      </w:r>
    </w:p>
    <w:p>
      <w:pPr>
        <w:pStyle w:val="Titre2"/>
      </w:pPr>
      <w:r>
        <w:t>Adaptation à un milieu toxique</w:t>
      </w:r>
    </w:p>
    <w:p>
      <w:r>
        <w:t>Adaptation au climat Chaud et sec xérophyte</w:t>
      </w:r>
    </w:p>
    <w:p>
      <w:r>
        <w:t>Stratégie</w:t>
      </w:r>
    </w:p>
    <w:p>
      <w:r>
        <w:t xml:space="preserve">Dormance </w:t>
      </w:r>
    </w:p>
    <w:p>
      <w:r>
        <w:tab/>
        <w:t xml:space="preserve">Fuite </w:t>
      </w:r>
      <w:proofErr w:type="spellStart"/>
      <w:r>
        <w:t>éphémérophyte</w:t>
      </w:r>
      <w:proofErr w:type="spellEnd"/>
    </w:p>
    <w:p>
      <w:r>
        <w:tab/>
        <w:t>Évitement plantes caduques et reviviscentes</w:t>
      </w:r>
    </w:p>
    <w:p>
      <w:r>
        <w:t>Métabolisme actif</w:t>
      </w:r>
    </w:p>
    <w:p>
      <w:r>
        <w:tab/>
        <w:t xml:space="preserve">Endurance </w:t>
      </w:r>
      <w:proofErr w:type="spellStart"/>
      <w:r>
        <w:t>Sclérophyte</w:t>
      </w:r>
      <w:proofErr w:type="spellEnd"/>
    </w:p>
    <w:p>
      <w:r>
        <w:tab/>
        <w:t xml:space="preserve">Résistance </w:t>
      </w:r>
      <w:proofErr w:type="spellStart"/>
      <w:r>
        <w:t>Malacophyte</w:t>
      </w:r>
      <w:proofErr w:type="spellEnd"/>
    </w:p>
    <w:p>
      <w:proofErr w:type="spellStart"/>
      <w:r>
        <w:t>Éphémérophyte</w:t>
      </w:r>
      <w:proofErr w:type="spellEnd"/>
    </w:p>
    <w:p>
      <w:r>
        <w:rPr>
          <w:rStyle w:val="Accentuation"/>
        </w:rPr>
        <w:lastRenderedPageBreak/>
        <w:t>Bloom</w:t>
      </w:r>
      <w:r>
        <w:t xml:space="preserve"> explosion subite de végétation </w:t>
      </w:r>
    </w:p>
    <w:p>
      <w:r>
        <w:t>Plantes décidues, plantes caduques ou caducifoliées.</w:t>
      </w:r>
    </w:p>
    <w:p>
      <w:pPr>
        <w:pStyle w:val="Titre2"/>
      </w:pPr>
      <w:proofErr w:type="spellStart"/>
      <w:r>
        <w:t>Sclérophytes</w:t>
      </w:r>
      <w:proofErr w:type="spellEnd"/>
    </w:p>
    <w:p>
      <w:proofErr w:type="spellStart"/>
      <w:r>
        <w:t>Sclérophytes</w:t>
      </w:r>
      <w:proofErr w:type="spellEnd"/>
      <w:r>
        <w:t xml:space="preserve"> l’environnement détermine la profondeur de leurs racines. Plus le sol est sec plus les racines s’enfouiront profondément dans le sol.</w:t>
      </w:r>
    </w:p>
    <w:p>
      <w:r>
        <w:t xml:space="preserve">Les </w:t>
      </w:r>
      <w:proofErr w:type="spellStart"/>
      <w:r>
        <w:t>scérophtyes</w:t>
      </w:r>
      <w:proofErr w:type="spellEnd"/>
      <w:r>
        <w:t xml:space="preserve"> ont développé d</w:t>
      </w:r>
    </w:p>
    <w:p>
      <w:r>
        <w:t xml:space="preserve">Pour limiter la transpiration </w:t>
      </w:r>
    </w:p>
    <w:p>
      <w:r>
        <w:t>Maintenir une rigidité mais lorsque d’un déficit hydrique.</w:t>
      </w:r>
    </w:p>
    <w:p>
      <w:r>
        <w:t>Feuille coriaces cuticule épais, les stomates sont enfoncés dans des cavités sous stomatiques</w:t>
      </w:r>
    </w:p>
    <w:p>
      <w:proofErr w:type="spellStart"/>
      <w:r>
        <w:t>Microphyllie</w:t>
      </w:r>
      <w:proofErr w:type="spellEnd"/>
      <w:r>
        <w:t xml:space="preserve"> réduction de la surface foliaire (relatif au feuille)</w:t>
      </w:r>
    </w:p>
    <w:p>
      <w:r>
        <w:t xml:space="preserve">Aiguille et écaille </w:t>
      </w:r>
    </w:p>
    <w:p>
      <w:proofErr w:type="spellStart"/>
      <w:r>
        <w:t>Aphyllie</w:t>
      </w:r>
      <w:proofErr w:type="spellEnd"/>
      <w:r>
        <w:t xml:space="preserve"> Absence de feuille la photosynthèse a lieu sur la tige.</w:t>
      </w:r>
    </w:p>
    <w:p>
      <w:r>
        <w:t>Pyrophyte plante adapté au feu.</w:t>
      </w:r>
    </w:p>
    <w:p>
      <w:r>
        <w:t>Climat froid et gel</w:t>
      </w:r>
    </w:p>
    <w:p>
      <w:r>
        <w:rPr>
          <w:rStyle w:val="Accentuation"/>
        </w:rPr>
        <w:t>Phénologie</w:t>
      </w:r>
      <w:r>
        <w:t xml:space="preserve"> étude de l’apparition des événements périodiques.</w:t>
      </w:r>
    </w:p>
    <w:p>
      <w:r>
        <w:t>Les plantes décidues et orophytes</w:t>
      </w:r>
    </w:p>
    <w:p>
      <w:r>
        <w:t>Survie au gel</w:t>
      </w:r>
    </w:p>
    <w:p>
      <w:r>
        <w:t>Trois stratégies évolutives</w:t>
      </w:r>
    </w:p>
    <w:p>
      <w:r>
        <w:t>Prévention</w:t>
      </w:r>
    </w:p>
    <w:p>
      <w:r>
        <w:t>Survie aux événements de gels</w:t>
      </w:r>
    </w:p>
    <w:p>
      <w:r>
        <w:t>Survie aux effets secondaires du gels</w:t>
      </w:r>
    </w:p>
    <w:p>
      <w:r>
        <w:t>Adaptation aux stress biotiques</w:t>
      </w:r>
    </w:p>
    <w:p>
      <w:r>
        <w:t>Épine Organe transformé en piquant : tiges, rameaux secondaires… ou feuilles, stipules, …</w:t>
      </w:r>
    </w:p>
    <w:p>
      <w:r>
        <w:t>Aiguillon : Excroissance sousépidermique dure et pointue sur la tige…ou sur les bords des feuilles.</w:t>
      </w:r>
    </w:p>
    <w:p>
      <w:r>
        <w:t>Trichome Cellule épidermique allongée en forme de poils pouvant gêner le déplacement des petits insectes herbivores</w:t>
      </w:r>
    </w:p>
    <w:p>
      <w:r>
        <w:t xml:space="preserve">Poils urticants Cellule épidermique allongée en forme de poils pouvant contenir un/des composés toxiques pour les herbivores </w:t>
      </w:r>
    </w:p>
    <w:p>
      <w:pPr>
        <w:pStyle w:val="Titre1"/>
      </w:pPr>
      <w:r>
        <w:t>Organisation générale dans plantes à fleur</w:t>
      </w:r>
    </w:p>
    <w:p>
      <w:pPr>
        <w:pStyle w:val="Titre2"/>
      </w:pPr>
      <w:r>
        <w:t>La floraison</w:t>
      </w:r>
    </w:p>
    <w:p>
      <w:r>
        <w:t>Les plantes annuelles</w:t>
      </w:r>
    </w:p>
    <w:p>
      <w:r>
        <w:t>Biannuelles</w:t>
      </w:r>
    </w:p>
    <w:p>
      <w:r>
        <w:t xml:space="preserve">Plantes vivaces perte des </w:t>
      </w:r>
      <w:proofErr w:type="spellStart"/>
      <w:r>
        <w:t>paartie</w:t>
      </w:r>
      <w:proofErr w:type="spellEnd"/>
      <w:r>
        <w:t xml:space="preserve"> aérienne en hiver.</w:t>
      </w:r>
    </w:p>
    <w:p>
      <w:r>
        <w:t>Plante pérenne</w:t>
      </w:r>
    </w:p>
    <w:p>
      <w:r>
        <w:t xml:space="preserve">L’apparition des fleurs et des feuilles à lieu sur les méristèmes apicaux caulinaire 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Végétatif</w:t>
            </w:r>
          </w:p>
        </w:tc>
        <w:tc>
          <w:tcPr>
            <w:tcW w:w="3668" w:type="dxa"/>
          </w:tcPr>
          <w:p>
            <w:r>
              <w:t>Reproducteur</w:t>
            </w:r>
          </w:p>
        </w:tc>
      </w:tr>
      <w:tr>
        <w:tc>
          <w:tcPr>
            <w:tcW w:w="3667" w:type="dxa"/>
          </w:tcPr>
          <w:p>
            <w:r>
              <w:t>Feuille tige et racine</w:t>
            </w:r>
          </w:p>
        </w:tc>
        <w:tc>
          <w:tcPr>
            <w:tcW w:w="3668" w:type="dxa"/>
          </w:tcPr>
          <w:p>
            <w:r>
              <w:t>fleur</w:t>
            </w:r>
          </w:p>
        </w:tc>
      </w:tr>
    </w:tbl>
    <w:p>
      <w:r>
        <w:t xml:space="preserve">Le méristème présente trois phases de développement </w:t>
      </w:r>
    </w:p>
    <w:p>
      <w:r>
        <w:t xml:space="preserve">PHASE </w:t>
      </w:r>
      <w:proofErr w:type="gramStart"/>
      <w:r>
        <w:t>JUVÉNILE:</w:t>
      </w:r>
      <w:proofErr w:type="gramEnd"/>
      <w:r>
        <w:t xml:space="preserve"> n’a pas la potentialité à former les organes de reproduction PHASE ADULTE: peut former une fleur lorsque les conditions sont réunies PHASE REPRODUCTIVE: méristème floral actif</w:t>
      </w:r>
    </w:p>
    <w:p>
      <w:r>
        <w:t xml:space="preserve">La floraison est </w:t>
      </w:r>
      <w:proofErr w:type="gramStart"/>
      <w:r>
        <w:t>contrôlé</w:t>
      </w:r>
      <w:proofErr w:type="gramEnd"/>
      <w:r>
        <w:t xml:space="preserve"> par la photopériode.</w:t>
      </w:r>
    </w:p>
    <w:p>
      <w:r>
        <w:lastRenderedPageBreak/>
        <w:t xml:space="preserve">s plantes de jours courts mesurent la longueur de la nuit et pourraient plus logiquement être appelées plantes de nuits </w:t>
      </w:r>
      <w:proofErr w:type="gramStart"/>
      <w:r>
        <w:t>longues!</w:t>
      </w:r>
      <w:proofErr w:type="gramEnd"/>
      <w:r>
        <w:t xml:space="preserve"> De même, plantes de jours longs pourraient être appelées plantes de nuits courtes.</w:t>
      </w:r>
    </w:p>
    <w:p>
      <w:r>
        <w:t xml:space="preserve">es récepteurs à lumière rouge sont les premiers impliqués dans la </w:t>
      </w:r>
      <w:proofErr w:type="spellStart"/>
      <w:proofErr w:type="gramStart"/>
      <w:r>
        <w:t>percep?on</w:t>
      </w:r>
      <w:proofErr w:type="spellEnd"/>
      <w:proofErr w:type="gramEnd"/>
      <w:r>
        <w:t xml:space="preserve"> du photopériodisme Les phytochromes</w:t>
      </w:r>
    </w:p>
    <w:p>
      <w:r>
        <w:t>Vernalisation exposition au froid indispensable à la floraison</w:t>
      </w:r>
    </w:p>
    <w:p>
      <w:r>
        <w:t>Floraison mode :</w:t>
      </w:r>
    </w:p>
    <w:p>
      <w:r>
        <w:t>Calendrier</w:t>
      </w:r>
    </w:p>
    <w:p>
      <w:r>
        <w:t xml:space="preserve">Stade de la vie </w:t>
      </w:r>
    </w:p>
    <w:p>
      <w:r>
        <w:t xml:space="preserve">Activation de </w:t>
      </w:r>
      <w:proofErr w:type="gramStart"/>
      <w:r>
        <w:t>certain gènes</w:t>
      </w:r>
      <w:proofErr w:type="gramEnd"/>
    </w:p>
    <w:p>
      <w:r>
        <w:t>Horloge interne</w:t>
      </w:r>
    </w:p>
    <w:p>
      <w:r>
        <w:t>Hormone</w:t>
      </w:r>
    </w:p>
    <w:p>
      <w:r>
        <w:t>Vernalisation</w:t>
      </w:r>
    </w:p>
    <w:p>
      <w:r>
        <w:t>Bourgeon floral</w:t>
      </w:r>
    </w:p>
    <w:p>
      <w:r>
        <w:t>Périanthe</w:t>
      </w:r>
    </w:p>
    <w:p>
      <w:r>
        <w:t>Organisation en verticille</w:t>
      </w:r>
    </w:p>
    <w:p>
      <w:r>
        <w:t>Le modèle ABC</w:t>
      </w:r>
    </w:p>
    <w:p>
      <w:pPr>
        <w:pStyle w:val="Titre2"/>
      </w:pPr>
      <w:r>
        <w:t>La pollinisation</w:t>
      </w:r>
    </w:p>
    <w:p/>
    <w:p>
      <w:r>
        <w:t>Angiosperme</w:t>
      </w:r>
    </w:p>
    <w:p>
      <w:r>
        <w:t xml:space="preserve">Les angiospermes se diversifient plusieurs sous-genres. La majorité des espèces se trouve </w:t>
      </w:r>
      <w:r>
        <w:tab/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Monocotylédones</w:t>
            </w:r>
          </w:p>
        </w:tc>
        <w:tc>
          <w:tcPr>
            <w:tcW w:w="3668" w:type="dxa"/>
          </w:tcPr>
          <w:p>
            <w:proofErr w:type="spellStart"/>
            <w:r>
              <w:t>Eudycotylédones</w:t>
            </w:r>
            <w:proofErr w:type="spellEnd"/>
          </w:p>
        </w:tc>
      </w:tr>
    </w:tbl>
    <w:p>
      <w:r>
        <w:t>On distingue deux grands moments dans la vie des plantes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La phase végétative</w:t>
            </w:r>
          </w:p>
        </w:tc>
        <w:tc>
          <w:tcPr>
            <w:tcW w:w="3668" w:type="dxa"/>
          </w:tcPr>
          <w:p>
            <w:r>
              <w:t>La phase reproduction</w:t>
            </w:r>
          </w:p>
        </w:tc>
      </w:tr>
      <w:tr>
        <w:tc>
          <w:tcPr>
            <w:tcW w:w="3667" w:type="dxa"/>
          </w:tcPr>
          <w:p>
            <w:r>
              <w:t xml:space="preserve">Caractérisé par une </w:t>
            </w:r>
            <w:proofErr w:type="spellStart"/>
            <w:r>
              <w:t>abscence</w:t>
            </w:r>
            <w:proofErr w:type="spellEnd"/>
            <w:r>
              <w:t xml:space="preserve"> de fleurs</w:t>
            </w:r>
          </w:p>
        </w:tc>
        <w:tc>
          <w:tcPr>
            <w:tcW w:w="3668" w:type="dxa"/>
          </w:tcPr>
          <w:p/>
        </w:tc>
      </w:tr>
    </w:tbl>
    <w:p>
      <w:r>
        <w:t xml:space="preserve">L’embryon est au centre du cotylédon. </w:t>
      </w:r>
    </w:p>
    <w:p>
      <w:r>
        <w:t xml:space="preserve">monophylétiques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pPr>
              <w:rPr>
                <w:b w:val="0"/>
                <w:bCs/>
              </w:rPr>
            </w:pP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</w:tbl>
    <w:p>
      <w:pPr>
        <w:rPr>
          <w:bCs/>
        </w:rPr>
      </w:pPr>
      <w:r>
        <w:rPr>
          <w:bCs/>
        </w:rPr>
        <w:t>Mode de germination</w:t>
      </w:r>
    </w:p>
    <w:p/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192"/>
        <w:gridCol w:w="2589"/>
        <w:gridCol w:w="255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/>
        </w:tc>
        <w:tc>
          <w:tcPr>
            <w:tcW w:w="258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Épigée (haricot)</w:t>
            </w:r>
          </w:p>
        </w:tc>
        <w:tc>
          <w:tcPr>
            <w:tcW w:w="255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Hypogée (pois)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>
            <w:r>
              <w:t>Tige</w:t>
            </w:r>
          </w:p>
        </w:tc>
        <w:tc>
          <w:tcPr>
            <w:tcW w:w="258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Hypoctoyle</w:t>
            </w:r>
            <w:proofErr w:type="spellEnd"/>
          </w:p>
        </w:tc>
        <w:tc>
          <w:tcPr>
            <w:tcW w:w="255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Épycotyle</w:t>
            </w:r>
            <w:proofErr w:type="spellEnd"/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>
            <w:r>
              <w:t>Cotylédons</w:t>
            </w:r>
          </w:p>
        </w:tc>
        <w:tc>
          <w:tcPr>
            <w:tcW w:w="258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 la tige et les racines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>
      <w:pPr>
        <w:pStyle w:val="Titre1"/>
      </w:pPr>
      <w:r>
        <w:t>Les fruits</w:t>
      </w:r>
    </w:p>
    <w:p>
      <w:r>
        <w:t>Les fruits se classent en quatre groupes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980"/>
        <w:gridCol w:w="535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/>
        </w:tc>
        <w:tc>
          <w:tcPr>
            <w:tcW w:w="535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fruit simples</w:t>
            </w:r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Fruit secs (</w:t>
            </w:r>
            <w:proofErr w:type="spellStart"/>
            <w:r>
              <w:t>Akenes</w:t>
            </w:r>
            <w:proofErr w:type="spellEnd"/>
            <w:r>
              <w:t>, follicules, gousses, capsules et siliques)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fruits charnus (Drupes et baies)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fruits multiples</w:t>
            </w:r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(poly-drupes, </w:t>
            </w:r>
            <w:proofErr w:type="spellStart"/>
            <w:r>
              <w:t>poly-akènes</w:t>
            </w:r>
            <w:proofErr w:type="spellEnd"/>
            <w:r>
              <w:t xml:space="preserve"> et poly-follicules)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Fruits complexes</w:t>
            </w:r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participation du réceptacle floral ou développement du réceptacle floral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Fruits composés</w:t>
            </w:r>
          </w:p>
          <w:p/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infruitescence</w:t>
            </w:r>
            <w:proofErr w:type="spellEnd"/>
            <w:r>
              <w:t xml:space="preserve"> : association complexe à partir d’une inflorescence</w:t>
            </w:r>
          </w:p>
        </w:tc>
      </w:tr>
    </w:tbl>
    <w:p>
      <w:pPr>
        <w:pStyle w:val="Titre3"/>
      </w:pPr>
      <w:r>
        <w:t>Fruits simples</w:t>
      </w:r>
    </w:p>
    <w:p/>
    <w:p>
      <w:r>
        <w:lastRenderedPageBreak/>
        <w:t>Indéhiscents : akènes, la majorité ont une graine libre à l’</w:t>
      </w:r>
      <w:proofErr w:type="spellStart"/>
      <w:r>
        <w:t>interieur</w:t>
      </w:r>
      <w:proofErr w:type="spellEnd"/>
      <w:r>
        <w:t xml:space="preserve">, elle peut être collé au </w:t>
      </w:r>
      <w:proofErr w:type="gramStart"/>
      <w:r>
        <w:t>péricarpe ,</w:t>
      </w:r>
      <w:proofErr w:type="gramEnd"/>
      <w:r>
        <w:t xml:space="preserve"> comme chez le </w:t>
      </w:r>
      <w:proofErr w:type="spellStart"/>
      <w:r>
        <w:t>mais</w:t>
      </w:r>
      <w:proofErr w:type="spellEnd"/>
      <w:r>
        <w:t>, on appelle ça le caryopse</w:t>
      </w:r>
    </w:p>
    <w:p>
      <w:r>
        <w:t>Déhiscents : follicules : une seule fente de déhiscence gousses : 2 fentes de déhiscence capsules : plusieurs fentes de déhiscence, plusieurs ovaires soudés, pore pour libérer la graine silique : 2 carpelles soudés, présence d’une cloison surnuméraire</w:t>
      </w:r>
    </w:p>
    <w:p>
      <w:r>
        <w:t xml:space="preserve">Les fruits charnus : Baie, péricarpe totalement charnu, quand les graines sont petites on les appelle souvent pépins. </w:t>
      </w:r>
    </w:p>
    <w:p>
      <w:r>
        <w:t xml:space="preserve">Tomates : </w:t>
      </w:r>
      <w:proofErr w:type="gramStart"/>
      <w:r>
        <w:t>anthères très gros</w:t>
      </w:r>
      <w:proofErr w:type="gramEnd"/>
    </w:p>
    <w:p>
      <w:r>
        <w:t>Drupe : épicarpe, mésocarpe charnus, endocarpe lignifié dormant un noyau qui contient la graine (abricot, pêche…) ovaire infère non adhérent au réceptacle (noyau de la cerise = amande)</w:t>
      </w:r>
    </w:p>
    <w:p>
      <w:r>
        <w:t xml:space="preserve">Ovaire infère </w:t>
      </w:r>
      <w:proofErr w:type="spellStart"/>
      <w:r>
        <w:t>adherent</w:t>
      </w:r>
      <w:proofErr w:type="spellEnd"/>
      <w:r>
        <w:t xml:space="preserve"> au réceptacle, on parle dans ce cas d’un conceptacle Fruits composés : figue et ananas, issus d’une inflorescence, tout est </w:t>
      </w:r>
      <w:proofErr w:type="spellStart"/>
      <w:proofErr w:type="gramStart"/>
      <w:r>
        <w:t>a</w:t>
      </w:r>
      <w:proofErr w:type="spellEnd"/>
      <w:proofErr w:type="gramEnd"/>
      <w:r>
        <w:t xml:space="preserve"> peu près charnu</w:t>
      </w:r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Organisation du vivant végétal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49.9pt;height:22.7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A11B15"/>
    <w:multiLevelType w:val="hybridMultilevel"/>
    <w:tmpl w:val="4A5E8F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15"/>
  </w:num>
  <w:num w:numId="9">
    <w:abstractNumId w:val="21"/>
  </w:num>
  <w:num w:numId="10">
    <w:abstractNumId w:val="11"/>
  </w:num>
  <w:num w:numId="11">
    <w:abstractNumId w:val="12"/>
  </w:num>
  <w:num w:numId="12">
    <w:abstractNumId w:val="3"/>
  </w:num>
  <w:num w:numId="13">
    <w:abstractNumId w:val="23"/>
  </w:num>
  <w:num w:numId="14">
    <w:abstractNumId w:val="14"/>
  </w:num>
  <w:num w:numId="15">
    <w:abstractNumId w:val="17"/>
  </w:num>
  <w:num w:numId="16">
    <w:abstractNumId w:val="25"/>
  </w:num>
  <w:num w:numId="17">
    <w:abstractNumId w:val="4"/>
  </w:num>
  <w:num w:numId="18">
    <w:abstractNumId w:val="7"/>
  </w:num>
  <w:num w:numId="19">
    <w:abstractNumId w:val="16"/>
  </w:num>
  <w:num w:numId="20">
    <w:abstractNumId w:val="22"/>
  </w:num>
  <w:num w:numId="21">
    <w:abstractNumId w:val="13"/>
  </w:num>
  <w:num w:numId="22">
    <w:abstractNumId w:val="18"/>
  </w:num>
  <w:num w:numId="23">
    <w:abstractNumId w:val="27"/>
  </w:num>
  <w:num w:numId="24">
    <w:abstractNumId w:val="24"/>
  </w:num>
  <w:num w:numId="25">
    <w:abstractNumId w:val="26"/>
  </w:num>
  <w:num w:numId="26">
    <w:abstractNumId w:val="5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4</Pages>
  <Words>897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21</cp:revision>
  <cp:lastPrinted>2021-02-13T18:38:00Z</cp:lastPrinted>
  <dcterms:created xsi:type="dcterms:W3CDTF">2021-05-17T20:06:00Z</dcterms:created>
  <dcterms:modified xsi:type="dcterms:W3CDTF">2021-06-13T21:41:00Z</dcterms:modified>
</cp:coreProperties>
</file>