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cellule est composée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Noyau</w:t>
            </w:r>
          </w:p>
        </w:tc>
        <w:tc>
          <w:tcPr>
            <w:tcW w:w="2445" w:type="dxa"/>
          </w:tcPr>
          <w:p>
            <w:r>
              <w:t>Cytosol</w:t>
            </w:r>
          </w:p>
        </w:tc>
        <w:tc>
          <w:tcPr>
            <w:tcW w:w="2445" w:type="dxa"/>
          </w:tcPr>
          <w:p>
            <w:r>
              <w:t>Membrane plasmique</w:t>
            </w:r>
          </w:p>
        </w:tc>
      </w:tr>
    </w:tbl>
    <w:p>
      <w:r>
        <w:rPr>
          <w:rStyle w:val="Accentuation"/>
        </w:rPr>
        <w:t>Organites</w:t>
      </w:r>
      <w:r>
        <w:t xml:space="preserve"> compartiments isolés dans le cytosol.</w:t>
      </w:r>
    </w:p>
    <w:p>
      <w:pPr>
        <w:rPr>
          <w:rStyle w:val="Accentuationlgre"/>
        </w:rPr>
      </w:pPr>
      <w:r>
        <w:t>Le cytosol contient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Organites à membrane (5)</w:t>
            </w:r>
          </w:p>
        </w:tc>
        <w:tc>
          <w:tcPr>
            <w:tcW w:w="3668" w:type="dxa"/>
          </w:tcPr>
          <w:p>
            <w:r>
              <w:t>Inclusions (10)</w:t>
            </w:r>
          </w:p>
        </w:tc>
      </w:tr>
      <w:tr>
        <w:tc>
          <w:tcPr>
            <w:tcW w:w="3667" w:type="dxa"/>
          </w:tcPr>
          <w:p>
            <w:r>
              <w:t>Mitochondries</w:t>
            </w:r>
          </w:p>
          <w:p>
            <w:r>
              <w:t>Réticulum endoplasmique</w:t>
            </w:r>
          </w:p>
          <w:p>
            <w:r>
              <w:t>Appareil de Golgi</w:t>
            </w:r>
          </w:p>
          <w:p>
            <w:r>
              <w:t>Lysosomes</w:t>
            </w:r>
          </w:p>
          <w:p>
            <w:r>
              <w:t xml:space="preserve">Peroxysomes </w:t>
            </w:r>
          </w:p>
        </w:tc>
        <w:tc>
          <w:tcPr>
            <w:tcW w:w="3668" w:type="dxa"/>
          </w:tcPr>
          <w:p>
            <w:r>
              <w:t>Gouttelettes lipides</w:t>
            </w:r>
          </w:p>
          <w:p>
            <w:r>
              <w:t>Granules de glycogène</w:t>
            </w:r>
          </w:p>
          <w:p>
            <w:r>
              <w:t>Ribosomes</w:t>
            </w:r>
          </w:p>
          <w:p>
            <w:r>
              <w:t>Particules de Vault</w:t>
            </w:r>
          </w:p>
          <w:p>
            <w:r>
              <w:t>Protéasomes</w:t>
            </w:r>
          </w:p>
          <w:p>
            <w:r>
              <w:t>Cytosquelettes</w:t>
            </w:r>
          </w:p>
          <w:p>
            <w:r>
              <w:t>Centrioles</w:t>
            </w:r>
          </w:p>
          <w:p>
            <w:r>
              <w:t>Centrosome</w:t>
            </w:r>
          </w:p>
          <w:p>
            <w:r>
              <w:t>Cils</w:t>
            </w:r>
          </w:p>
          <w:p>
            <w:r>
              <w:t>Flagelles</w:t>
            </w:r>
          </w:p>
        </w:tc>
      </w:tr>
    </w:tbl>
    <w:p>
      <w:pPr>
        <w:pStyle w:val="Titre3"/>
      </w:pPr>
      <w:r>
        <w:t>La composition du cytosol</w:t>
      </w:r>
    </w:p>
    <w:p>
      <w:r>
        <w:t>Le milieu intra et extra cellulaire n’ont pas la même composition. La concentration est plus élevée dans le milieu :</w:t>
      </w:r>
    </w:p>
    <w:tbl>
      <w:tblPr>
        <w:tblStyle w:val="Grilledetableauclaire"/>
        <w:tblW w:w="0" w:type="auto"/>
        <w:tblLook w:val="0400" w:firstRow="0" w:lastRow="0" w:firstColumn="0" w:lastColumn="0" w:noHBand="0" w:noVBand="1"/>
      </w:tblPr>
      <w:tblGrid>
        <w:gridCol w:w="3667"/>
        <w:gridCol w:w="3668"/>
      </w:tblGrid>
      <w:tr>
        <w:tc>
          <w:tcPr>
            <w:tcW w:w="3667" w:type="dxa"/>
          </w:tcPr>
          <w:p>
            <w:r>
              <w:t>Extracellulaire en Na</w:t>
            </w:r>
            <w:r>
              <w:rPr>
                <w:vertAlign w:val="superscript"/>
              </w:rPr>
              <w:t>+</w:t>
            </w:r>
            <w:r>
              <w:t>, Ca</w:t>
            </w:r>
            <w:r>
              <w:rPr>
                <w:vertAlign w:val="superscript"/>
              </w:rPr>
              <w:t>2+</w:t>
            </w:r>
            <w:r>
              <w:t>, Mg</w:t>
            </w:r>
            <w:r>
              <w:rPr>
                <w:vertAlign w:val="superscript"/>
              </w:rPr>
              <w:t>2+</w:t>
            </w:r>
            <w:r>
              <w:t>, Cl</w:t>
            </w:r>
            <w:r>
              <w:rPr>
                <w:vertAlign w:val="superscript"/>
              </w:rPr>
              <w:t>-</w:t>
            </w:r>
            <w:r>
              <w:t>, HCO</w:t>
            </w:r>
            <w:r>
              <w:rPr>
                <w:vertAlign w:val="subscript"/>
              </w:rPr>
              <w:t>3</w:t>
            </w:r>
            <w:r>
              <w:rPr>
                <w:vertAlign w:val="superscript"/>
              </w:rPr>
              <w:t>-</w:t>
            </w:r>
          </w:p>
        </w:tc>
        <w:tc>
          <w:tcPr>
            <w:tcW w:w="3668" w:type="dxa"/>
          </w:tcPr>
          <w:p>
            <w:r>
              <w:t>Intracellulaire en K</w:t>
            </w:r>
            <w:r>
              <w:rPr>
                <w:vertAlign w:val="superscript"/>
              </w:rPr>
              <w:t>+</w:t>
            </w:r>
            <w:r>
              <w:t>, HP0</w:t>
            </w:r>
            <w:r>
              <w:rPr>
                <w:vertAlign w:val="subscript"/>
              </w:rPr>
              <w:t>4</w:t>
            </w:r>
            <w:r>
              <w:rPr>
                <w:vertAlign w:val="superscript"/>
              </w:rPr>
              <w:t>2-</w:t>
            </w:r>
            <w:r>
              <w:t>, protéines</w:t>
            </w:r>
          </w:p>
        </w:tc>
      </w:tr>
    </w:tbl>
    <w:p>
      <w:pPr>
        <w:pStyle w:val="Titre1"/>
      </w:pPr>
      <w:r>
        <w:t xml:space="preserve">La membrane plasmique </w:t>
      </w:r>
    </w:p>
    <w:p>
      <w:r>
        <w:t>La membrane plasmique est soutenue par le cytosquelette. Elle permet notamment :</w:t>
      </w:r>
    </w:p>
    <w:p>
      <w:pPr>
        <w:pStyle w:val="Paragraphedeliste"/>
        <w:numPr>
          <w:ilvl w:val="0"/>
          <w:numId w:val="29"/>
        </w:numPr>
      </w:pPr>
      <w:r>
        <w:t>D’assurer la communication avec l’environnement.</w:t>
      </w:r>
    </w:p>
    <w:p>
      <w:pPr>
        <w:pStyle w:val="Paragraphedeliste"/>
        <w:numPr>
          <w:ilvl w:val="0"/>
          <w:numId w:val="29"/>
        </w:numPr>
      </w:pPr>
      <w:r>
        <w:t>De réguler les échanges avec l’extérieur.</w:t>
      </w:r>
    </w:p>
    <w:p>
      <w:pPr>
        <w:pStyle w:val="Paragraphedeliste"/>
        <w:numPr>
          <w:ilvl w:val="0"/>
          <w:numId w:val="29"/>
        </w:numPr>
      </w:pPr>
      <w:r>
        <w:t>D’assurer la jonction avec les autres cellules.</w:t>
      </w:r>
    </w:p>
    <w:p>
      <w:pPr>
        <w:pStyle w:val="Titre3"/>
      </w:pPr>
      <w:r>
        <w:t xml:space="preserve">Les échanges </w:t>
      </w:r>
    </w:p>
    <w:p>
      <w:r>
        <w:t>La cellule échange avec son environnement des :</w:t>
      </w:r>
    </w:p>
    <w:tbl>
      <w:tblPr>
        <w:tblStyle w:val="Grilledetableauclaire"/>
        <w:tblW w:w="0" w:type="auto"/>
        <w:tblLook w:val="0400" w:firstRow="0" w:lastRow="0" w:firstColumn="0" w:lastColumn="0" w:noHBand="0" w:noVBand="1"/>
      </w:tblPr>
      <w:tblGrid>
        <w:gridCol w:w="633"/>
        <w:gridCol w:w="584"/>
        <w:gridCol w:w="2660"/>
        <w:gridCol w:w="2123"/>
        <w:gridCol w:w="1335"/>
      </w:tblGrid>
      <w:tr>
        <w:tc>
          <w:tcPr>
            <w:tcW w:w="633" w:type="dxa"/>
          </w:tcPr>
          <w:p>
            <w:r>
              <w:t>Ions</w:t>
            </w:r>
          </w:p>
        </w:tc>
        <w:tc>
          <w:tcPr>
            <w:tcW w:w="571" w:type="dxa"/>
          </w:tcPr>
          <w:p>
            <w:r>
              <w:t>Eau</w:t>
            </w:r>
          </w:p>
        </w:tc>
        <w:tc>
          <w:tcPr>
            <w:tcW w:w="2667" w:type="dxa"/>
          </w:tcPr>
          <w:p>
            <w:r>
              <w:t>Déchets métaboliques</w:t>
            </w:r>
          </w:p>
        </w:tc>
        <w:tc>
          <w:tcPr>
            <w:tcW w:w="2129" w:type="dxa"/>
          </w:tcPr>
          <w:p>
            <w:r>
              <w:t>Produits de synthèse</w:t>
            </w:r>
          </w:p>
        </w:tc>
        <w:tc>
          <w:tcPr>
            <w:tcW w:w="1335" w:type="dxa"/>
          </w:tcPr>
          <w:p>
            <w:r>
              <w:t>Nutriments</w:t>
            </w:r>
          </w:p>
        </w:tc>
      </w:tr>
    </w:tbl>
    <w:p>
      <w:pPr>
        <w:pStyle w:val="Titre3"/>
      </w:pPr>
      <w:r>
        <w:t>La communication</w:t>
      </w:r>
    </w:p>
    <w:p>
      <w:r>
        <w:t>Récepteurs de messagers chimiques (hormones, neurotransmetteurs) Récepteurs à l’environnement (pH, MEC (matrice extracellulaire), pression, lumière, champs électriques…</w:t>
      </w:r>
    </w:p>
    <w:p>
      <w:pPr>
        <w:pStyle w:val="Titre3"/>
      </w:pPr>
      <w:r>
        <w:t>Jonction cellulaire</w:t>
      </w:r>
    </w:p>
    <w:p>
      <w:r>
        <w:t>Trois types de jonctions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Serré</w:t>
            </w:r>
          </w:p>
        </w:tc>
        <w:tc>
          <w:tcPr>
            <w:tcW w:w="2445" w:type="dxa"/>
          </w:tcPr>
          <w:p>
            <w:r>
              <w:t xml:space="preserve">Trou </w:t>
            </w:r>
          </w:p>
        </w:tc>
        <w:tc>
          <w:tcPr>
            <w:tcW w:w="2445" w:type="dxa"/>
          </w:tcPr>
          <w:p>
            <w:r>
              <w:t>Adhésion</w:t>
            </w:r>
          </w:p>
        </w:tc>
      </w:tr>
    </w:tbl>
    <w:p>
      <w:pPr>
        <w:pStyle w:val="Titre2"/>
      </w:pPr>
      <w:r>
        <w:t>Composition et structure de la membrane plasmique</w:t>
      </w:r>
    </w:p>
    <w:p>
      <w:r>
        <w:t xml:space="preserve">En moyenne, la membrane plasmique des cellules est composée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Lipides (49%)</w:t>
            </w:r>
          </w:p>
        </w:tc>
        <w:tc>
          <w:tcPr>
            <w:tcW w:w="2445" w:type="dxa"/>
          </w:tcPr>
          <w:p>
            <w:r>
              <w:t>Protéines (43%)</w:t>
            </w:r>
          </w:p>
        </w:tc>
        <w:tc>
          <w:tcPr>
            <w:tcW w:w="2445" w:type="dxa"/>
          </w:tcPr>
          <w:p>
            <w:r>
              <w:t>Glucides (8%)</w:t>
            </w:r>
          </w:p>
        </w:tc>
      </w:tr>
    </w:tbl>
    <w:p>
      <w:r>
        <w:rPr>
          <w:u w:val="single"/>
        </w:rPr>
        <w:t>Rmq :</w:t>
      </w:r>
      <w:r>
        <w:t xml:space="preserve"> La composition varie en fonction du type cellulaire.</w:t>
      </w:r>
    </w:p>
    <w:p>
      <w:pPr>
        <w:pStyle w:val="Titre3"/>
      </w:pPr>
      <w:r>
        <w:t>Les radeaux</w:t>
      </w:r>
    </w:p>
    <w:p>
      <w:r>
        <w:t>La membrane est un système complexe et dynamique radeaux lipides.</w:t>
      </w:r>
      <w:r>
        <w:br/>
        <w:t>Régionalisation fonctionnelle de la membrane plasmique</w:t>
      </w:r>
    </w:p>
    <w:p>
      <w:r>
        <w:t>Riches en sphingolipide et cholestérol.</w:t>
      </w:r>
    </w:p>
    <w:p>
      <w:pPr>
        <w:pStyle w:val="Titre3"/>
      </w:pPr>
      <w:r>
        <w:t>Les glucides</w:t>
      </w:r>
    </w:p>
    <w:p>
      <w:r>
        <w:t xml:space="preserve">Les glucides sont soit attaché à : </w:t>
      </w:r>
    </w:p>
    <w:tbl>
      <w:tblPr>
        <w:tblStyle w:val="Grilledetableauclaire"/>
        <w:tblW w:w="0" w:type="auto"/>
        <w:tblLook w:val="0400" w:firstRow="0" w:lastRow="0" w:firstColumn="0" w:lastColumn="0" w:noHBand="0" w:noVBand="1"/>
      </w:tblPr>
      <w:tblGrid>
        <w:gridCol w:w="3667"/>
        <w:gridCol w:w="3668"/>
      </w:tblGrid>
      <w:tr>
        <w:tc>
          <w:tcPr>
            <w:tcW w:w="3667" w:type="dxa"/>
          </w:tcPr>
          <w:p>
            <w:r>
              <w:t>Une protéine (glycoprotéines)</w:t>
            </w:r>
          </w:p>
        </w:tc>
        <w:tc>
          <w:tcPr>
            <w:tcW w:w="3668" w:type="dxa"/>
          </w:tcPr>
          <w:p>
            <w:r>
              <w:t>Un lipide (glycolipides)</w:t>
            </w:r>
          </w:p>
        </w:tc>
      </w:tr>
    </w:tbl>
    <w:p>
      <w:r>
        <w:t>La membrane plasmique est associée au cytosquelette par des protéines membranaires.</w:t>
      </w:r>
    </w:p>
    <w:p>
      <w:r>
        <w:t>Ils servent principalement :</w:t>
      </w:r>
    </w:p>
    <w:p>
      <w:pPr>
        <w:pStyle w:val="Paragraphedeliste"/>
        <w:numPr>
          <w:ilvl w:val="0"/>
          <w:numId w:val="32"/>
        </w:numPr>
      </w:pPr>
      <w:r>
        <w:t>À stabiliser les structures.</w:t>
      </w:r>
    </w:p>
    <w:p>
      <w:pPr>
        <w:pStyle w:val="Paragraphedeliste"/>
        <w:numPr>
          <w:ilvl w:val="0"/>
          <w:numId w:val="32"/>
        </w:numPr>
      </w:pPr>
      <w:r>
        <w:t>Dans les mécanismes de reconnaissance cellulaire.</w:t>
      </w:r>
    </w:p>
    <w:p>
      <w:pPr>
        <w:pStyle w:val="Paragraphedeliste"/>
        <w:numPr>
          <w:ilvl w:val="0"/>
          <w:numId w:val="32"/>
        </w:numPr>
      </w:pPr>
      <w:r>
        <w:t>Dans la réponse immunitaire.</w:t>
      </w:r>
    </w:p>
    <w:p>
      <w:pPr>
        <w:pStyle w:val="Titre3"/>
      </w:pPr>
      <w:r>
        <w:lastRenderedPageBreak/>
        <w:t>Les lipides</w:t>
      </w:r>
    </w:p>
    <w:p>
      <w:r>
        <w:t>Les lipides sont de types :</w:t>
      </w:r>
    </w:p>
    <w:tbl>
      <w:tblPr>
        <w:tblStyle w:val="Grilledetableauclaire"/>
        <w:tblW w:w="0" w:type="auto"/>
        <w:tblLook w:val="0420" w:firstRow="1" w:lastRow="0" w:firstColumn="0" w:lastColumn="0" w:noHBand="0" w:noVBand="1"/>
      </w:tblPr>
      <w:tblGrid>
        <w:gridCol w:w="1732"/>
        <w:gridCol w:w="1098"/>
        <w:gridCol w:w="4505"/>
      </w:tblGrid>
      <w:tr>
        <w:trPr>
          <w:cnfStyle w:val="100000000000" w:firstRow="1" w:lastRow="0" w:firstColumn="0" w:lastColumn="0" w:oddVBand="0" w:evenVBand="0" w:oddHBand="0" w:evenHBand="0" w:firstRowFirstColumn="0" w:firstRowLastColumn="0" w:lastRowFirstColumn="0" w:lastRowLastColumn="0"/>
        </w:trPr>
        <w:tc>
          <w:tcPr>
            <w:tcW w:w="1732" w:type="dxa"/>
          </w:tcPr>
          <w:p>
            <w:r>
              <w:t>Lipides</w:t>
            </w:r>
          </w:p>
        </w:tc>
        <w:tc>
          <w:tcPr>
            <w:tcW w:w="1098" w:type="dxa"/>
          </w:tcPr>
          <w:p>
            <w:r>
              <w:t>Freq</w:t>
            </w:r>
          </w:p>
        </w:tc>
        <w:tc>
          <w:tcPr>
            <w:tcW w:w="4505" w:type="dxa"/>
          </w:tcPr>
          <w:p>
            <w:r>
              <w:t>Structure</w:t>
            </w:r>
          </w:p>
        </w:tc>
      </w:tr>
      <w:tr>
        <w:tc>
          <w:tcPr>
            <w:tcW w:w="1732" w:type="dxa"/>
          </w:tcPr>
          <w:p>
            <w:r>
              <w:t>Phospholipides</w:t>
            </w:r>
          </w:p>
          <w:p/>
        </w:tc>
        <w:tc>
          <w:tcPr>
            <w:tcW w:w="1098" w:type="dxa"/>
          </w:tcPr>
          <w:p>
            <w:r>
              <w:t>50-60%</w:t>
            </w:r>
          </w:p>
          <w:p/>
        </w:tc>
        <w:tc>
          <w:tcPr>
            <w:tcW w:w="4505" w:type="dxa"/>
          </w:tcPr>
          <w:p>
            <w:r>
              <w:t>Tête polaire (glycérol ou sphingosine)</w:t>
            </w:r>
          </w:p>
          <w:p>
            <w:r>
              <w:t>Queue apolaire</w:t>
            </w:r>
          </w:p>
          <w:p>
            <w:r>
              <w:t>Exemples : les glycérophospholipides, sphingolipides</w:t>
            </w:r>
          </w:p>
        </w:tc>
      </w:tr>
      <w:tr>
        <w:tc>
          <w:tcPr>
            <w:tcW w:w="1732" w:type="dxa"/>
          </w:tcPr>
          <w:p>
            <w:r>
              <w:t>Cholestérol</w:t>
            </w:r>
          </w:p>
        </w:tc>
        <w:tc>
          <w:tcPr>
            <w:tcW w:w="1098" w:type="dxa"/>
          </w:tcPr>
          <w:p>
            <w:r>
              <w:t>17-23%</w:t>
            </w:r>
          </w:p>
        </w:tc>
        <w:tc>
          <w:tcPr>
            <w:tcW w:w="4505" w:type="dxa"/>
          </w:tcPr>
          <w:p>
            <w:r>
              <w:t>Favorise l’imperméabilité et rigidification</w:t>
            </w:r>
          </w:p>
        </w:tc>
      </w:tr>
      <w:tr>
        <w:tc>
          <w:tcPr>
            <w:tcW w:w="1732" w:type="dxa"/>
          </w:tcPr>
          <w:p>
            <w:r>
              <w:t>Glycolipides</w:t>
            </w:r>
          </w:p>
        </w:tc>
        <w:tc>
          <w:tcPr>
            <w:tcW w:w="1098" w:type="dxa"/>
          </w:tcPr>
          <w:p>
            <w:r>
              <w:t>7%</w:t>
            </w:r>
          </w:p>
        </w:tc>
        <w:tc>
          <w:tcPr>
            <w:tcW w:w="4505" w:type="dxa"/>
          </w:tcPr>
          <w:p/>
        </w:tc>
      </w:tr>
    </w:tbl>
    <w:p>
      <w:pPr>
        <w:pStyle w:val="Titre3"/>
      </w:pPr>
      <w:r>
        <w:t>Les protéines membranaires</w:t>
      </w:r>
    </w:p>
    <w:p>
      <w:r>
        <w:t>Il y a deux types de protéines membranaires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Transmembranaires </w:t>
            </w:r>
          </w:p>
        </w:tc>
        <w:tc>
          <w:tcPr>
            <w:tcW w:w="3668" w:type="dxa"/>
          </w:tcPr>
          <w:p>
            <w:r>
              <w:t>Périphériques</w:t>
            </w:r>
          </w:p>
        </w:tc>
      </w:tr>
      <w:tr>
        <w:tc>
          <w:tcPr>
            <w:tcW w:w="3667" w:type="dxa"/>
          </w:tcPr>
          <w:p>
            <w:pPr>
              <w:pStyle w:val="Paragraphedeliste"/>
              <w:numPr>
                <w:ilvl w:val="0"/>
                <w:numId w:val="31"/>
              </w:numPr>
              <w:rPr>
                <w:b/>
              </w:rPr>
            </w:pPr>
            <w:r>
              <w:t>Récepteur</w:t>
            </w:r>
          </w:p>
          <w:p>
            <w:pPr>
              <w:pStyle w:val="Paragraphedeliste"/>
              <w:numPr>
                <w:ilvl w:val="0"/>
                <w:numId w:val="31"/>
              </w:numPr>
            </w:pPr>
            <w:r>
              <w:t>Protéine de transport</w:t>
            </w:r>
          </w:p>
        </w:tc>
        <w:tc>
          <w:tcPr>
            <w:tcW w:w="3668" w:type="dxa"/>
          </w:tcPr>
          <w:p>
            <w:pPr>
              <w:pStyle w:val="Paragraphedeliste"/>
              <w:numPr>
                <w:ilvl w:val="0"/>
                <w:numId w:val="30"/>
              </w:numPr>
            </w:pPr>
            <w:r>
              <w:t>Enzyme</w:t>
            </w:r>
          </w:p>
          <w:p>
            <w:pPr>
              <w:pStyle w:val="Paragraphedeliste"/>
              <w:numPr>
                <w:ilvl w:val="0"/>
                <w:numId w:val="30"/>
              </w:numPr>
            </w:pPr>
            <w:r>
              <w:t>Protéine de structure</w:t>
            </w:r>
          </w:p>
        </w:tc>
      </w:tr>
    </w:tbl>
    <w:p>
      <w:pPr>
        <w:pStyle w:val="Titre1"/>
      </w:pPr>
      <w:r>
        <w:t>Le transport membranaire</w:t>
      </w:r>
    </w:p>
    <w:p>
      <w:r>
        <w:t>Lorsque des molécules sont mises en solution, elles vont spontanément vers un état d’équilibre qui tend à diminuer le :</w:t>
      </w:r>
    </w:p>
    <w:tbl>
      <w:tblPr>
        <w:tblStyle w:val="Grilledetableauclaire"/>
        <w:tblW w:w="0" w:type="auto"/>
        <w:tblLook w:val="0400" w:firstRow="0" w:lastRow="0" w:firstColumn="0" w:lastColumn="0" w:noHBand="0" w:noVBand="1"/>
      </w:tblPr>
      <w:tblGrid>
        <w:gridCol w:w="3964"/>
        <w:gridCol w:w="3371"/>
      </w:tblGrid>
      <w:tr>
        <w:tc>
          <w:tcPr>
            <w:tcW w:w="3964" w:type="dxa"/>
          </w:tcPr>
          <w:p>
            <w:r>
              <w:t>Gradient de concentration.</w:t>
            </w:r>
          </w:p>
        </w:tc>
        <w:tc>
          <w:tcPr>
            <w:tcW w:w="3371" w:type="dxa"/>
          </w:tcPr>
          <w:p>
            <w:r>
              <w:t>Du gradient chimique</w:t>
            </w:r>
          </w:p>
        </w:tc>
      </w:tr>
    </w:tbl>
    <w:p>
      <w:pPr>
        <w:rPr>
          <w:rStyle w:val="Accentuation"/>
          <w:iCs w:val="0"/>
          <w:color w:val="auto"/>
        </w:rPr>
      </w:pPr>
      <w:r>
        <w:rPr>
          <w:rStyle w:val="Accentuation"/>
          <w:iCs w:val="0"/>
          <w:color w:val="auto"/>
          <w:u w:val="single"/>
        </w:rPr>
        <w:t>Rmq :</w:t>
      </w:r>
      <w:r>
        <w:rPr>
          <w:rStyle w:val="Accentuation"/>
          <w:iCs w:val="0"/>
          <w:color w:val="auto"/>
        </w:rPr>
        <w:t xml:space="preserve"> le système va naturellement tendre vers l’état qui maximise le chaos (l’entropie).</w:t>
      </w:r>
    </w:p>
    <w:p>
      <w:r>
        <w:rPr>
          <w:rStyle w:val="Accentuation"/>
        </w:rPr>
        <w:t>Gradient</w:t>
      </w:r>
      <w:r>
        <w:t xml:space="preserve"> variabilité. Ainsi, la diminution du gradient correspond à la disparition des différences spatiales et homogénéisation.</w:t>
      </w:r>
    </w:p>
    <w:p>
      <w:r>
        <w:t>La membrane plasmique constitue une barrière entre deux milieux aqueux qui peut constituer un obstacle à</w:t>
      </w:r>
    </w:p>
    <w:tbl>
      <w:tblPr>
        <w:tblStyle w:val="Grilledetableauclaire"/>
        <w:tblW w:w="0" w:type="auto"/>
        <w:tblLook w:val="0400" w:firstRow="0" w:lastRow="0" w:firstColumn="0" w:lastColumn="0" w:noHBand="0" w:noVBand="1"/>
      </w:tblPr>
      <w:tblGrid>
        <w:gridCol w:w="3667"/>
        <w:gridCol w:w="3668"/>
      </w:tblGrid>
      <w:tr>
        <w:tc>
          <w:tcPr>
            <w:tcW w:w="3667" w:type="dxa"/>
          </w:tcPr>
          <w:p>
            <w:r>
              <w:t>L’entrée de molécules dont la cellule a besoin pour fonctionner.</w:t>
            </w:r>
          </w:p>
        </w:tc>
        <w:tc>
          <w:tcPr>
            <w:tcW w:w="3668" w:type="dxa"/>
          </w:tcPr>
          <w:p>
            <w:r>
              <w:t>La sortie de certaines molécules toxiques.</w:t>
            </w:r>
          </w:p>
        </w:tc>
      </w:tr>
    </w:tbl>
    <w:p>
      <w:r>
        <w:t>Elle dépend du type de molécules c’est-à-dire de :</w:t>
      </w:r>
    </w:p>
    <w:tbl>
      <w:tblPr>
        <w:tblStyle w:val="Grilledetableauclaire"/>
        <w:tblW w:w="0" w:type="auto"/>
        <w:tblLook w:val="0400" w:firstRow="0" w:lastRow="0" w:firstColumn="0" w:lastColumn="0" w:noHBand="0" w:noVBand="1"/>
      </w:tblPr>
      <w:tblGrid>
        <w:gridCol w:w="1833"/>
        <w:gridCol w:w="997"/>
        <w:gridCol w:w="1276"/>
        <w:gridCol w:w="3229"/>
      </w:tblGrid>
      <w:tr>
        <w:tc>
          <w:tcPr>
            <w:tcW w:w="1833" w:type="dxa"/>
          </w:tcPr>
          <w:p>
            <w:r>
              <w:t>Hydrophobicité</w:t>
            </w:r>
          </w:p>
        </w:tc>
        <w:tc>
          <w:tcPr>
            <w:tcW w:w="997" w:type="dxa"/>
          </w:tcPr>
          <w:p>
            <w:r>
              <w:t>Taille</w:t>
            </w:r>
          </w:p>
        </w:tc>
        <w:tc>
          <w:tcPr>
            <w:tcW w:w="1276" w:type="dxa"/>
          </w:tcPr>
          <w:p>
            <w:r>
              <w:t>Charge</w:t>
            </w:r>
          </w:p>
        </w:tc>
        <w:tc>
          <w:tcPr>
            <w:tcW w:w="3229" w:type="dxa"/>
          </w:tcPr>
          <w:p>
            <w:r>
              <w:t>Différence de concentration</w:t>
            </w:r>
          </w:p>
        </w:tc>
      </w:tr>
    </w:tbl>
    <w:p/>
    <w:p>
      <w:r>
        <w:t>Ainsi, en fonction de leur types les molécules circulent soit par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Diffusion simple</w:t>
            </w:r>
          </w:p>
        </w:tc>
        <w:tc>
          <w:tcPr>
            <w:tcW w:w="2445" w:type="dxa"/>
          </w:tcPr>
          <w:p>
            <w:r>
              <w:t>Diffusion facilitée</w:t>
            </w:r>
          </w:p>
        </w:tc>
        <w:tc>
          <w:tcPr>
            <w:tcW w:w="2445" w:type="dxa"/>
          </w:tcPr>
          <w:p>
            <w:r>
              <w:t>Transport actif</w:t>
            </w:r>
          </w:p>
        </w:tc>
      </w:tr>
    </w:tbl>
    <w:p>
      <w:r>
        <w:rPr>
          <w:u w:val="single"/>
        </w:rPr>
        <w:t>Rmq :</w:t>
      </w:r>
      <w:r>
        <w:t xml:space="preserve"> Ce sont des protéines membranaires qui assurent la diffusion facilitée et le transport actif.</w:t>
      </w:r>
    </w:p>
    <w:p>
      <w:pPr>
        <w:pStyle w:val="Titre2"/>
      </w:pPr>
      <w:r>
        <w:t>L’entropie en solution</w:t>
      </w:r>
    </w:p>
    <w:p>
      <w:pPr>
        <w:pStyle w:val="Titre3"/>
      </w:pPr>
      <w:r>
        <w:t>La diffusion</w:t>
      </w:r>
    </w:p>
    <w:p>
      <w:r>
        <w:t>Dans une solution, chaque molécule se déplace de manière indépendante. À chaque fois, qu’elle percute une autre molécule, le choc modifie sa trajectoire.</w:t>
      </w:r>
    </w:p>
    <w:p>
      <w:r>
        <w:t>Lorsque l’on regarde ce phénomène à plus grande échelle c’est-à-dire au niveau d’un groupe de molécules, les mouvements désordonnés suivent une direction globale qui tend à répartir les molécules d’une même espèce uniformément dans l’espace et ce indépendamment des autres composés.</w:t>
      </w:r>
    </w:p>
    <w:p>
      <w:r>
        <w:rPr>
          <w:rStyle w:val="Accentuation"/>
        </w:rPr>
        <w:t>Gradient</w:t>
      </w:r>
      <w:r>
        <w:t xml:space="preserve"> différence entre deux milieux.</w:t>
      </w:r>
    </w:p>
    <w:p>
      <w:r>
        <w:t xml:space="preserve">Ainsi, si on a deux compartiements avec des concentrations différentes et comme toutes les molécules ont la même probabilité de quitter leur compartiment, celles du compartement le plus concentrés seront plus nombreuses à sortir.  </w:t>
      </w:r>
    </w:p>
    <w:p>
      <w:pPr>
        <w:pStyle w:val="Titre3"/>
      </w:pPr>
      <w:r>
        <w:t>Le gradient électrochimique</w:t>
      </w:r>
    </w:p>
    <w:p>
      <w:r>
        <w:t>Le gradient chimique est la différence du potentiel électrochimique entre deux milieux.</w:t>
      </w:r>
    </w:p>
    <w:tbl>
      <w:tblPr>
        <w:tblStyle w:val="Grilledetableauclaire"/>
        <w:tblW w:w="0" w:type="auto"/>
        <w:tblLook w:val="0400" w:firstRow="0" w:lastRow="0" w:firstColumn="0" w:lastColumn="0" w:noHBand="0" w:noVBand="1"/>
      </w:tblPr>
      <w:tblGrid>
        <w:gridCol w:w="2972"/>
        <w:gridCol w:w="4363"/>
      </w:tblGrid>
      <w:tr>
        <w:tc>
          <w:tcPr>
            <w:tcW w:w="2972" w:type="dxa"/>
          </w:tcPr>
          <w:p>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eastAsiaTheme="minorEastAsia" w:hAnsi="Cambria Math"/>
                  </w:rPr>
                  <m:t>+R.T.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hAnsi="Cambria Math"/>
                          </w:rPr>
                          <m:t>S</m:t>
                        </m:r>
                      </m:e>
                    </m:d>
                  </m:e>
                </m:func>
                <m:r>
                  <w:rPr>
                    <w:rFonts w:ascii="Cambria Math" w:eastAsiaTheme="minorEastAsia" w:hAnsi="Cambria Math"/>
                  </w:rPr>
                  <m:t>+z.F.</m:t>
                </m:r>
                <m:r>
                  <w:rPr>
                    <w:rFonts w:ascii="Cambria Math" w:hAnsi="Cambria Math"/>
                  </w:rPr>
                  <m:t>E</m:t>
                </m:r>
              </m:oMath>
            </m:oMathPara>
          </w:p>
        </w:tc>
        <w:tc>
          <w:tcPr>
            <w:tcW w:w="4363" w:type="dxa"/>
          </w:tcPr>
          <w:p>
            <w:pPr>
              <w:rPr>
                <w:rFonts w:eastAsiaTheme="minorEastAsia"/>
              </w:rPr>
            </w:pPr>
            <m:oMath>
              <m:r>
                <w:rPr>
                  <w:rFonts w:ascii="Cambria Math" w:hAnsi="Cambria Math"/>
                </w:rPr>
                <m:t>μ</m:t>
              </m:r>
            </m:oMath>
            <w:r>
              <w:rPr>
                <w:rFonts w:eastAsiaTheme="minorEastAsia"/>
              </w:rPr>
              <w:t xml:space="preserve"> Potentiel électrochimique en  </w:t>
            </w:r>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p>
          <w:p>
            <w:pPr>
              <w:rPr>
                <w:rFonts w:eastAsiaTheme="minorEastAsia"/>
              </w:rPr>
            </w:pPr>
            <m:oMath>
              <m:r>
                <w:rPr>
                  <w:rFonts w:ascii="Cambria Math" w:eastAsiaTheme="minorEastAsia" w:hAnsi="Cambria Math"/>
                </w:rPr>
                <m:t>R.T.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hAnsi="Cambria Math"/>
                        </w:rPr>
                        <m:t>S</m:t>
                      </m:r>
                    </m:e>
                  </m:d>
                </m:e>
              </m:func>
            </m:oMath>
            <w:r>
              <w:rPr>
                <w:rFonts w:eastAsiaTheme="minorEastAsia"/>
              </w:rPr>
              <w:t xml:space="preserve"> gradient chimique :</w:t>
            </w:r>
          </w:p>
          <w:p>
            <w:pPr>
              <w:rPr>
                <w:rFonts w:eastAsiaTheme="minorEastAsia"/>
              </w:rPr>
            </w:pPr>
            <w:r>
              <w:rPr>
                <w:rFonts w:eastAsiaTheme="minorEastAsia"/>
              </w:rPr>
              <w:t xml:space="preserve">température en  </w:t>
            </w:r>
            <m:oMath>
              <m:r>
                <w:rPr>
                  <w:rFonts w:ascii="Cambria Math" w:eastAsiaTheme="minorEastAsia" w:hAnsi="Cambria Math"/>
                </w:rPr>
                <m:t>K=273,15 Celsius</m:t>
              </m:r>
            </m:oMath>
          </w:p>
          <w:p>
            <w:pPr>
              <w:rPr>
                <w:rFonts w:eastAsiaTheme="minorEastAsia"/>
              </w:rPr>
            </w:pPr>
            <w:r>
              <w:rPr>
                <w:rFonts w:eastAsiaTheme="minorEastAsia"/>
              </w:rPr>
              <w:t>R = 8,31 J.mol</w:t>
            </w:r>
            <w:r>
              <w:rPr>
                <w:rFonts w:eastAsiaTheme="minorEastAsia"/>
                <w:vertAlign w:val="superscript"/>
              </w:rPr>
              <w:t>-1</w:t>
            </w:r>
            <w:r>
              <w:rPr>
                <w:rFonts w:eastAsiaTheme="minorEastAsia"/>
              </w:rPr>
              <w:t>.K</w:t>
            </w:r>
            <w:r>
              <w:rPr>
                <w:rFonts w:eastAsiaTheme="minorEastAsia"/>
                <w:vertAlign w:val="superscript"/>
              </w:rPr>
              <w:t>-1</w:t>
            </w:r>
          </w:p>
          <w:p>
            <w:pPr>
              <w:rPr>
                <w:rFonts w:eastAsiaTheme="minorEastAsia"/>
              </w:rPr>
            </w:pPr>
            <m:oMath>
              <m:r>
                <w:rPr>
                  <w:rFonts w:ascii="Cambria Math" w:eastAsiaTheme="minorEastAsia" w:hAnsi="Cambria Math"/>
                </w:rPr>
                <w:lastRenderedPageBreak/>
                <m:t>z.F.</m:t>
              </m:r>
              <m:r>
                <w:rPr>
                  <w:rFonts w:ascii="Cambria Math" w:hAnsi="Cambria Math"/>
                </w:rPr>
                <m:t>E</m:t>
              </m:r>
            </m:oMath>
            <w:r>
              <w:rPr>
                <w:rFonts w:eastAsiaTheme="minorEastAsia"/>
              </w:rPr>
              <w:t xml:space="preserve"> gradient électrique, il vaut 0 pour les molécules neutres.</w:t>
            </w:r>
          </w:p>
          <w:p>
            <w:pPr>
              <w:rPr>
                <w:rFonts w:eastAsiaTheme="minorEastAsia"/>
              </w:rPr>
            </w:pPr>
            <w:r>
              <w:rPr>
                <w:rFonts w:eastAsiaTheme="minorEastAsia"/>
              </w:rPr>
              <w:t xml:space="preserve">Avec :  </w:t>
            </w:r>
            <m:oMath>
              <m:r>
                <w:rPr>
                  <w:rFonts w:ascii="Cambria Math" w:eastAsiaTheme="minorEastAsia" w:hAnsi="Cambria Math"/>
                </w:rPr>
                <m:t>F</m:t>
              </m:r>
            </m:oMath>
            <w:r>
              <w:rPr>
                <w:rFonts w:eastAsiaTheme="minorEastAsia"/>
              </w:rPr>
              <w:t xml:space="preserve"> cste de Farraday (96 500 c.mol</w:t>
            </w:r>
            <w:r>
              <w:rPr>
                <w:rFonts w:eastAsiaTheme="minorEastAsia"/>
                <w:vertAlign w:val="superscript"/>
              </w:rPr>
              <w:t>-1</w:t>
            </w:r>
            <w:r>
              <w:rPr>
                <w:rFonts w:eastAsiaTheme="minorEastAsia"/>
              </w:rPr>
              <w:t>)</w:t>
            </w:r>
          </w:p>
          <w:p>
            <w:pPr>
              <w:rPr>
                <w:rFonts w:eastAsiaTheme="minorEastAsia"/>
              </w:rPr>
            </w:pPr>
            <m:oMath>
              <m:r>
                <w:rPr>
                  <w:rFonts w:ascii="Cambria Math" w:eastAsiaTheme="minorEastAsia" w:hAnsi="Cambria Math"/>
                </w:rPr>
                <m:t>z</m:t>
              </m:r>
            </m:oMath>
            <w:r>
              <w:rPr>
                <w:rFonts w:eastAsiaTheme="minorEastAsia"/>
              </w:rPr>
              <w:t xml:space="preserve"> charge de la molécule </w:t>
            </w:r>
          </w:p>
          <w:p>
            <w:pPr>
              <w:rPr>
                <w:rFonts w:eastAsiaTheme="minorEastAsia"/>
              </w:rPr>
            </w:pPr>
            <w:r>
              <w:rPr>
                <w:rFonts w:eastAsiaTheme="minorEastAsia"/>
              </w:rPr>
              <w:t>E potentiel électrique (V)</w:t>
            </w:r>
          </w:p>
        </w:tc>
      </w:tr>
    </w:tbl>
    <w:p>
      <w:pPr>
        <w:rPr>
          <w:rFonts w:eastAsiaTheme="minorEastAsia"/>
        </w:rPr>
      </w:pPr>
      <w:r>
        <w:rPr>
          <w:rFonts w:eastAsiaTheme="minorEastAsia"/>
        </w:rPr>
        <w:lastRenderedPageBreak/>
        <w:t>E le potentiel est électrique correspond à la charge totale par l’espace c’est-à-dire l’énergie unitaire d’un point de l’espace.</w:t>
      </w:r>
    </w:p>
    <w:p>
      <w:pPr>
        <w:rPr>
          <w:rFonts w:eastAsiaTheme="minorEastAsia"/>
        </w:rPr>
      </w:pPr>
      <w:r>
        <w:rPr>
          <w:rFonts w:eastAsiaTheme="minorEastAsia"/>
        </w:rPr>
        <w:t>Le potentiel correspond à une quantité d’énergie accumulée à disposition.  L’univers étant soumis au principe de l’entropie c’est-à-dire à la dispersion de l’énergie, l’énergie se dispera du compartiement avec le potentiel plus élevé vers le moins ce qui se traduit par une sortie de molécules.</w:t>
      </w:r>
    </w:p>
    <w:p>
      <w:pPr>
        <w:rPr>
          <w:rFonts w:eastAsiaTheme="minorEastAsia"/>
        </w:rPr>
      </w:pPr>
      <w:r>
        <w:rPr>
          <w:rFonts w:eastAsiaTheme="minorEastAsia"/>
        </w:rPr>
        <w:t xml:space="preserve">Force électromotrcie noté FEM : </w:t>
      </w:r>
    </w:p>
    <w:p>
      <w:pPr>
        <w:ind w:firstLine="708"/>
        <w:rPr>
          <w:rFonts w:eastAsiaTheme="minorEastAsia"/>
        </w:rPr>
      </w:pPr>
      <m:oMath>
        <m:r>
          <w:rPr>
            <w:rFonts w:ascii="Cambria Math" w:hAnsi="Cambria Math"/>
          </w:rPr>
          <m:t>FEM=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ion</m:t>
            </m:r>
          </m:sub>
        </m:sSub>
        <m:r>
          <w:rPr>
            <w:rFonts w:ascii="Cambria Math" w:eastAsiaTheme="minorEastAsia" w:hAnsi="Cambria Math"/>
          </w:rPr>
          <m:t>=</m:t>
        </m:r>
        <m:r>
          <w:rPr>
            <w:rFonts w:ascii="Cambria Math" w:hAnsi="Cambria Math"/>
          </w:rPr>
          <m:t>∆μ/ZF</m:t>
        </m:r>
      </m:oMath>
      <w:r>
        <w:rPr>
          <w:rFonts w:eastAsiaTheme="minorEastAsia"/>
        </w:rPr>
        <w:t xml:space="preserve"> en mV</w:t>
      </w:r>
    </w:p>
    <w:p>
      <m:oMathPara>
        <m:oMath>
          <m:r>
            <w:rPr>
              <w:rFonts w:ascii="Cambria Math" w:hAnsi="Cambria Math"/>
            </w:rPr>
            <m:t>∆μ e J/mV</m:t>
          </m:r>
        </m:oMath>
      </m:oMathPara>
    </w:p>
    <w:p>
      <w:pPr>
        <w:rPr>
          <w:rFonts w:eastAsiaTheme="minorEastAsia"/>
        </w:rPr>
      </w:pPr>
      <w:r>
        <w:rPr>
          <w:rFonts w:eastAsiaTheme="minorEastAsia"/>
          <w:u w:val="single"/>
        </w:rPr>
        <w:t>Rmq :</w:t>
      </w:r>
      <w:r>
        <w:rPr>
          <w:rFonts w:eastAsiaTheme="minorEastAsia"/>
        </w:rPr>
        <w:t xml:space="preserve"> pour connaître le flux, on pose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eastAsiaTheme="minorEastAsia"/>
        </w:rPr>
        <w:t>.</w:t>
      </w:r>
    </w:p>
    <w:p>
      <w:r>
        <w:t>Loi de Fick : vitesse de diffusion à travers une membrane.</w:t>
      </w:r>
    </w:p>
    <w:tbl>
      <w:tblPr>
        <w:tblStyle w:val="Grilledetableauclaire"/>
        <w:tblW w:w="0" w:type="auto"/>
        <w:tblLook w:val="0400" w:firstRow="0" w:lastRow="0" w:firstColumn="0" w:lastColumn="0" w:noHBand="0" w:noVBand="1"/>
      </w:tblPr>
      <w:tblGrid>
        <w:gridCol w:w="3667"/>
        <w:gridCol w:w="3668"/>
      </w:tblGrid>
      <w:tr>
        <w:tc>
          <w:tcPr>
            <w:tcW w:w="3667" w:type="dxa"/>
          </w:tcPr>
          <w:p>
            <w:pPr>
              <w:pStyle w:val="Titre2"/>
              <w:outlineLvl w:val="1"/>
            </w:pPr>
            <m:oMathPara>
              <m:oMath>
                <m:r>
                  <m:rPr>
                    <m:sty m:val="bi"/>
                  </m:rPr>
                  <w:rPr>
                    <w:rFonts w:ascii="Cambria Math" w:hAnsi="Cambria Math"/>
                  </w:rPr>
                  <m:t>J=-D×S×</m:t>
                </m:r>
                <m:f>
                  <m:fPr>
                    <m:ctrlPr>
                      <w:rPr>
                        <w:rFonts w:ascii="Cambria Math" w:hAnsi="Cambria Math"/>
                        <w:b w:val="0"/>
                        <w:i/>
                      </w:rPr>
                    </m:ctrlPr>
                  </m:fPr>
                  <m:num>
                    <m:r>
                      <m:rPr>
                        <m:sty m:val="bi"/>
                      </m:rPr>
                      <w:rPr>
                        <w:rFonts w:ascii="Cambria Math" w:hAnsi="Cambria Math"/>
                      </w:rPr>
                      <m:t>∆C</m:t>
                    </m:r>
                  </m:num>
                  <m:den>
                    <m:r>
                      <m:rPr>
                        <m:sty m:val="bi"/>
                      </m:rPr>
                      <w:rPr>
                        <w:rFonts w:ascii="Cambria Math" w:hAnsi="Cambria Math"/>
                      </w:rPr>
                      <m:t>L</m:t>
                    </m:r>
                  </m:den>
                </m:f>
              </m:oMath>
            </m:oMathPara>
          </w:p>
        </w:tc>
        <w:tc>
          <w:tcPr>
            <w:tcW w:w="3668" w:type="dxa"/>
          </w:tcPr>
          <w:p>
            <w:pPr>
              <w:rPr>
                <w:vertAlign w:val="superscript"/>
              </w:rPr>
            </w:pPr>
            <m:oMath>
              <m:r>
                <w:rPr>
                  <w:rFonts w:ascii="Cambria Math" w:hAnsi="Cambria Math"/>
                </w:rPr>
                <m:t>J</m:t>
              </m:r>
            </m:oMath>
            <w:r>
              <w:t xml:space="preserve"> vitesse du flux en mole.s</w:t>
            </w:r>
            <w:r>
              <w:rPr>
                <w:vertAlign w:val="superscript"/>
              </w:rPr>
              <w:t>-1</w:t>
            </w:r>
          </w:p>
          <w:p>
            <w:pPr>
              <w:rPr>
                <w:rFonts w:eastAsiaTheme="minorEastAsia"/>
              </w:rPr>
            </w:pPr>
            <m:oMath>
              <m:r>
                <w:rPr>
                  <w:rFonts w:ascii="Cambria Math" w:hAnsi="Cambria Math"/>
                </w:rPr>
                <m:t>D</m:t>
              </m:r>
            </m:oMath>
            <w:r>
              <w:rPr>
                <w:rFonts w:eastAsiaTheme="minorEastAsia"/>
              </w:rPr>
              <w:t xml:space="preserve"> coeff de diffusion</w:t>
            </w:r>
          </w:p>
          <w:p>
            <w:pPr>
              <w:rPr>
                <w:rFonts w:eastAsiaTheme="minorEastAsia"/>
              </w:rPr>
            </w:pPr>
            <m:oMath>
              <m:r>
                <w:rPr>
                  <w:rFonts w:ascii="Cambria Math" w:eastAsiaTheme="minorEastAsia" w:hAnsi="Cambria Math"/>
                </w:rPr>
                <m:t>S</m:t>
              </m:r>
            </m:oMath>
            <w:r>
              <w:rPr>
                <w:rFonts w:eastAsiaTheme="minorEastAsia"/>
              </w:rPr>
              <w:t xml:space="preserve"> surface de diffusion en m</w:t>
            </w:r>
            <w:r>
              <w:rPr>
                <w:rFonts w:eastAsiaTheme="minorEastAsia"/>
                <w:vertAlign w:val="superscript"/>
              </w:rPr>
              <w:t>2</w:t>
            </w:r>
          </w:p>
          <w:p>
            <m:oMath>
              <m:r>
                <w:rPr>
                  <w:rFonts w:ascii="Cambria Math" w:hAnsi="Cambria Math"/>
                </w:rPr>
                <m:t>∆C</m:t>
              </m:r>
            </m:oMath>
            <w:r>
              <w:t xml:space="preserve"> différence de concentration moles.m</w:t>
            </w:r>
            <w:r>
              <w:rPr>
                <w:vertAlign w:val="superscript"/>
              </w:rPr>
              <w:t>-3</w:t>
            </w:r>
          </w:p>
          <w:p>
            <w:pPr>
              <w:rPr>
                <w:rFonts w:eastAsiaTheme="minorEastAsia"/>
              </w:rPr>
            </w:pPr>
            <m:oMath>
              <m:r>
                <w:rPr>
                  <w:rFonts w:ascii="Cambria Math" w:hAnsi="Cambria Math"/>
                </w:rPr>
                <m:t>L</m:t>
              </m:r>
            </m:oMath>
            <w:r>
              <w:rPr>
                <w:rFonts w:eastAsiaTheme="minorEastAsia"/>
              </w:rPr>
              <w:t xml:space="preserve"> epaisseur de la membrane m</w:t>
            </w:r>
          </w:p>
        </w:tc>
      </w:tr>
    </w:tbl>
    <w:p>
      <w:pPr>
        <w:pStyle w:val="Titre2"/>
      </w:pPr>
      <w:r>
        <w:t>Les transports membranaires</w:t>
      </w:r>
    </w:p>
    <w:p>
      <w:r>
        <w:t>Pour pouvoir réaliser les activités métaboliques et éliminer ses déchets, la cellule à besoin d’échanger des molécules avec son environnement. Certaines diffusent facilement à travers la membrane mais pour d’autre, elle forme une barrière</w:t>
      </w:r>
    </w:p>
    <w:p>
      <w:pPr>
        <w:pStyle w:val="Paragraphedeliste"/>
        <w:numPr>
          <w:ilvl w:val="0"/>
          <w:numId w:val="34"/>
        </w:numPr>
      </w:pPr>
      <w:r>
        <w:t>Infranchissable c’est notamment le cas pour les molécules trop volumineuses.</w:t>
      </w:r>
    </w:p>
    <w:p>
      <w:pPr>
        <w:pStyle w:val="Paragraphedeliste"/>
        <w:numPr>
          <w:ilvl w:val="0"/>
          <w:numId w:val="33"/>
        </w:numPr>
      </w:pPr>
      <w:r>
        <w:t>Suffisamment important pour ne pas permettre aux composés chimiques dont a besoin la cellule de rentrer ou de sortir à une vitesse rapidement.</w:t>
      </w:r>
    </w:p>
    <w:p>
      <w:r>
        <w:t>Cette difficulté a été résolu par l’utilisation de protéines membranaires qui pour traverser la membrane.</w:t>
      </w:r>
    </w:p>
    <w:p>
      <w:r>
        <w:t xml:space="preserve">Ainsi, il existe trois types de transport en fonction du type de molécules : </w:t>
      </w:r>
    </w:p>
    <w:tbl>
      <w:tblPr>
        <w:tblStyle w:val="Grilledetableauclaire"/>
        <w:tblW w:w="0" w:type="auto"/>
        <w:tblLook w:val="0400" w:firstRow="0" w:lastRow="0" w:firstColumn="0" w:lastColumn="0" w:noHBand="0" w:noVBand="1"/>
      </w:tblPr>
      <w:tblGrid>
        <w:gridCol w:w="2192"/>
        <w:gridCol w:w="2555"/>
        <w:gridCol w:w="2588"/>
      </w:tblGrid>
      <w:tr>
        <w:tc>
          <w:tcPr>
            <w:tcW w:w="2192" w:type="dxa"/>
          </w:tcPr>
          <w:p>
            <w:r>
              <w:t>Diffusion simple</w:t>
            </w:r>
          </w:p>
        </w:tc>
        <w:tc>
          <w:tcPr>
            <w:tcW w:w="2555" w:type="dxa"/>
          </w:tcPr>
          <w:p>
            <w:r>
              <w:t>diffusion facilitée</w:t>
            </w:r>
          </w:p>
        </w:tc>
        <w:tc>
          <w:tcPr>
            <w:tcW w:w="2588" w:type="dxa"/>
          </w:tcPr>
          <w:p>
            <w:r>
              <w:t>Le transport actif</w:t>
            </w:r>
          </w:p>
        </w:tc>
      </w:tr>
    </w:tbl>
    <w:p>
      <w:r>
        <w:rPr>
          <w:u w:val="single"/>
        </w:rPr>
        <w:t>Rmq :</w:t>
      </w:r>
      <w:r>
        <w:t xml:space="preserve"> la différence entre la diffusion facilité et le transport actif réside dans le fait que le transport actif requière de l’énergie sous forme d’atp pour fonctionner.</w:t>
      </w:r>
    </w:p>
    <w:p>
      <w:pPr>
        <w:pStyle w:val="Titre3"/>
      </w:pPr>
      <w:r>
        <w:t>Diffusion simple</w:t>
      </w:r>
    </w:p>
    <w:p>
      <w:pPr>
        <w:rPr>
          <w:u w:val="single"/>
        </w:rPr>
      </w:pPr>
      <w:r>
        <w:t>La diffusion simple de la bicouche lipidique est permise à certaines molécules comme les gaz CO</w:t>
      </w:r>
      <w:r>
        <w:rPr>
          <w:vertAlign w:val="subscript"/>
        </w:rPr>
        <w:t>2</w:t>
      </w:r>
      <w:r>
        <w:t>, N</w:t>
      </w:r>
      <w:r>
        <w:rPr>
          <w:vertAlign w:val="subscript"/>
        </w:rPr>
        <w:t>2</w:t>
      </w:r>
      <w:r>
        <w:t>, O</w:t>
      </w:r>
      <w:r>
        <w:rPr>
          <w:vertAlign w:val="subscript"/>
        </w:rPr>
        <w:t>2</w:t>
      </w:r>
      <w:r>
        <w:t xml:space="preserve"> ou les petites molécules (éthanol, urée).</w:t>
      </w:r>
      <w:r>
        <w:rPr>
          <w:u w:val="single"/>
        </w:rPr>
        <w:t xml:space="preserve"> </w:t>
      </w:r>
    </w:p>
    <w:p>
      <w:pPr>
        <w:pStyle w:val="Titre3"/>
      </w:pPr>
      <w:r>
        <w:t>Diffusion facilitée</w:t>
      </w:r>
    </w:p>
    <w:p>
      <w:r>
        <w:t>La diffusion facilitée est le moyen de transport des molécules pour qui la membrane plasmique ne permet pas une diffusion suffisamment rapide comme pour le glucose.</w:t>
      </w:r>
    </w:p>
    <w:p>
      <w:r>
        <w:t>Il existe trois types de protéines en fonction du nombre de molécule qu’elle échange :</w:t>
      </w:r>
    </w:p>
    <w:tbl>
      <w:tblPr>
        <w:tblStyle w:val="Grilledetableauclaire"/>
        <w:tblW w:w="0" w:type="auto"/>
        <w:tblLook w:val="0400" w:firstRow="0" w:lastRow="0" w:firstColumn="0" w:lastColumn="0" w:noHBand="0" w:noVBand="1"/>
      </w:tblPr>
      <w:tblGrid>
        <w:gridCol w:w="2522"/>
        <w:gridCol w:w="2398"/>
        <w:gridCol w:w="2415"/>
      </w:tblGrid>
      <w:tr>
        <w:tc>
          <w:tcPr>
            <w:tcW w:w="2445" w:type="dxa"/>
          </w:tcPr>
          <w:p>
            <w:r>
              <w:t>Uniport</w:t>
            </w:r>
          </w:p>
        </w:tc>
        <w:tc>
          <w:tcPr>
            <w:tcW w:w="2445" w:type="dxa"/>
          </w:tcPr>
          <w:p>
            <w:r>
              <w:t>Symport</w:t>
            </w:r>
          </w:p>
        </w:tc>
        <w:tc>
          <w:tcPr>
            <w:tcW w:w="2445" w:type="dxa"/>
          </w:tcPr>
          <w:p>
            <w:r>
              <w:t>Antiport</w:t>
            </w:r>
          </w:p>
        </w:tc>
      </w:tr>
      <w:tr>
        <w:tc>
          <w:tcPr>
            <w:tcW w:w="2445" w:type="dxa"/>
          </w:tcPr>
          <w:p>
            <w:r>
              <w:rPr>
                <w:b/>
                <w:noProof/>
              </w:rPr>
              <w:drawing>
                <wp:inline distT="0" distB="0" distL="0" distR="0">
                  <wp:extent cx="1595438" cy="63817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445" cy="639378"/>
                          </a:xfrm>
                          <a:prstGeom prst="rect">
                            <a:avLst/>
                          </a:prstGeom>
                          <a:noFill/>
                          <a:ln>
                            <a:noFill/>
                          </a:ln>
                        </pic:spPr>
                      </pic:pic>
                    </a:graphicData>
                  </a:graphic>
                </wp:inline>
              </w:drawing>
            </w:r>
          </w:p>
        </w:tc>
        <w:tc>
          <w:tcPr>
            <w:tcW w:w="2445" w:type="dxa"/>
          </w:tcPr>
          <w:p>
            <w:r>
              <w:rPr>
                <w:b/>
                <w:noProof/>
              </w:rPr>
              <w:drawing>
                <wp:inline distT="0" distB="0" distL="0" distR="0">
                  <wp:extent cx="1514475" cy="662307"/>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2145" cy="691900"/>
                          </a:xfrm>
                          <a:prstGeom prst="rect">
                            <a:avLst/>
                          </a:prstGeom>
                          <a:noFill/>
                          <a:ln>
                            <a:noFill/>
                          </a:ln>
                        </pic:spPr>
                      </pic:pic>
                    </a:graphicData>
                  </a:graphic>
                </wp:inline>
              </w:drawing>
            </w:r>
          </w:p>
        </w:tc>
        <w:tc>
          <w:tcPr>
            <w:tcW w:w="2445" w:type="dxa"/>
          </w:tcPr>
          <w:p>
            <w:r>
              <w:rPr>
                <w:b/>
                <w:noProof/>
              </w:rPr>
              <w:drawing>
                <wp:inline distT="0" distB="0" distL="0" distR="0">
                  <wp:extent cx="1526721" cy="647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5260" cy="651323"/>
                          </a:xfrm>
                          <a:prstGeom prst="rect">
                            <a:avLst/>
                          </a:prstGeom>
                          <a:noFill/>
                          <a:ln>
                            <a:noFill/>
                          </a:ln>
                        </pic:spPr>
                      </pic:pic>
                    </a:graphicData>
                  </a:graphic>
                </wp:inline>
              </w:drawing>
            </w:r>
          </w:p>
        </w:tc>
      </w:tr>
    </w:tbl>
    <w:p>
      <w:r>
        <w:t>Exemple de protéines :</w:t>
      </w:r>
    </w:p>
    <w:p>
      <w:pPr>
        <w:pStyle w:val="Paragraphedeliste"/>
        <w:numPr>
          <w:ilvl w:val="0"/>
          <w:numId w:val="33"/>
        </w:numPr>
      </w:pPr>
      <w:r>
        <w:lastRenderedPageBreak/>
        <w:t>Canaux ioniques</w:t>
      </w:r>
    </w:p>
    <w:p>
      <w:pPr>
        <w:pStyle w:val="Paragraphedeliste"/>
        <w:numPr>
          <w:ilvl w:val="0"/>
          <w:numId w:val="33"/>
        </w:numPr>
      </w:pPr>
      <w:r>
        <w:t>Les aquaporines qui sont des canaux ouverts qui permettent à l’eau de se répartir entre le milieu extra et intra cellulaire suivant l’osmose.</w:t>
      </w:r>
    </w:p>
    <w:p>
      <w:pPr>
        <w:pStyle w:val="Paragraphedeliste"/>
        <w:numPr>
          <w:ilvl w:val="0"/>
          <w:numId w:val="33"/>
        </w:numPr>
      </w:pPr>
      <w:r>
        <w:t>Transporteurs (Glut)</w:t>
      </w:r>
    </w:p>
    <w:p>
      <w:pPr>
        <w:pStyle w:val="Titre3"/>
      </w:pPr>
      <w:r>
        <w:t>Transport actif</w:t>
      </w:r>
    </w:p>
    <w:p>
      <w:r>
        <w:t>Le transport actif doit maintenir des différences de concentration entre le milieu intra et extra. Comme il lutte contre le gradient, il nécessite l’utilisation d’énergie.</w:t>
      </w:r>
    </w:p>
    <w:p>
      <w:r>
        <w:t>Il existe deux catégories de transport en fonction de la source d’énergie utilisée :</w:t>
      </w:r>
    </w:p>
    <w:tbl>
      <w:tblPr>
        <w:tblStyle w:val="Grilledetableauclaire"/>
        <w:tblW w:w="0" w:type="auto"/>
        <w:tblLook w:val="0400" w:firstRow="0" w:lastRow="0" w:firstColumn="0" w:lastColumn="0" w:noHBand="0" w:noVBand="1"/>
      </w:tblPr>
      <w:tblGrid>
        <w:gridCol w:w="3667"/>
        <w:gridCol w:w="3668"/>
      </w:tblGrid>
      <w:tr>
        <w:tc>
          <w:tcPr>
            <w:tcW w:w="3667" w:type="dxa"/>
          </w:tcPr>
          <w:p>
            <w:r>
              <w:t>Transport actif I (énergie de l’ATP)</w:t>
            </w:r>
          </w:p>
        </w:tc>
        <w:tc>
          <w:tcPr>
            <w:tcW w:w="3668" w:type="dxa"/>
          </w:tcPr>
          <w:p>
            <w:r>
              <w:t>Transport actif II (utilisation indirecte de l’ATP par la dissipation du gradient électrochimique)</w:t>
            </w:r>
          </w:p>
        </w:tc>
      </w:tr>
    </w:tbl>
    <w:p>
      <w:r>
        <w:t>Pour les  (symport ou antiport).</w:t>
      </w:r>
    </w:p>
    <w:p>
      <w:r>
        <w:t>Exemples de protéines du transport actif :</w:t>
      </w:r>
    </w:p>
    <w:p>
      <w:pPr>
        <w:pStyle w:val="Paragraphedeliste"/>
        <w:numPr>
          <w:ilvl w:val="0"/>
          <w:numId w:val="33"/>
        </w:numPr>
      </w:pPr>
      <w:r>
        <w:t>Pompes à sodium et potassium (Na</w:t>
      </w:r>
      <w:r>
        <w:rPr>
          <w:vertAlign w:val="superscript"/>
        </w:rPr>
        <w:t>+</w:t>
      </w:r>
      <w:r>
        <w:t>/K</w:t>
      </w:r>
      <w:r>
        <w:rPr>
          <w:vertAlign w:val="superscript"/>
        </w:rPr>
        <w:t>+</w:t>
      </w:r>
      <w:r>
        <w:t>). Elles font sortir 3 Na</w:t>
      </w:r>
      <w:r>
        <w:rPr>
          <w:vertAlign w:val="superscript"/>
        </w:rPr>
        <w:t>+</w:t>
      </w:r>
      <w:r>
        <w:t xml:space="preserve"> et fon rentrer 2 K</w:t>
      </w:r>
      <w:r>
        <w:rPr>
          <w:vertAlign w:val="superscript"/>
        </w:rPr>
        <w:t>+</w:t>
      </w:r>
      <w:r>
        <w:t>. Elles servent notamment à maintenir une différence de gradient de concentration et chimique avec le milieu extracellulaire et consomment 40% de l’ATP total produit par la cellule.</w:t>
      </w:r>
    </w:p>
    <w:p>
      <w:pPr>
        <w:pStyle w:val="Paragraphedeliste"/>
        <w:numPr>
          <w:ilvl w:val="0"/>
          <w:numId w:val="33"/>
        </w:numPr>
      </w:pPr>
      <w:r>
        <w:t>Pompe à protons.</w:t>
      </w:r>
    </w:p>
    <w:p>
      <w:pPr>
        <w:pStyle w:val="Paragraphedeliste"/>
        <w:numPr>
          <w:ilvl w:val="0"/>
          <w:numId w:val="33"/>
        </w:numPr>
      </w:pPr>
      <w:r>
        <w:t>Pompe SERCA (calcium)</w:t>
      </w:r>
    </w:p>
    <w:p>
      <w:pPr>
        <w:pStyle w:val="Titre2"/>
      </w:pPr>
      <w:r>
        <w:t xml:space="preserve">L’asymétrie entre le milieu intra et extracellulaire </w:t>
      </w:r>
    </w:p>
    <w:p>
      <w:r>
        <w:t>La différence de charge entre les deux milieux est à l’origine de :</w:t>
      </w:r>
    </w:p>
    <w:p>
      <w:pPr>
        <w:pStyle w:val="Paragraphedeliste"/>
        <w:numPr>
          <w:ilvl w:val="0"/>
          <w:numId w:val="35"/>
        </w:numPr>
      </w:pPr>
      <w:r>
        <w:t>La contration musculaire</w:t>
      </w:r>
    </w:p>
    <w:p>
      <w:pPr>
        <w:pStyle w:val="Paragraphedeliste"/>
        <w:numPr>
          <w:ilvl w:val="0"/>
          <w:numId w:val="35"/>
        </w:numPr>
      </w:pPr>
      <w:r>
        <w:t>Le courant électrique des neurones</w:t>
      </w:r>
    </w:p>
    <w:p>
      <w:r>
        <w:t xml:space="preserve">La dissymétrie entre les deux milieux est générés par des transporteurs actifs </w:t>
      </w:r>
    </w:p>
    <w:p>
      <w:r>
        <w:t>Par convention le potentiel chimique de la membrane est mesuré :</w:t>
      </w:r>
      <m:oMath>
        <m:sSub>
          <m:sSubPr>
            <m:ctrlPr>
              <w:rPr>
                <w:rFonts w:ascii="Cambria Math" w:hAnsi="Cambria Math"/>
                <w:i/>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ext</m:t>
            </m:r>
          </m:sub>
        </m:sSub>
        <m:r>
          <w:rPr>
            <w:rFonts w:ascii="Cambria Math" w:hAnsi="Cambria Math"/>
          </w:rPr>
          <m:t>=-70mV</m:t>
        </m:r>
      </m:oMath>
    </w:p>
    <w:p/>
    <w:p>
      <w:pPr>
        <w:pStyle w:val="Titre2"/>
        <w:rPr>
          <w:vertAlign w:val="superscript"/>
        </w:rPr>
      </w:pPr>
      <w:r>
        <w:t>Les canaux ioniques</w:t>
      </w:r>
    </w:p>
    <w:p>
      <w:r>
        <w:t>Les canaux ioniques sont des appartenant à la diffusion facilitée. Ils sont par défaut fermés et ne s’ouvre quand réponse à un stimuli de type</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Chimique (fixation d’un ligand, concentration d’une molécule) </w:t>
            </w:r>
          </w:p>
        </w:tc>
        <w:tc>
          <w:tcPr>
            <w:tcW w:w="3668" w:type="dxa"/>
          </w:tcPr>
          <w:p>
            <w:r>
              <w:t>Une modification des paramètres physicochimiques (tension, ph, température)</w:t>
            </w:r>
          </w:p>
        </w:tc>
      </w:tr>
    </w:tbl>
    <w:p>
      <w:r>
        <w:rPr>
          <w:u w:val="single"/>
        </w:rPr>
        <w:t>Rmq :</w:t>
      </w:r>
      <w:r>
        <w:t xml:space="preserve"> La capasaine qui est la molécule active du piment augmente la sensibilité à la chaleur. Elle diminue le seuil d’activiation des récepteurs qui ouvrent des canaux ioniques impliqués  dans la transmission de messages nerveux.</w:t>
      </w:r>
    </w:p>
    <w:p>
      <w:r>
        <w:t>Le passage des ions se fait suivant le principe du gradient électrochimique. Le flux qui à lieu est un courant électrique c’est-à-dire de molécules chargées ou de particules. Il est mesuré en Amphère (A).</w:t>
      </w:r>
    </w:p>
    <w:p>
      <w:r>
        <w:t xml:space="preserve"> </w:t>
      </w:r>
      <w:r>
        <w:rPr>
          <w:u w:val="single"/>
        </w:rPr>
        <w:t>NB :</w:t>
      </w:r>
      <w:r>
        <w:t xml:space="preserve"> On considère que les canaux ioniques ne sont pas saturables car ils permettent le passage de 10</w:t>
      </w:r>
      <w:r>
        <w:rPr>
          <w:vertAlign w:val="superscript"/>
        </w:rPr>
        <w:t>6</w:t>
      </w:r>
      <w:r>
        <w:t xml:space="preserve"> ions/s.</w:t>
      </w:r>
    </w:p>
    <w:p>
      <w:r>
        <w:t xml:space="preserve">On note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ion</m:t>
            </m:r>
          </m:sub>
        </m:sSub>
      </m:oMath>
    </w:p>
    <w:p>
      <w:r>
        <w:t xml:space="preserve">Potentiel d’équilibre (noté Ek) c’est lorsque </w:t>
      </w:r>
    </w:p>
    <w:p>
      <w:r>
        <w:t xml:space="preserve">Potentiel de repos noté (Er) comprend l’activité de pompes (transport actif) qui contribuent à  </w:t>
      </w:r>
    </w:p>
    <w:p>
      <w:pPr>
        <w:rPr>
          <w:rFonts w:eastAsiaTheme="minorEastAsia"/>
        </w:rPr>
      </w:pPr>
      <w:r>
        <w:t xml:space="preserve">La résistance des canaux </w:t>
      </w:r>
      <w:r>
        <w:rPr>
          <w:rFonts w:eastAsiaTheme="minorEastAsia"/>
        </w:rPr>
        <w:t xml:space="preserve">dépend de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Theme="minorEastAsia"/>
              </w:rPr>
            </w:pPr>
            <m:oMathPara>
              <m:oMath>
                <m:r>
                  <m:rPr>
                    <m:sty m:val="bi"/>
                  </m:rPr>
                  <w:rPr>
                    <w:rFonts w:ascii="Cambria Math" w:hAnsi="Cambria Math"/>
                  </w:rPr>
                  <w:lastRenderedPageBreak/>
                  <m:t>R=</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n.g.</m:t>
                    </m:r>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0</m:t>
                        </m:r>
                      </m:sub>
                    </m:sSub>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hAnsi="Cambria Math"/>
                </w:rPr>
                <m:t>n</m:t>
              </m:r>
            </m:oMath>
            <w:r>
              <w:rPr>
                <w:rFonts w:eastAsiaTheme="minorEastAsia"/>
              </w:rPr>
              <w:t xml:space="preserve"> nombre de canaux</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hAnsi="Cambria Math"/>
                </w:rPr>
                <m:t>g</m:t>
              </m:r>
            </m:oMath>
            <w:r>
              <w:rPr>
                <w:rFonts w:eastAsiaTheme="minorEastAsia"/>
              </w:rPr>
              <w:t xml:space="preserve"> conductance unitaire d’un canal</w:t>
            </w:r>
          </w:p>
          <w:p>
            <w:pP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i/>
              </w:rPr>
            </w:p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0</m:t>
                  </m:r>
                </m:sub>
              </m:sSub>
            </m:oMath>
            <w:r>
              <w:rPr>
                <w:rFonts w:ascii="Cambria Math" w:eastAsiaTheme="minorEastAsia" w:hAnsi="Cambria Math"/>
                <w:b w:val="0"/>
                <w:i/>
              </w:rPr>
              <w:t xml:space="preserve"> probabilité d’ouverture du canal</w:t>
            </w:r>
          </w:p>
        </w:tc>
      </w:tr>
    </w:tbl>
    <w:p>
      <w:pPr>
        <w:rPr>
          <w:rFonts w:eastAsiaTheme="minorEastAsia"/>
        </w:rPr>
      </w:pPr>
      <w:r>
        <w:rPr>
          <w:rFonts w:eastAsiaTheme="minorEastAsia"/>
        </w:rPr>
        <w:t>La membrane joue le rôle d’un condensateur. Elle maintient la différence de charge.</w:t>
      </w:r>
    </w:p>
    <w:p>
      <w:pPr>
        <w:pStyle w:val="Titre2"/>
        <w:rPr>
          <w:rFonts w:eastAsiaTheme="minorEastAsia"/>
        </w:rPr>
      </w:pPr>
      <w:r>
        <w:rPr>
          <w:rFonts w:eastAsiaTheme="minorEastAsia"/>
        </w:rPr>
        <w:t>La pompe à sodium et potassium ATapse</w:t>
      </w:r>
    </w:p>
    <w:p>
      <w:r>
        <w:t>La pompe à sodium et potassium ATapse</w:t>
      </w:r>
    </w:p>
    <w:p>
      <w:r>
        <w:t>La pompe a calcium</w:t>
      </w:r>
    </w:p>
    <w:p/>
    <w:p>
      <w:r>
        <w:t>Les pompes électroneutres</w:t>
      </w:r>
    </w:p>
    <w:p>
      <w:r>
        <w:t xml:space="preserve">Pompe H+/K+-ATPase sont de type antiport. Elles responsables de l’acidité des liquides gastriques. échange </w:t>
      </w:r>
    </w:p>
    <w:p>
      <w:r>
        <w:br w:type="page"/>
      </w:r>
    </w:p>
    <w:p>
      <w:pPr>
        <w:pStyle w:val="Titre1"/>
      </w:pPr>
      <w:r>
        <w:lastRenderedPageBreak/>
        <w:t>Physiologie neuromusculaire</w:t>
      </w:r>
    </w:p>
    <w:p>
      <w:r>
        <w:t>Le muscle peut se décomposer :</w:t>
      </w:r>
    </w:p>
    <w:p>
      <w:r>
        <w:t>en faisceau</w:t>
      </w:r>
    </w:p>
    <w:p>
      <w:r>
        <w:t>fibres musculaires</w:t>
      </w:r>
    </w:p>
    <w:p>
      <w:r>
        <w:t>myofibrilles</w:t>
      </w:r>
    </w:p>
    <w:p>
      <w:r>
        <w:t>myofilaments.</w:t>
      </w:r>
    </w:p>
    <w:p/>
    <w:p>
      <w:r>
        <w:t>Le faisceau est une unique cellule qui comporte plusieurs noyaux. Elle es t issue de la fusion de plusieurs cellule.</w:t>
      </w:r>
    </w:p>
    <w:p>
      <w:r>
        <w:t>Chaque fibre est une assemblage de myofibrilles de deux types :</w:t>
      </w:r>
    </w:p>
    <w:p>
      <w:r>
        <w:t>Myofilaments minces deux brins d’actines et d’un brin de protéine régulatrive</w:t>
      </w:r>
    </w:p>
    <w:p>
      <w:r>
        <w:t>Myofilament épais filament avec des myosines.</w:t>
      </w:r>
    </w:p>
    <w:p>
      <w:r>
        <w:t xml:space="preserve">Chaque myofribrille est formé de sous unité appelé sarcomère relié les unes aux autres par les lignes Z. </w:t>
      </w:r>
    </w:p>
    <w:p>
      <w:r>
        <w:t>Lignes z relie les filaments minces</w:t>
      </w:r>
    </w:p>
    <w:p>
      <w:r>
        <w:t xml:space="preserve">Lignes M les filaments épais </w:t>
      </w:r>
    </w:p>
    <w:p>
      <w:pPr>
        <w:pStyle w:val="Titre2"/>
      </w:pPr>
      <w:r>
        <w:t>La contraction musculaire</w:t>
      </w:r>
    </w:p>
    <w:p>
      <w:r>
        <w:t>La contraction musculaire se fait par le glissement des myofilaments les uns par rapport aux autres. La longueur du sarcomère se raccoursit.</w:t>
      </w:r>
    </w:p>
    <w:p>
      <w:r>
        <w:t xml:space="preserve">Les molécules d’actine et de myosine </w:t>
      </w:r>
    </w:p>
    <w:p/>
    <w:p>
      <w:r>
        <w:t>De l’ATP transfert un groupement phosphate à la tête de myosine qui adopte alors sa configuration active.</w:t>
      </w:r>
    </w:p>
    <w:p>
      <w:r>
        <w:t>Elle se lie au myofilament mince d’actine.</w:t>
      </w:r>
    </w:p>
    <w:p>
      <w:r>
        <w:t>La myosine revient a sa configuration initale en tirant le filament mince et s’en dissocie.</w:t>
      </w:r>
    </w:p>
    <w:p>
      <w:r>
        <w:t>350 têtes sur un filament de myosine qui sont capables de former 5 ponts par seconde.</w:t>
      </w:r>
    </w:p>
    <w:p>
      <w:r>
        <w:t xml:space="preserve">L’énergie nécessaire au contration </w:t>
      </w:r>
    </w:p>
    <w:p>
      <w:r>
        <w:t>En ATP 6secondes de contraction</w:t>
      </w:r>
    </w:p>
    <w:p>
      <w:r>
        <w:t>Glycogène (1% de la masse musculaire) par la glycolyse et la respiration cellulaire.</w:t>
      </w:r>
    </w:p>
    <w:p>
      <w:r>
        <w:t>phosphocréatine  15 à 30 secondes</w:t>
      </w:r>
    </w:p>
    <w:p/>
    <w:p>
      <w:r>
        <w:t xml:space="preserve">tropmyosine </w:t>
      </w:r>
    </w:p>
    <w:p>
      <w:r>
        <w:t>complexe de troponine</w:t>
      </w:r>
    </w:p>
    <w:p>
      <w:r>
        <w:t>au repos les sites de liaison de la myosine de l’actine sont recouverts par la troponine.</w:t>
      </w:r>
    </w:p>
    <w:p>
      <w:r>
        <w:t>Il deviennent disponible lorsque des CA2+ sont liés au complexe tropomyosine</w:t>
      </w:r>
    </w:p>
    <w:p>
      <w:r>
        <w:t>Les neurones moteurs  la contraction en controlant la libération de CA</w:t>
      </w:r>
    </w:p>
    <w:p>
      <w:r>
        <w:t>Les neurones libèrent de l’acétylcoline. En se fixant aux récepteurs membranaire de la fibre musculaire, elle génère un potentiel d’action qui se propage dans le cytosol par des tubule transverse jusqu’àu  réticulum sarcoplasmique</w:t>
      </w:r>
    </w:p>
    <w:p>
      <w:r>
        <w:lastRenderedPageBreak/>
        <w:t>Réticulum endoplasmique spécialisé dans le stockage des ions CA2+</w:t>
      </w:r>
    </w:p>
    <w:p>
      <w:r>
        <w:t>Elle provoque la libération par des canaux ioniques dans le cytosol (transport facilité).</w:t>
      </w:r>
    </w:p>
    <w:p>
      <w:r>
        <w:t>Fixation Ca2+ sur les filaments fins.</w:t>
      </w:r>
    </w:p>
    <w:p>
      <w:r>
        <w:t>Une fois le potentiel disparu, des pompes à Ca2+ transporte le CA dans le reticulum sarcoplasmique consommation d’ATP (trasnport actif)</w:t>
      </w:r>
    </w:p>
    <w:p/>
    <w:p>
      <w:r>
        <w:t>Variation de l’intensité musculaire</w:t>
      </w:r>
    </w:p>
    <w:p>
      <w:r>
        <w:t>Une fibre musculaire est un contraction de type tout ou rien.</w:t>
      </w:r>
    </w:p>
    <w:p>
      <w:r>
        <w:t xml:space="preserve">L’intensité de la contraction est </w:t>
      </w:r>
    </w:p>
    <w:p>
      <w:r>
        <w:t>Faire varier la fréquence de contrations et le nombre de fibre.</w:t>
      </w:r>
    </w:p>
    <w:p>
      <w:r>
        <w:t xml:space="preserve">Une unité motrice un neurone moteur avec toutes les fibres auquelles il est relié. </w:t>
      </w:r>
    </w:p>
    <w:p>
      <w:r>
        <w:t xml:space="preserve">Si la fréqeunce suffisament rapide pour empecher le relachement des fibres entre chaque salve, les simulations s’additionnent en une seule contraction appelée tétanie. </w:t>
      </w:r>
    </w:p>
    <w:p>
      <w:r>
        <w:t xml:space="preserve">Relachement </w:t>
      </w:r>
    </w:p>
    <w:p>
      <w:r>
        <w:t>C’est le nombre de fibres par unité motrice qui varit e</w:t>
      </w:r>
    </w:p>
    <w:p>
      <w:r>
        <w:t>Notre système</w:t>
      </w:r>
    </w:p>
    <w:p>
      <w:r>
        <w:t xml:space="preserve">En fonction du recrutement, </w:t>
      </w:r>
    </w:p>
    <w:p>
      <w:r>
        <w:t xml:space="preserve">Recrutement </w:t>
      </w:r>
      <w:r>
        <w:tab/>
        <w:t xml:space="preserve">processus de </w:t>
      </w:r>
    </w:p>
    <w:p>
      <w:r>
        <w:t>Jonction neuro-musculaire moteur</w:t>
      </w:r>
    </w:p>
    <w:p>
      <w:r>
        <w:t>L’axone est rattaché à plusieurs cellules musculaires.</w:t>
      </w:r>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Physiologie cellulaire animale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50pt;height:22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EB6BE7"/>
    <w:multiLevelType w:val="hybridMultilevel"/>
    <w:tmpl w:val="92BE1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816799"/>
    <w:multiLevelType w:val="hybridMultilevel"/>
    <w:tmpl w:val="3DC8A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712AFB"/>
    <w:multiLevelType w:val="hybridMultilevel"/>
    <w:tmpl w:val="3F1463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4A902C89"/>
    <w:multiLevelType w:val="hybridMultilevel"/>
    <w:tmpl w:val="60D68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15001C"/>
    <w:multiLevelType w:val="hybridMultilevel"/>
    <w:tmpl w:val="A642D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5C5B5811"/>
    <w:multiLevelType w:val="hybridMultilevel"/>
    <w:tmpl w:val="A0C080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9" w15:restartNumberingAfterBreak="0">
    <w:nsid w:val="70276996"/>
    <w:multiLevelType w:val="hybridMultilevel"/>
    <w:tmpl w:val="D9482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151E68"/>
    <w:multiLevelType w:val="hybridMultilevel"/>
    <w:tmpl w:val="A3382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0"/>
  </w:num>
  <w:num w:numId="4">
    <w:abstractNumId w:val="1"/>
  </w:num>
  <w:num w:numId="5">
    <w:abstractNumId w:val="9"/>
  </w:num>
  <w:num w:numId="6">
    <w:abstractNumId w:val="7"/>
  </w:num>
  <w:num w:numId="7">
    <w:abstractNumId w:val="11"/>
  </w:num>
  <w:num w:numId="8">
    <w:abstractNumId w:val="17"/>
  </w:num>
  <w:num w:numId="9">
    <w:abstractNumId w:val="26"/>
  </w:num>
  <w:num w:numId="10">
    <w:abstractNumId w:val="12"/>
  </w:num>
  <w:num w:numId="11">
    <w:abstractNumId w:val="13"/>
  </w:num>
  <w:num w:numId="12">
    <w:abstractNumId w:val="3"/>
  </w:num>
  <w:num w:numId="13">
    <w:abstractNumId w:val="28"/>
  </w:num>
  <w:num w:numId="14">
    <w:abstractNumId w:val="15"/>
  </w:num>
  <w:num w:numId="15">
    <w:abstractNumId w:val="19"/>
  </w:num>
  <w:num w:numId="16">
    <w:abstractNumId w:val="31"/>
  </w:num>
  <w:num w:numId="17">
    <w:abstractNumId w:val="4"/>
  </w:num>
  <w:num w:numId="18">
    <w:abstractNumId w:val="8"/>
  </w:num>
  <w:num w:numId="19">
    <w:abstractNumId w:val="18"/>
  </w:num>
  <w:num w:numId="20">
    <w:abstractNumId w:val="27"/>
  </w:num>
  <w:num w:numId="21">
    <w:abstractNumId w:val="14"/>
  </w:num>
  <w:num w:numId="22">
    <w:abstractNumId w:val="22"/>
  </w:num>
  <w:num w:numId="23">
    <w:abstractNumId w:val="33"/>
  </w:num>
  <w:num w:numId="24">
    <w:abstractNumId w:val="30"/>
  </w:num>
  <w:num w:numId="25">
    <w:abstractNumId w:val="32"/>
  </w:num>
  <w:num w:numId="26">
    <w:abstractNumId w:val="5"/>
  </w:num>
  <w:num w:numId="27">
    <w:abstractNumId w:val="0"/>
  </w:num>
  <w:num w:numId="28">
    <w:abstractNumId w:val="21"/>
  </w:num>
  <w:num w:numId="29">
    <w:abstractNumId w:val="6"/>
  </w:num>
  <w:num w:numId="30">
    <w:abstractNumId w:val="25"/>
  </w:num>
  <w:num w:numId="31">
    <w:abstractNumId w:val="16"/>
  </w:num>
  <w:num w:numId="32">
    <w:abstractNumId w:val="2"/>
  </w:num>
  <w:num w:numId="33">
    <w:abstractNumId w:val="34"/>
  </w:num>
  <w:num w:numId="34">
    <w:abstractNumId w:val="2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Pages>
  <Words>1911</Words>
  <Characters>10511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44</cp:revision>
  <cp:lastPrinted>2021-02-13T18:38:00Z</cp:lastPrinted>
  <dcterms:created xsi:type="dcterms:W3CDTF">2021-05-17T20:06:00Z</dcterms:created>
  <dcterms:modified xsi:type="dcterms:W3CDTF">2021-09-27T13:18:00Z</dcterms:modified>
</cp:coreProperties>
</file>