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r>
        <w:rPr>
          <w:rStyle w:val="Accentuation"/>
        </w:rPr>
        <w:t>Organites</w:t>
      </w:r>
      <w:r>
        <w:t xml:space="preserve"> compartiments isolés dans le cytosol.</w:t>
      </w:r>
    </w:p>
    <w:p>
      <w:pPr>
        <w:rPr>
          <w:rStyle w:val="Accentuationlgre"/>
        </w:rPr>
      </w:pPr>
      <w:r>
        <w:t>Le cytosol contient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Organites à membrane (5)</w:t>
            </w:r>
          </w:p>
        </w:tc>
        <w:tc>
          <w:tcPr>
            <w:tcW w:w="3668" w:type="dxa"/>
          </w:tcPr>
          <w:p>
            <w:r>
              <w:t>Inclusions (10)</w:t>
            </w:r>
          </w:p>
        </w:tc>
      </w:tr>
      <w:tr>
        <w:tc>
          <w:tcPr>
            <w:tcW w:w="3667" w:type="dxa"/>
          </w:tcPr>
          <w:p>
            <w:r>
              <w:t>Mitochondries</w:t>
            </w:r>
          </w:p>
          <w:p>
            <w:r>
              <w:t>Réticulum endoplasmique</w:t>
            </w:r>
          </w:p>
          <w:p>
            <w:r>
              <w:t>Appareil de Golgi</w:t>
            </w:r>
          </w:p>
          <w:p>
            <w:r>
              <w:t>Lysosomes</w:t>
            </w:r>
          </w:p>
          <w:p>
            <w:r>
              <w:t xml:space="preserve">Peroxysomes </w:t>
            </w:r>
          </w:p>
        </w:tc>
        <w:tc>
          <w:tcPr>
            <w:tcW w:w="3668" w:type="dxa"/>
          </w:tcPr>
          <w:p>
            <w:r>
              <w:t>Gouttelettes lipides</w:t>
            </w:r>
          </w:p>
          <w:p>
            <w:r>
              <w:t>Granules de glycogène</w:t>
            </w:r>
          </w:p>
          <w:p>
            <w:r>
              <w:t>Ribosomes</w:t>
            </w:r>
          </w:p>
          <w:p>
            <w:r>
              <w:t>Particules de Vault</w:t>
            </w:r>
          </w:p>
          <w:p>
            <w:r>
              <w:t>Protéasomes</w:t>
            </w:r>
          </w:p>
          <w:p>
            <w:r>
              <w:t>Cytosquelettes</w:t>
            </w:r>
          </w:p>
          <w:p>
            <w:r>
              <w:t>Centrioles</w:t>
            </w:r>
          </w:p>
          <w:p>
            <w:r>
              <w:t>Centrosome</w:t>
            </w:r>
          </w:p>
          <w:p>
            <w:r>
              <w:t>Cils</w:t>
            </w:r>
          </w:p>
          <w:p>
            <w:r>
              <w:t>Flagelles</w:t>
            </w:r>
          </w:p>
        </w:tc>
      </w:tr>
    </w:tbl>
    <w:p>
      <w:pPr>
        <w:pStyle w:val="Titre3"/>
      </w:pPr>
      <w:r>
        <w:t>La composition du cytosol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>, Mg</w:t>
            </w:r>
            <w:r>
              <w:rPr>
                <w:vertAlign w:val="superscript"/>
              </w:rPr>
              <w:t>2+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1"/>
      </w:pPr>
      <w:r>
        <w:t xml:space="preserve">La membrane plasmique </w:t>
      </w:r>
    </w:p>
    <w:p>
      <w:r>
        <w:t>La membrane plasmique est soutenue par le cytosquelette. Elle permet notamment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l’environnement.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l’extérieur.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cellules.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3"/>
        <w:gridCol w:w="584"/>
        <w:gridCol w:w="2660"/>
        <w:gridCol w:w="2123"/>
        <w:gridCol w:w="1335"/>
      </w:tblGrid>
      <w:tr>
        <w:tc>
          <w:tcPr>
            <w:tcW w:w="633" w:type="dxa"/>
          </w:tcPr>
          <w:p>
            <w:r>
              <w:t>Ions</w:t>
            </w:r>
          </w:p>
        </w:tc>
        <w:tc>
          <w:tcPr>
            <w:tcW w:w="571" w:type="dxa"/>
          </w:tcPr>
          <w:p>
            <w:r>
              <w:t>Eau</w:t>
            </w:r>
          </w:p>
        </w:tc>
        <w:tc>
          <w:tcPr>
            <w:tcW w:w="2667" w:type="dxa"/>
          </w:tcPr>
          <w:p>
            <w:r>
              <w:t>Déchets métaboliques</w:t>
            </w:r>
          </w:p>
        </w:tc>
        <w:tc>
          <w:tcPr>
            <w:tcW w:w="2129" w:type="dxa"/>
          </w:tcPr>
          <w:p>
            <w:r>
              <w:t>Produits de synthèse</w:t>
            </w:r>
          </w:p>
        </w:tc>
        <w:tc>
          <w:tcPr>
            <w:tcW w:w="1335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>
      <w:r>
        <w:t>Récepteurs de messagers chimiques (hormones, neurotransmetteurs) Récepteurs à l’environnement (pH, MEC (matrice extracellulaire), pression, lumière, champs électriques…</w:t>
      </w:r>
    </w:p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pPr>
        <w:pStyle w:val="Titre3"/>
      </w:pPr>
      <w:r>
        <w:t>Les radeaux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cholestérol.</w:t>
      </w:r>
    </w:p>
    <w:p>
      <w:pPr>
        <w:pStyle w:val="Titre3"/>
      </w:pPr>
      <w:r>
        <w:t>Les glucides</w:t>
      </w:r>
    </w:p>
    <w:p>
      <w:r>
        <w:t xml:space="preserve">Les glucides sont soit attaché à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Une protéine (glycoprotéines)</w:t>
            </w:r>
          </w:p>
        </w:tc>
        <w:tc>
          <w:tcPr>
            <w:tcW w:w="3668" w:type="dxa"/>
          </w:tcPr>
          <w:p>
            <w:r>
              <w:t>Un 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lastRenderedPageBreak/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>
            <w:r>
              <w:t>Lipides</w:t>
            </w:r>
          </w:p>
        </w:tc>
        <w:tc>
          <w:tcPr>
            <w:tcW w:w="1098" w:type="dxa"/>
          </w:tcPr>
          <w:p>
            <w:proofErr w:type="spellStart"/>
            <w:r>
              <w:t>Freq</w:t>
            </w:r>
            <w:proofErr w:type="spellEnd"/>
          </w:p>
        </w:tc>
        <w:tc>
          <w:tcPr>
            <w:tcW w:w="4505" w:type="dxa"/>
          </w:tcPr>
          <w:p>
            <w:r>
              <w:t>Structure</w:t>
            </w:r>
          </w:p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1"/>
      </w:pPr>
      <w:r>
        <w:t>Le transport membranaire</w:t>
      </w:r>
    </w:p>
    <w:p>
      <w:r>
        <w:t>Lorsque des molécules sont mises en solution, elles vont spontanément vers un état d’équilibre qui tend à diminuer le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964"/>
        <w:gridCol w:w="3371"/>
      </w:tblGrid>
      <w:tr>
        <w:tc>
          <w:tcPr>
            <w:tcW w:w="3964" w:type="dxa"/>
          </w:tcPr>
          <w:p>
            <w:r>
              <w:t>Gradient de concentration.</w:t>
            </w:r>
          </w:p>
        </w:tc>
        <w:tc>
          <w:tcPr>
            <w:tcW w:w="3371" w:type="dxa"/>
          </w:tcPr>
          <w:p>
            <w:r>
              <w:t>Du gradient chimique</w:t>
            </w:r>
          </w:p>
        </w:tc>
      </w:tr>
    </w:tbl>
    <w:p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système va naturellement tendre vers l’état qui maximise le chaos (l’entropie).</w:t>
      </w:r>
    </w:p>
    <w:p>
      <w:r>
        <w:rPr>
          <w:rStyle w:val="Accentuation"/>
        </w:rPr>
        <w:t>Gradient</w:t>
      </w:r>
      <w:r>
        <w:t xml:space="preserve"> variabilité. Ainsi, la diminution du gradient correspond à la disparition des différences spatiales et homogénéisation.</w:t>
      </w:r>
    </w:p>
    <w:p>
      <w:r>
        <w:t>La membrane plasmique constitue une barrière entre deux milieux aqueux qui peut constituer un obstacle 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L’entrée de molécules dont la cellule a besoin pour fonctionner.</w:t>
            </w:r>
          </w:p>
        </w:tc>
        <w:tc>
          <w:tcPr>
            <w:tcW w:w="3668" w:type="dxa"/>
          </w:tcPr>
          <w:p>
            <w:r>
              <w:t>La sortie de certaines molécules toxiques.</w:t>
            </w:r>
          </w:p>
        </w:tc>
      </w:tr>
    </w:tbl>
    <w:p>
      <w:r>
        <w:t>Elle dépend du type de molécules c’est-à-dire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997"/>
        <w:gridCol w:w="1276"/>
        <w:gridCol w:w="3229"/>
      </w:tblGrid>
      <w:tr>
        <w:tc>
          <w:tcPr>
            <w:tcW w:w="1833" w:type="dxa"/>
          </w:tcPr>
          <w:p>
            <w:r>
              <w:t>Hydrophobicité</w:t>
            </w:r>
          </w:p>
        </w:tc>
        <w:tc>
          <w:tcPr>
            <w:tcW w:w="997" w:type="dxa"/>
          </w:tcPr>
          <w:p>
            <w:r>
              <w:t>Taille</w:t>
            </w:r>
          </w:p>
        </w:tc>
        <w:tc>
          <w:tcPr>
            <w:tcW w:w="1276" w:type="dxa"/>
          </w:tcPr>
          <w:p>
            <w:r>
              <w:t>Charge</w:t>
            </w:r>
          </w:p>
        </w:tc>
        <w:tc>
          <w:tcPr>
            <w:tcW w:w="3229" w:type="dxa"/>
          </w:tcPr>
          <w:p>
            <w:r>
              <w:t>Différence de concentration</w:t>
            </w:r>
          </w:p>
        </w:tc>
      </w:tr>
    </w:tbl>
    <w:p/>
    <w:p>
      <w:r>
        <w:t>Ainsi, en fonction de leur types les molécules circulent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pPr>
        <w:pStyle w:val="Titre2"/>
      </w:pPr>
      <w:r>
        <w:t>L’entropie en solution</w:t>
      </w:r>
    </w:p>
    <w:p>
      <w:pPr>
        <w:pStyle w:val="Titre3"/>
      </w:pPr>
      <w:r>
        <w:t>La diffusion</w:t>
      </w:r>
    </w:p>
    <w:p>
      <w:r>
        <w:t>Dans une solution, chaque molécule se déplace de manière indépendante. À chaque fois, qu’elle percute une autre molécule, le choc modifie sa trajectoire.</w:t>
      </w:r>
    </w:p>
    <w:p>
      <w:r>
        <w:t>Lorsque l’on regarde ce phénomène à plus grande échelle c’est-à-dire au niveau d’un groupe de molécules, les mouvements désordonnés suivent une direction globale qui tend à répartir les molécules d’une même espèce uniformément dans l’espace et ce indépendamment des autres composés.</w:t>
      </w:r>
    </w:p>
    <w:p>
      <w:pPr>
        <w:pStyle w:val="Titre3"/>
      </w:pPr>
      <w:r>
        <w:t>Le gradient chimique</w:t>
      </w:r>
    </w:p>
    <w:p>
      <w:r>
        <w:t xml:space="preserve">Le gradient chimique est la différence du potentiel électrochimique entre le milieu intérieur et extérieur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Potentiel électrochimique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+R.T.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+z.F.</m:t>
        </m:r>
        <m:r>
          <w:rPr>
            <w:rFonts w:ascii="Cambria Math" w:hAnsi="Cambria Math"/>
          </w:rPr>
          <m:t>E</m:t>
        </m:r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J.mol</w:t>
      </w:r>
      <w:r>
        <w:rPr>
          <w:rFonts w:eastAsiaTheme="minorEastAsia"/>
          <w:vertAlign w:val="superscript"/>
        </w:rPr>
        <w:t>-1</w:t>
      </w:r>
    </w:p>
    <w:p>
      <m:oMath>
        <m:r>
          <w:rPr>
            <w:rFonts w:ascii="Cambria Math" w:hAnsi="Cambria Math"/>
          </w:rPr>
          <m:t>z=0</m:t>
        </m:r>
      </m:oMath>
      <w:r>
        <w:t xml:space="preserve"> pour un soluté non chargé</w:t>
      </w:r>
    </w:p>
    <w:p>
      <w:r>
        <w:t>Loi de Fick</w:t>
      </w:r>
    </w:p>
    <w:p>
      <w:pPr>
        <w:pStyle w:val="Titre2"/>
      </w:pPr>
      <w:r>
        <w:t>Les transports membranaires</w:t>
      </w:r>
    </w:p>
    <w:p>
      <w:pPr>
        <w:pStyle w:val="Titre3"/>
      </w:pPr>
      <w:r>
        <w:t>Diffusion simple</w:t>
      </w:r>
    </w:p>
    <w:p>
      <w:r>
        <w:t xml:space="preserve">Osmose </w:t>
      </w:r>
    </w:p>
    <w:p>
      <w:r>
        <w:lastRenderedPageBreak/>
        <w:t>La diffusion simple de la bicouche lipidique est permise à certaines molécules.</w:t>
      </w:r>
    </w:p>
    <w:p>
      <w:r>
        <w:t>Flux selon la 1</w:t>
      </w:r>
      <w:r>
        <w:rPr>
          <w:vertAlign w:val="superscript"/>
        </w:rPr>
        <w:t>ère</w:t>
      </w:r>
      <w:r>
        <w:t xml:space="preserve"> loi de Fick dépend </w:t>
      </w:r>
    </w:p>
    <w:p>
      <w:r>
        <w:t>Les 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petites molécules (éthanol, </w:t>
      </w:r>
      <w:proofErr w:type="spellStart"/>
      <w:r>
        <w:t>urea</w:t>
      </w:r>
      <w:proofErr w:type="spellEnd"/>
      <w:r>
        <w:t>)</w:t>
      </w:r>
    </w:p>
    <w:p>
      <w:r>
        <w:t xml:space="preserve">Loi de Fick : </w:t>
      </w:r>
    </w:p>
    <w:p>
      <w:r>
        <w:t xml:space="preserve">Osmose </w:t>
      </w:r>
    </w:p>
    <w:p>
      <w:pPr>
        <w:pStyle w:val="Titre3"/>
      </w:pPr>
      <w:r>
        <w:t>Diffusion facilitée</w:t>
      </w:r>
    </w:p>
    <w:p>
      <w:r>
        <w:t>La diffusion facilitée est le moyen de transport des molécules qui la membrane plasmique est un obstacle</w:t>
      </w:r>
    </w:p>
    <w:p>
      <w:r>
        <w:t xml:space="preserve">La membrane plasmique </w:t>
      </w:r>
    </w:p>
    <w:p>
      <w:pPr>
        <w:pStyle w:val="Paragraphedeliste"/>
        <w:numPr>
          <w:ilvl w:val="0"/>
          <w:numId w:val="34"/>
        </w:numPr>
      </w:pPr>
      <w:r>
        <w:t>Infranchissable c’est notamment le cas pour les molécules trop volumineuses.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rentrer ou de sortir à une vitesse rapidement.</w:t>
      </w:r>
    </w:p>
    <w:p/>
    <w:p>
      <w:r>
        <w:t>Gradient chimique : protéines porteuses ne forme jamais de canal ouvert. La liaison au substrat provoque un changement de conformation. Le mouvement se fait du milieu vers celui avec un gradient plus...</w:t>
      </w:r>
    </w:p>
    <w:p>
      <w:r>
        <w:t xml:space="preserve">Exemple pour le glucose </w:t>
      </w:r>
    </w:p>
    <w:p>
      <w:r>
        <w:t>Gradient électrochimique canaux ioniques</w:t>
      </w:r>
    </w:p>
    <w:p/>
    <w:p>
      <w:r>
        <w:t>Exemples :</w:t>
      </w:r>
    </w:p>
    <w:p>
      <w:pPr>
        <w:pStyle w:val="Paragraphedeliste"/>
        <w:numPr>
          <w:ilvl w:val="0"/>
          <w:numId w:val="33"/>
        </w:numPr>
      </w:pPr>
      <w:r>
        <w:t>Les aquaporines qui sont des canaux ouverts qui permettent à l’eau de se répartir entre le milieu extra et intra cellulaire suivant l’osmose.</w:t>
      </w:r>
    </w:p>
    <w:p>
      <w:r>
        <w:t>Transporteurs (</w:t>
      </w:r>
      <w:proofErr w:type="spellStart"/>
      <w:r>
        <w:t>Glut</w:t>
      </w:r>
      <w:proofErr w:type="spellEnd"/>
      <w:r>
        <w:t>)</w:t>
      </w:r>
    </w:p>
    <w:p>
      <w:r>
        <w:t>Canaux ioniques Aquaporines</w:t>
      </w:r>
    </w:p>
    <w:p>
      <w:r>
        <w:t xml:space="preserve">Phénomènes passifs </w:t>
      </w:r>
    </w:p>
    <w:p>
      <w:pPr>
        <w:ind w:firstLine="708"/>
      </w:pPr>
      <w:r>
        <w:t xml:space="preserve"> Gradient chimique (∆C) : solutés neutres </w:t>
      </w:r>
    </w:p>
    <w:p>
      <w:pPr>
        <w:ind w:left="708"/>
      </w:pPr>
      <w:r>
        <w:t xml:space="preserve"> Gradient électrochimique : ions </w:t>
      </w:r>
    </w:p>
    <w:p>
      <w:pPr>
        <w:pStyle w:val="Titre3"/>
      </w:pPr>
      <w:r>
        <w:t>Transport actif</w:t>
      </w:r>
    </w:p>
    <w:p>
      <w:r>
        <w:t xml:space="preserve">Lutte contre le gradient de concentration ou/et le gradient chimique </w:t>
      </w:r>
    </w:p>
    <w:p>
      <w:r>
        <w:t>La principale lutte contre le gradient nécessite l’utilisation d’énergie.</w:t>
      </w:r>
    </w:p>
    <w:p>
      <w:r>
        <w:t>Symport uniport et antiport</w:t>
      </w:r>
    </w:p>
    <w:p>
      <w:r>
        <w:t>Transport actif I (énergie)</w:t>
      </w:r>
    </w:p>
    <w:p>
      <w:r>
        <w:t>Transport actif II (énergie)</w:t>
      </w:r>
    </w:p>
    <w:p>
      <w:r>
        <w:t>ATPase</w:t>
      </w:r>
    </w:p>
    <w:p>
      <w:r>
        <w:t>Exemples :</w:t>
      </w:r>
    </w:p>
    <w:p>
      <w:pPr>
        <w:pStyle w:val="Paragraphedeliste"/>
        <w:numPr>
          <w:ilvl w:val="0"/>
          <w:numId w:val="33"/>
        </w:numPr>
      </w:pPr>
      <w:r>
        <w:t>Pompes à sodium et potassium (Na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>). Elles font sortir 3 Na</w:t>
      </w:r>
      <w:r>
        <w:rPr>
          <w:vertAlign w:val="superscript"/>
        </w:rPr>
        <w:t>+</w:t>
      </w:r>
      <w:r>
        <w:t xml:space="preserve"> et fon rentrer 2 K</w:t>
      </w:r>
      <w:r>
        <w:rPr>
          <w:vertAlign w:val="superscript"/>
        </w:rPr>
        <w:t>+</w:t>
      </w:r>
      <w:r>
        <w:t>. Elles servent notamment à maintenir une différence de gradient de concentration et chimique avec le milieu extracellulaire et consomment 40% de l’ATP total produit par la cellule.</w:t>
      </w:r>
    </w:p>
    <w:p>
      <w:pPr>
        <w:pStyle w:val="Paragraphedeliste"/>
        <w:numPr>
          <w:ilvl w:val="0"/>
          <w:numId w:val="33"/>
        </w:numPr>
      </w:pPr>
      <w:r>
        <w:t>Pompe à protons.</w:t>
      </w:r>
    </w:p>
    <w:p>
      <w:pPr>
        <w:pStyle w:val="Paragraphedeliste"/>
        <w:numPr>
          <w:ilvl w:val="0"/>
          <w:numId w:val="33"/>
        </w:numPr>
      </w:pPr>
      <w:r>
        <w:t>Pompe SERCA (calcium)</w:t>
      </w:r>
    </w:p>
    <w:p>
      <w:pPr>
        <w:pStyle w:val="Titre1"/>
      </w:pPr>
      <w:r>
        <w:lastRenderedPageBreak/>
        <w:t>Physiologie neuromusculaire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2" type="#_x0000_t75" style="width:50pt;height:22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0276996"/>
    <w:multiLevelType w:val="hybridMultilevel"/>
    <w:tmpl w:val="D9482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1E68"/>
    <w:multiLevelType w:val="hybridMultilevel"/>
    <w:tmpl w:val="4C48D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30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2"/>
  </w:num>
  <w:num w:numId="24">
    <w:abstractNumId w:val="29"/>
  </w:num>
  <w:num w:numId="25">
    <w:abstractNumId w:val="31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29</cp:revision>
  <cp:lastPrinted>2021-02-13T18:38:00Z</cp:lastPrinted>
  <dcterms:created xsi:type="dcterms:W3CDTF">2021-05-17T20:06:00Z</dcterms:created>
  <dcterms:modified xsi:type="dcterms:W3CDTF">2021-07-01T18:53:00Z</dcterms:modified>
</cp:coreProperties>
</file>