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neurotransmetteurs</w:t>
      </w:r>
    </w:p>
    <w:p>
      <w:r>
        <w:t>La transmission du message nerveux se fait généralement du synapse d’un neurone afférent vers le dendrite du neurone efférent.</w:t>
      </w:r>
    </w:p>
    <w:p>
      <w:r>
        <w:rPr>
          <w:u w:val="single"/>
        </w:rPr>
        <w:t>Rmq :</w:t>
      </w:r>
      <w:r>
        <w:t xml:space="preserve"> Il existe certain</w:t>
      </w:r>
      <w:r>
        <w:t xml:space="preserve"> cas, </w:t>
      </w:r>
      <w:r>
        <w:t xml:space="preserve">notamment </w:t>
      </w:r>
      <w:r>
        <w:t xml:space="preserve">présent dans </w:t>
      </w:r>
      <w:r>
        <w:t>certains mécanismes d’autorégulation</w:t>
      </w:r>
      <w:r>
        <w:t>,</w:t>
      </w:r>
      <w:r>
        <w:t xml:space="preserve"> où un neurone est capable de libérer des neurotransmetteur au niveau des dendrites.</w:t>
      </w:r>
      <w:r>
        <w:t xml:space="preserve"> </w:t>
      </w:r>
    </w:p>
    <w:p>
      <w:r>
        <w:t>Il existe deux types de</w:t>
      </w:r>
      <w:r>
        <w:t xml:space="preserve"> synapses</w:t>
      </w:r>
      <w:r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Électrique</w:t>
            </w:r>
          </w:p>
        </w:tc>
        <w:tc>
          <w:tcPr>
            <w:tcW w:w="3668" w:type="dxa"/>
          </w:tcPr>
          <w:p>
            <w:r>
              <w:t>Chimique</w:t>
            </w:r>
          </w:p>
        </w:tc>
      </w:tr>
    </w:tbl>
    <w:p>
      <w:r>
        <w:rPr>
          <w:u w:val="single"/>
        </w:rPr>
        <w:t>Rmq :</w:t>
      </w:r>
      <w:r>
        <w:t xml:space="preserve"> les neurones électriques sont présents que chez certaines espèces et chez l’Homme que durant le développement du cerveau.</w:t>
      </w:r>
    </w:p>
    <w:p>
      <w:r>
        <w:t xml:space="preserve">Les neurones électriques forment des canaux </w:t>
      </w:r>
      <w:r>
        <w:t>qui relient directement</w:t>
      </w:r>
      <w:r>
        <w:t xml:space="preserve"> les deux neurones. La transmission est plus rapide que </w:t>
      </w:r>
      <w:r>
        <w:t xml:space="preserve">celle des synapses </w:t>
      </w:r>
      <w:r>
        <w:t xml:space="preserve">chimiques et peut </w:t>
      </w:r>
      <w:r>
        <w:t xml:space="preserve">se faire de manière </w:t>
      </w:r>
      <w:r>
        <w:t>bi directionnelle.</w:t>
      </w:r>
    </w:p>
    <w:p>
      <w:r>
        <w:t>Les synapses peuvent se connecter au neurone voisin au niveau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Axone (</w:t>
            </w:r>
            <w:proofErr w:type="spellStart"/>
            <w:r>
              <w:t>Axomatique</w:t>
            </w:r>
            <w:proofErr w:type="spellEnd"/>
            <w:r>
              <w:t xml:space="preserve"> synapse)</w:t>
            </w:r>
          </w:p>
        </w:tc>
        <w:tc>
          <w:tcPr>
            <w:tcW w:w="2445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bCs/>
              </w:rPr>
              <w:t>endrite</w:t>
            </w:r>
          </w:p>
          <w:p>
            <w:pPr>
              <w:rPr>
                <w:bCs/>
              </w:rPr>
            </w:pPr>
            <w:r>
              <w:rPr>
                <w:bCs/>
              </w:rPr>
              <w:t>(Axodendritique synapse)</w:t>
            </w:r>
          </w:p>
        </w:tc>
        <w:tc>
          <w:tcPr>
            <w:tcW w:w="2445" w:type="dxa"/>
          </w:tcPr>
          <w:p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bCs/>
              </w:rPr>
              <w:t>ynapse</w:t>
            </w:r>
          </w:p>
          <w:p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Axosynaptique</w:t>
            </w:r>
            <w:proofErr w:type="spellEnd"/>
            <w:r>
              <w:rPr>
                <w:bCs/>
              </w:rPr>
              <w:t xml:space="preserve"> synapse)</w:t>
            </w:r>
          </w:p>
        </w:tc>
      </w:tr>
    </w:tbl>
    <w:p>
      <w:r>
        <w:t xml:space="preserve">La structure des synapses varie en fonction du type de neurone. Par exemple,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Type de neurones</w:t>
            </w:r>
          </w:p>
        </w:tc>
        <w:tc>
          <w:tcPr>
            <w:tcW w:w="26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Neuromusculaire</w:t>
            </w:r>
            <w:r>
              <w:t xml:space="preserve"> (MNJ)</w:t>
            </w:r>
          </w:p>
        </w:tc>
        <w:tc>
          <w:tcPr>
            <w:tcW w:w="181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Centrale</w:t>
            </w:r>
            <w:r>
              <w:t xml:space="preserve"> (SNC)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Nombre de ramifications afférentes</w:t>
            </w:r>
          </w:p>
        </w:tc>
        <w:tc>
          <w:tcPr>
            <w:tcW w:w="26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Jusqu’à 10 000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Taille</w:t>
            </w:r>
          </w:p>
        </w:tc>
        <w:tc>
          <w:tcPr>
            <w:tcW w:w="26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Réponse</w:t>
            </w:r>
          </w:p>
        </w:tc>
        <w:tc>
          <w:tcPr>
            <w:tcW w:w="26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Excitatrice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Excitatrice, inhibitrice et modulatrice</w:t>
            </w:r>
          </w:p>
        </w:tc>
      </w:tr>
    </w:tbl>
    <w:p>
      <w:r>
        <w:rPr>
          <w:rStyle w:val="Accentuation"/>
        </w:rPr>
        <w:t>Épine dendritique</w:t>
      </w:r>
      <w:r>
        <w:t xml:space="preserve"> excroissance de la membrane des dendrites des neurones. Permet de réguler la transmission.</w:t>
      </w:r>
    </w:p>
    <w:p>
      <w:r>
        <w:rPr>
          <w:rStyle w:val="Accentuation"/>
        </w:rPr>
        <w:t>Neurotransmetteur</w:t>
      </w:r>
      <w:r>
        <w:t xml:space="preserve"> </w:t>
      </w:r>
      <w:r>
        <w:rPr>
          <w:rStyle w:val="Accentuation"/>
        </w:rPr>
        <w:t>(ou neuromédiateur)</w:t>
      </w:r>
      <w:r>
        <w:t xml:space="preserve"> molécule chimique synthétisé et stocké par les neurones qui sert à transmettre le message nerveux aux autres neurone. La libération du neurotransmetteur se fait en réponse à un potentiel d’action. Une fois que le neurotransmetteur a transmis le signal il est soit dégradé soit capturer.</w:t>
      </w:r>
    </w:p>
    <w:p>
      <w:r>
        <w:rPr>
          <w:rStyle w:val="Accentuation"/>
        </w:rPr>
        <w:t>Neuromodulateur</w:t>
      </w:r>
      <w:r>
        <w:t xml:space="preserve"> neurone qui modula l’activité en facilitant ou i</w:t>
      </w:r>
      <w:r>
        <w:t>n</w:t>
      </w:r>
      <w:r>
        <w:t>hibant le message</w:t>
      </w:r>
      <w:r>
        <w:t xml:space="preserve"> nerveux</w:t>
      </w:r>
      <w:r>
        <w:t>.</w:t>
      </w:r>
    </w:p>
    <w:p>
      <w:pPr>
        <w:pStyle w:val="Titre2"/>
      </w:pPr>
      <w:r>
        <w:t>Les neurotransmetteurs</w:t>
      </w:r>
    </w:p>
    <w:p>
      <w:r>
        <w:t>Les neurotransmetteur sont classés en fonction de la catégorie de molécule auxquelles ils appartiennent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524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0" w:type="dxa"/>
          </w:tcPr>
          <w:p>
            <w:r>
              <w:t>Neurotransmetteur à petites molécules</w:t>
            </w:r>
          </w:p>
        </w:tc>
        <w:tc>
          <w:tcPr>
            <w:tcW w:w="2095" w:type="dxa"/>
          </w:tcPr>
          <w:p>
            <w:r>
              <w:t>Neuropeptide</w:t>
            </w:r>
          </w:p>
        </w:tc>
      </w:tr>
      <w:tr>
        <w:tc>
          <w:tcPr>
            <w:tcW w:w="5240" w:type="dxa"/>
          </w:tcPr>
          <w:p>
            <w:pPr>
              <w:rPr>
                <w:b/>
              </w:rPr>
            </w:pPr>
            <w:r>
              <w:t>A</w:t>
            </w:r>
            <w:r>
              <w:t xml:space="preserve">A (ex : </w:t>
            </w:r>
            <w:r>
              <w:t>Glutamate excitateur</w:t>
            </w:r>
            <w:r>
              <w:t xml:space="preserve"> ; </w:t>
            </w:r>
            <w:r>
              <w:t>GABA inhibiteur)</w:t>
            </w:r>
          </w:p>
          <w:p>
            <w:pPr>
              <w:rPr>
                <w:b/>
              </w:rPr>
            </w:pPr>
            <w:r>
              <w:t>Amine (ex : dopamine, noradrénaline, sérotonine)</w:t>
            </w:r>
          </w:p>
          <w:p>
            <w:r>
              <w:t>Gaz (NO)</w:t>
            </w:r>
          </w:p>
        </w:tc>
        <w:tc>
          <w:tcPr>
            <w:tcW w:w="2095" w:type="dxa"/>
          </w:tcPr>
          <w:p/>
        </w:tc>
      </w:tr>
    </w:tbl>
    <w:p/>
    <w:p>
      <w:r>
        <w:rPr>
          <w:u w:val="single"/>
        </w:rPr>
        <w:t>Rmq :</w:t>
      </w:r>
      <w:r>
        <w:t xml:space="preserve"> Le rôle des neurotransmetteurs dépend des régions du cerveau dans lesquelles ils sont sécrétés.</w:t>
      </w:r>
    </w:p>
    <w:p>
      <w:pPr>
        <w:pStyle w:val="Titre3"/>
      </w:pPr>
      <w:r>
        <w:t>Fabrication des neurotransmetteurs à petites molécules</w:t>
      </w:r>
    </w:p>
    <w:p>
      <w:r>
        <w:t>Les neurotransmetteurs à petites molécules sont fabriqués à partir de précurseur formé après que le neurotransmetteur a été utilisé. Les neurotransmetteur peuvent être régénérer grâce à des enzymes produites au niveau du soma et acheminé par un transport axonal.</w:t>
      </w:r>
    </w:p>
    <w:p>
      <w:pPr>
        <w:pStyle w:val="Titre3"/>
      </w:pPr>
      <w:r>
        <w:t>Fabrication des n</w:t>
      </w:r>
      <w:r>
        <w:t>europeptide</w:t>
      </w:r>
      <w:r>
        <w:t>s</w:t>
      </w:r>
    </w:p>
    <w:p>
      <w:r>
        <w:t>Les neuropeptides sont fabriqués à sous forme de précurseur au niveau du soma. Ils sont transportés par le réseau de microtubule à l’intérieur de vésicule jusqu’à l’axone avec les enzymes qui leur donneront leur forme active. C’est à leur arrivé que les précurseurs sont transformés en neurotransmetteur actif.</w:t>
      </w:r>
    </w:p>
    <w:p>
      <w:r>
        <w:lastRenderedPageBreak/>
        <w:t>Une fois utilisée, les neuropeptides sont dégradés dans le milieu extracellulaire.</w:t>
      </w:r>
    </w:p>
    <w:p>
      <w:pPr>
        <w:pStyle w:val="Titre3"/>
      </w:pPr>
      <w:r>
        <w:t xml:space="preserve">Les </w:t>
      </w:r>
      <w:r>
        <w:t>récepteurs à neurotransmetteur</w:t>
      </w:r>
    </w:p>
    <w:p>
      <w:r>
        <w:t>Les neurotransmetteurs vont se fixer sur des récepteurs qui provoquent l’ouverture de canaux ioniques. Ils peuvent être soit :</w:t>
      </w:r>
      <w:r>
        <w:t xml:space="preserve"> 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972"/>
        <w:gridCol w:w="2126"/>
        <w:gridCol w:w="223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Type de récepteurs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Ionotropique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Métabotropique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 xml:space="preserve">Nombre de </w:t>
            </w:r>
            <w:r>
              <w:t>sites de fixation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Plusieurs 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>Mécanisme d’ouverture des canaux ioniques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voie de transduction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r>
              <w:t xml:space="preserve">Vitesse </w:t>
            </w:r>
          </w:p>
        </w:tc>
        <w:tc>
          <w:tcPr>
            <w:tcW w:w="21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</w:t>
            </w:r>
          </w:p>
        </w:tc>
      </w:tr>
    </w:tbl>
    <w:p>
      <w:pPr>
        <w:pStyle w:val="Titre1"/>
      </w:pPr>
      <w:r>
        <w:t>Neurogénèse</w:t>
      </w:r>
    </w:p>
    <w:p>
      <w:r>
        <w:rPr>
          <w:rStyle w:val="Accentuation"/>
        </w:rPr>
        <w:t>Neurogenèse</w:t>
      </w:r>
      <w:r>
        <w:t xml:space="preserve"> formation d’un neurone à partir d’une cellule souche neurale.</w:t>
      </w:r>
    </w:p>
    <w:p>
      <w:r>
        <w:t>On parle de neurogène :</w:t>
      </w:r>
    </w:p>
    <w:p>
      <w:pPr>
        <w:pStyle w:val="Paragraphedeliste"/>
        <w:numPr>
          <w:ilvl w:val="0"/>
          <w:numId w:val="29"/>
        </w:numPr>
      </w:pPr>
      <w:r>
        <w:t>Phase embryonnaire et chez l’enfant période d’activité maximal</w:t>
      </w:r>
    </w:p>
    <w:p>
      <w:pPr>
        <w:pStyle w:val="Paragraphedeliste"/>
        <w:numPr>
          <w:ilvl w:val="0"/>
          <w:numId w:val="29"/>
        </w:numPr>
      </w:pPr>
      <w:r>
        <w:t>Chez l’adulte</w:t>
      </w:r>
    </w:p>
    <w:p>
      <w:pPr>
        <w:pStyle w:val="Paragraphedeliste"/>
        <w:numPr>
          <w:ilvl w:val="0"/>
          <w:numId w:val="29"/>
        </w:numPr>
      </w:pPr>
      <w:r>
        <w:t>Réparatrice lieu suite un traumatisme important. Il existe des mécanismes de régénération neuronale mais qui sont souvent incomplet.</w:t>
      </w:r>
    </w:p>
    <w:p>
      <w:r>
        <w:rPr>
          <w:u w:val="single"/>
        </w:rPr>
        <w:t>Rmq :</w:t>
      </w:r>
      <w:r>
        <w:t xml:space="preserve"> la neurogénèse est maximale chez l’embryon entre la 10</w:t>
      </w:r>
      <w:r>
        <w:rPr>
          <w:vertAlign w:val="superscript"/>
        </w:rPr>
        <w:t>ème</w:t>
      </w:r>
      <w:r>
        <w:t xml:space="preserve"> et 20</w:t>
      </w:r>
      <w:r>
        <w:rPr>
          <w:vertAlign w:val="superscript"/>
        </w:rPr>
        <w:t>ème</w:t>
      </w:r>
      <w:r>
        <w:t xml:space="preserve"> semaines.</w:t>
      </w:r>
    </w:p>
    <w:p>
      <w:r>
        <w:t>Elle comprend les phases :</w:t>
      </w:r>
    </w:p>
    <w:p>
      <w:pPr>
        <w:pStyle w:val="Paragraphedeliste"/>
        <w:numPr>
          <w:ilvl w:val="0"/>
          <w:numId w:val="28"/>
        </w:numPr>
      </w:pPr>
      <w:r>
        <w:t>La différenciation d'une cellule souche ou pluripotente en neuroblaste (cellule progénitrice des neurones) ;</w:t>
      </w:r>
    </w:p>
    <w:p>
      <w:pPr>
        <w:pStyle w:val="Paragraphedeliste"/>
        <w:numPr>
          <w:ilvl w:val="0"/>
          <w:numId w:val="28"/>
        </w:numPr>
      </w:pPr>
      <w:r>
        <w:t>La migration du corps cellulaire vers la zone d'accueil prédéterminée (</w:t>
      </w:r>
      <w:proofErr w:type="gramStart"/>
      <w:r>
        <w:t>ex:</w:t>
      </w:r>
      <w:proofErr w:type="gramEnd"/>
      <w:r>
        <w:t xml:space="preserve"> couche cellulaire du cortex) ;</w:t>
      </w:r>
    </w:p>
    <w:p>
      <w:pPr>
        <w:pStyle w:val="Paragraphedeliste"/>
        <w:numPr>
          <w:ilvl w:val="0"/>
          <w:numId w:val="28"/>
        </w:numPr>
      </w:pPr>
      <w:r>
        <w:t>Le prolongement de l'axone vers sa structure cible ;</w:t>
      </w:r>
    </w:p>
    <w:p>
      <w:pPr>
        <w:pStyle w:val="Paragraphedeliste"/>
        <w:numPr>
          <w:ilvl w:val="0"/>
          <w:numId w:val="28"/>
        </w:numPr>
      </w:pPr>
      <w:r>
        <w:t>La formation des dendrites et synaptogenèse ;</w:t>
      </w:r>
    </w:p>
    <w:p>
      <w:pPr>
        <w:pStyle w:val="Paragraphedeliste"/>
        <w:numPr>
          <w:ilvl w:val="0"/>
          <w:numId w:val="28"/>
        </w:numPr>
      </w:pPr>
      <w:r>
        <w:t>Maturation par renforcement des synapses « utiles » et élimination des neurones non utilisés (élagage) ;</w:t>
      </w:r>
    </w:p>
    <w:p>
      <w:r>
        <w:rPr>
          <w:rStyle w:val="Accentuation"/>
        </w:rPr>
        <w:t>Plasticité</w:t>
      </w:r>
      <w:r>
        <w:t xml:space="preserve"> modification constante des propriétés du neurone au cours de la vie adulte.</w:t>
      </w:r>
    </w:p>
    <w:p/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Neurobiologie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49.8pt;height:22.2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7620"/>
    <w:multiLevelType w:val="hybridMultilevel"/>
    <w:tmpl w:val="1932DD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52297"/>
    <w:multiLevelType w:val="hybridMultilevel"/>
    <w:tmpl w:val="68587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16"/>
  </w:num>
  <w:num w:numId="9">
    <w:abstractNumId w:val="22"/>
  </w:num>
  <w:num w:numId="10">
    <w:abstractNumId w:val="12"/>
  </w:num>
  <w:num w:numId="11">
    <w:abstractNumId w:val="13"/>
  </w:num>
  <w:num w:numId="12">
    <w:abstractNumId w:val="2"/>
  </w:num>
  <w:num w:numId="13">
    <w:abstractNumId w:val="24"/>
  </w:num>
  <w:num w:numId="14">
    <w:abstractNumId w:val="15"/>
  </w:num>
  <w:num w:numId="15">
    <w:abstractNumId w:val="18"/>
  </w:num>
  <w:num w:numId="16">
    <w:abstractNumId w:val="26"/>
  </w:num>
  <w:num w:numId="17">
    <w:abstractNumId w:val="3"/>
  </w:num>
  <w:num w:numId="18">
    <w:abstractNumId w:val="7"/>
  </w:num>
  <w:num w:numId="19">
    <w:abstractNumId w:val="17"/>
  </w:num>
  <w:num w:numId="20">
    <w:abstractNumId w:val="23"/>
  </w:num>
  <w:num w:numId="21">
    <w:abstractNumId w:val="14"/>
  </w:num>
  <w:num w:numId="22">
    <w:abstractNumId w:val="19"/>
  </w:num>
  <w:num w:numId="23">
    <w:abstractNumId w:val="28"/>
  </w:num>
  <w:num w:numId="24">
    <w:abstractNumId w:val="25"/>
  </w:num>
  <w:num w:numId="25">
    <w:abstractNumId w:val="27"/>
  </w:num>
  <w:num w:numId="26">
    <w:abstractNumId w:val="4"/>
  </w:num>
  <w:num w:numId="27">
    <w:abstractNumId w:val="0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27</cp:revision>
  <cp:lastPrinted>2021-02-13T18:38:00Z</cp:lastPrinted>
  <dcterms:created xsi:type="dcterms:W3CDTF">2021-05-17T20:06:00Z</dcterms:created>
  <dcterms:modified xsi:type="dcterms:W3CDTF">2021-09-08T12:05:00Z</dcterms:modified>
</cp:coreProperties>
</file>