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r>
        <w:t>Rmq : L’immunité adaptative ne se déclenche que lorsque l’infection a atteint une valeur seuil.</w:t>
      </w:r>
    </w:p>
    <w:p>
      <w:pPr>
        <w:pStyle w:val="Titre1"/>
      </w:pPr>
      <w:r>
        <w:t>Le système inné</w:t>
      </w:r>
    </w:p>
    <w:p>
      <w:r>
        <w:t>L’immunité inné résulte de l’apprentissage génétique de la lutte contre de. Elle a été transmise et enrichie au cours de l’évolution. Les cellules indentifient identifier les patogènes par leurs caractéristiques. Par exemple, :</w:t>
      </w:r>
    </w:p>
    <w:p>
      <w:pPr>
        <w:pStyle w:val="Paragraphedeliste"/>
        <w:numPr>
          <w:ilvl w:val="0"/>
          <w:numId w:val="45"/>
        </w:numPr>
      </w:pPr>
      <w:r>
        <w:t>Les bactéries sont reconnues à cause des lipopolysaccharides  (LPS) qui constituent leur membrane plasmique.</w:t>
      </w:r>
    </w:p>
    <w:p>
      <w:pPr>
        <w:pStyle w:val="Paragraphedeliste"/>
        <w:numPr>
          <w:ilvl w:val="0"/>
          <w:numId w:val="45"/>
        </w:numPr>
      </w:pPr>
      <w:r>
        <w:t>Les virus à cause de leur ARN double brin.</w:t>
      </w:r>
    </w:p>
    <w:p>
      <w:pPr>
        <w:pStyle w:val="Paragraphedeliste"/>
        <w:numPr>
          <w:ilvl w:val="0"/>
          <w:numId w:val="45"/>
        </w:numPr>
      </w:pPr>
      <w:r>
        <w:t>Les champignons par leur paroi de chitine.</w:t>
      </w:r>
    </w:p>
    <w:p>
      <w:r>
        <w:t xml:space="preserve">Le système immunitaire inné est incarné par les myélocytes. </w:t>
      </w:r>
    </w:p>
    <w:p>
      <w:r>
        <w:rPr>
          <w:u w:val="single"/>
        </w:rPr>
        <w:t>Rmq :</w:t>
      </w:r>
      <w:r>
        <w:t xml:space="preserve"> les macrophages sont également responsable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28"/>
        </w:numPr>
      </w:pPr>
      <w:r>
        <w:t>Les cellules résidentes reconnaissent la présence de pathogènes grâce à leurs récepteurs (PRR).</w:t>
      </w:r>
    </w:p>
    <w:p>
      <w:pPr>
        <w:pStyle w:val="Paragraphedeliste"/>
        <w:numPr>
          <w:ilvl w:val="0"/>
          <w:numId w:val="28"/>
        </w:numPr>
      </w:pPr>
      <w:r>
        <w:t>Libération de molécules par les :</w:t>
      </w:r>
    </w:p>
    <w:p>
      <w:pPr>
        <w:pStyle w:val="Paragraphedeliste"/>
        <w:numPr>
          <w:ilvl w:val="1"/>
          <w:numId w:val="28"/>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28"/>
        </w:numPr>
      </w:pPr>
      <w:r>
        <w:t>Macrophages et cellules dendritiques libèrent des cytokines et des chimiokines qui attirent les leucocytes.</w:t>
      </w:r>
    </w:p>
    <w:p>
      <w:pPr>
        <w:pStyle w:val="Paragraphedeliste"/>
        <w:numPr>
          <w:ilvl w:val="0"/>
          <w:numId w:val="28"/>
        </w:numPr>
      </w:pPr>
      <w:r>
        <w:lastRenderedPageBreak/>
        <w:t>La vasodilation permet aux leucocytes de traverser la paroi et d’aller sur le site d’infecté. C’est ce que l’on appelle la réaction inflammatoire.</w:t>
      </w:r>
    </w:p>
    <w:p>
      <w:r>
        <w:rPr>
          <w:rStyle w:val="Accentuation"/>
        </w:rPr>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Certains pathogènes ont développés des résistances au système immunitaire inné :</w:t>
      </w:r>
    </w:p>
    <w:p>
      <w:pPr>
        <w:pStyle w:val="Paragraphedeliste"/>
        <w:numPr>
          <w:ilvl w:val="0"/>
          <w:numId w:val="35"/>
        </w:numPr>
      </w:pPr>
      <w:r>
        <w:t>Certaines bactéries sont entourées d’une capsule qui empêchent la reconnaissance.</w:t>
      </w:r>
    </w:p>
    <w:p>
      <w:pPr>
        <w:pStyle w:val="Paragraphedeliste"/>
        <w:numPr>
          <w:ilvl w:val="0"/>
          <w:numId w:val="35"/>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44"/>
        </w:numPr>
      </w:pPr>
      <w:r>
        <w:t>Reconnaissance</w:t>
      </w:r>
    </w:p>
    <w:p>
      <w:pPr>
        <w:pStyle w:val="Paragraphedeliste"/>
        <w:numPr>
          <w:ilvl w:val="0"/>
          <w:numId w:val="44"/>
        </w:numPr>
      </w:pPr>
      <w:r>
        <w:t>Induction de la phagocytose</w:t>
      </w:r>
    </w:p>
    <w:p>
      <w:pPr>
        <w:pStyle w:val="Paragraphedeliste"/>
        <w:numPr>
          <w:ilvl w:val="0"/>
          <w:numId w:val="44"/>
        </w:numPr>
      </w:pPr>
      <w:r>
        <w:t>Dégradation</w:t>
      </w:r>
    </w:p>
    <w:p>
      <w:pPr>
        <w:pStyle w:val="Paragraphedeliste"/>
        <w:numPr>
          <w:ilvl w:val="0"/>
          <w:numId w:val="44"/>
        </w:numPr>
      </w:pPr>
      <w:r>
        <w:t>Rejet des déchets dans le milieu extracellulaire.</w:t>
      </w:r>
    </w:p>
    <w:p>
      <w:pPr>
        <w:pStyle w:val="Titre3"/>
      </w:pPr>
      <w:r>
        <w:t>Détection de l’activité anormale</w:t>
      </w:r>
    </w:p>
    <w:p>
      <w:r>
        <w:t xml:space="preserve">Les cellules de l’immunité inné s’activent ou augment leur activité lorsqu’elles détectent des : </w:t>
      </w:r>
    </w:p>
    <w:p>
      <w:pPr>
        <w:pStyle w:val="Paragraphedeliste"/>
        <w:numPr>
          <w:ilvl w:val="0"/>
          <w:numId w:val="46"/>
        </w:numPr>
      </w:pPr>
      <w:r>
        <w:t>Motifs moléculaires associés aux pathogènes (PAMP)</w:t>
      </w:r>
    </w:p>
    <w:p>
      <w:pPr>
        <w:pStyle w:val="Paragraphedeliste"/>
        <w:numPr>
          <w:ilvl w:val="0"/>
          <w:numId w:val="46"/>
        </w:numPr>
      </w:pPr>
      <w:r>
        <w:t>Motifs moléculaires associés aux dégâts cellumaire (DAMP). Lorsque une cellule endommagée, certaines molécules présentes uniquement dans le milieu intracellulaire peuvent se retrouver dans le milieu extracellulaire, par exemple l’ATP, urée, actine.</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lastRenderedPageBreak/>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à sa membrane plasmique.</w:t>
      </w:r>
    </w:p>
    <w:p>
      <w:r>
        <w:t>La présentation de l’antigène aux lymphocytes situés dans le système lymphatique se fait par le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 Il entre alors dans une phase de clonage. Les lymphocytes produit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w:t>
            </w:r>
          </w:p>
        </w:tc>
        <w:tc>
          <w:tcPr>
            <w:tcW w:w="3668" w:type="dxa"/>
          </w:tcPr>
          <w:p>
            <w:r>
              <w:t>Des cellules mémoires</w:t>
            </w:r>
          </w:p>
        </w:tc>
      </w:tr>
    </w:tbl>
    <w:p>
      <w:r>
        <w:rPr>
          <w:rStyle w:val="Accentuation"/>
        </w:rPr>
        <w:t>Cellules effectrices</w:t>
      </w:r>
      <w:r>
        <w:t xml:space="preserve"> cellules qui combattent l’antigène.</w:t>
      </w:r>
    </w:p>
    <w:p>
      <w:pPr>
        <w:pStyle w:val="Titre3"/>
      </w:pPr>
      <w:r>
        <w:t>Les cellules mémoires</w:t>
      </w:r>
    </w:p>
    <w:p>
      <w:r>
        <w:t>Les cellules mémoires persistent longtemps dans l’organisme.</w:t>
      </w:r>
    </w:p>
    <w:p>
      <w:r>
        <w:t>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w:t>
      </w:r>
    </w:p>
    <w:p>
      <w:r>
        <w:t>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w:t>
      </w:r>
    </w:p>
    <w:p>
      <w:r>
        <w:t>Les anticorps se lient aux pathogènes pour permettre de :</w:t>
      </w:r>
    </w:p>
    <w:p>
      <w:pPr>
        <w:pStyle w:val="Paragraphedeliste"/>
        <w:numPr>
          <w:ilvl w:val="0"/>
          <w:numId w:val="41"/>
        </w:numPr>
      </w:pPr>
      <w:r>
        <w:t>Favoriser la reconnaissance des pathogènes.</w:t>
      </w:r>
    </w:p>
    <w:p>
      <w:pPr>
        <w:pStyle w:val="Paragraphedeliste"/>
        <w:numPr>
          <w:ilvl w:val="0"/>
          <w:numId w:val="41"/>
        </w:numPr>
      </w:pPr>
      <w:r>
        <w:t>Aide à contenir les pathogène en les agglomérant (opsonisation) en se liant aux deux récepteurs.</w:t>
      </w:r>
    </w:p>
    <w:p>
      <w:pPr>
        <w:pStyle w:val="Paragraphedeliste"/>
        <w:numPr>
          <w:ilvl w:val="0"/>
          <w:numId w:val="41"/>
        </w:numPr>
      </w:pPr>
      <w:r>
        <w:t>Neutraliser les pathogènes. Ils empêchent les pathogènes (comme les virus) de rentrer dans une cellule hôte.</w:t>
      </w:r>
    </w:p>
    <w:p>
      <w:pPr>
        <w:pStyle w:val="Paragraphedeliste"/>
        <w:numPr>
          <w:ilvl w:val="0"/>
          <w:numId w:val="41"/>
        </w:numPr>
      </w:pPr>
      <w:r>
        <w:t>Provoquer la destruction du pathogène grâce à l’association de protéines (ce processus est appelé sytème du complément). Certaines protéines viennent s’associer aux anticorps pour former un complexe d’attaque membranaire qui perse la membrane du phatogène et provoque sa mort.</w:t>
      </w:r>
    </w:p>
    <w:p>
      <w:r>
        <w:rPr>
          <w:rStyle w:val="Accentuation"/>
        </w:rPr>
        <w:lastRenderedPageBreak/>
        <w:t>Anticorps</w:t>
      </w:r>
      <w:r>
        <w:t xml:space="preserve"> (ou immunoglobuline Ig) version du récepteur membranaire soluble (libre dans le milieu extracellulaire). Il est capable de réagir avec un antigène.</w:t>
      </w:r>
    </w:p>
    <w:p>
      <w:pPr>
        <w:pStyle w:val="Titre3"/>
      </w:pPr>
      <w:r>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38"/>
        </w:numPr>
      </w:pPr>
      <w:r>
        <w:t>2 sont dites lourdes. Elles sont ancrées à la membrane plasmique.</w:t>
      </w:r>
    </w:p>
    <w:p>
      <w:pPr>
        <w:pStyle w:val="Paragraphedeliste"/>
        <w:numPr>
          <w:ilvl w:val="0"/>
          <w:numId w:val="38"/>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r>
        <w:t xml:space="preserve">L’activité du lymphocyte s’active </w:t>
      </w:r>
    </w:p>
    <w:p>
      <w:r>
        <w:t xml:space="preserve">Les récepteurs B et les anticorps se lient aux antigènes intacts </w:t>
      </w:r>
    </w:p>
    <w:p>
      <w:pPr>
        <w:pStyle w:val="Sansinterligne"/>
      </w:pPr>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rPr>
          <w:u w:val="single"/>
        </w:rPr>
        <w:t>Rmq :</w:t>
      </w:r>
      <w:r>
        <w:t xml:space="preserve"> Les unités qui forment les chaînes sont appelées motifs immuglobines.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 ou LT CD</w:t>
            </w:r>
            <w:r>
              <w:rPr>
                <w:vertAlign w:val="subscript"/>
              </w:rPr>
              <w:t>4</w:t>
            </w:r>
            <w:r>
              <w:t>+</w:t>
            </w:r>
          </w:p>
        </w:tc>
        <w:tc>
          <w:tcPr>
            <w:tcW w:w="3668" w:type="dxa"/>
          </w:tcPr>
          <w:p>
            <w:r>
              <w:t>LT cytotoxique ou LT CD</w:t>
            </w:r>
            <w:r>
              <w:rPr>
                <w:vertAlign w:val="subscript"/>
              </w:rPr>
              <w:t>8</w:t>
            </w:r>
            <w:r>
              <w:t>+</w:t>
            </w:r>
          </w:p>
        </w:tc>
      </w:tr>
    </w:tbl>
    <w:p>
      <w:r>
        <w:t>Les Effectrice</w:t>
      </w:r>
    </w:p>
    <w:p>
      <w:r>
        <w:tab/>
        <w:t>Activé</w:t>
      </w:r>
    </w:p>
    <w:p>
      <w:pPr>
        <w:pStyle w:val="Titre3"/>
      </w:pPr>
      <w:r>
        <w:t>Les LT auxiliaires</w:t>
      </w:r>
    </w:p>
    <w:p>
      <w:r>
        <w:t xml:space="preserve">Lorsqu’ils sont activés, les LT auxillaires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 (appartient aux LT effectrices)</w:t>
            </w:r>
          </w:p>
        </w:tc>
        <w:tc>
          <w:tcPr>
            <w:tcW w:w="3371" w:type="dxa"/>
          </w:tcPr>
          <w:p>
            <w:r>
              <w:t>À mémoire</w:t>
            </w:r>
          </w:p>
        </w:tc>
      </w:tr>
    </w:tbl>
    <w:p>
      <w:r>
        <w:t>Les LT auxiliaires activés produisent des molécules qui stimulent les LT cytotoxique et les plasmocytes (LB effectrices).</w:t>
      </w:r>
    </w:p>
    <w:p>
      <w:pPr>
        <w:rPr>
          <w:highlight w:val="yellow"/>
        </w:rPr>
      </w:pPr>
      <w:r>
        <w:rPr>
          <w:highlight w:val="yellow"/>
        </w:rPr>
        <w:t xml:space="preserve">Activation des macrophages </w:t>
      </w:r>
    </w:p>
    <w:p>
      <w:pPr>
        <w:rPr>
          <w:highlight w:val="yellow"/>
        </w:rPr>
      </w:pPr>
      <w:r>
        <w:rPr>
          <w:highlight w:val="yellow"/>
        </w:rPr>
        <w:t xml:space="preserve">Activation des LB </w:t>
      </w:r>
    </w:p>
    <w:p>
      <w:r>
        <w:rPr>
          <w:highlight w:val="yellow"/>
        </w:rPr>
        <w:t>Mobilisation des polynucléaires neutrophiles, un type de leucocytes.</w:t>
      </w:r>
    </w:p>
    <w:p>
      <w:r>
        <w:rPr>
          <w:highlight w:val="yellow"/>
        </w:rPr>
        <w:t>Activation uniquement lorsque présentation d’un antigène par une cellule présentatrice d’antigène. Les cellules présentatrice d’antigènes possèdent un CMH.</w:t>
      </w:r>
    </w:p>
    <w:p>
      <w:pPr>
        <w:rPr>
          <w:highlight w:val="yellow"/>
        </w:rPr>
      </w:pPr>
      <w:r>
        <w:rPr>
          <w:highlight w:val="yellow"/>
        </w:rPr>
        <w:t>Stimulent ?</w:t>
      </w:r>
    </w:p>
    <w:p>
      <w:pPr>
        <w:ind w:firstLine="708"/>
        <w:rPr>
          <w:highlight w:val="yellow"/>
        </w:rPr>
      </w:pPr>
      <w:r>
        <w:rPr>
          <w:highlight w:val="yellow"/>
        </w:rPr>
        <w:t>La prolifération des lymphocytes (le nombre).</w:t>
      </w:r>
    </w:p>
    <w:p>
      <w:pPr>
        <w:ind w:firstLine="708"/>
        <w:rPr>
          <w:highlight w:val="yellow"/>
        </w:rPr>
      </w:pPr>
      <w:r>
        <w:rPr>
          <w:highlight w:val="yellow"/>
        </w:rPr>
        <w:t>L’activité des ?</w:t>
      </w:r>
    </w:p>
    <w:p>
      <w:pPr>
        <w:ind w:firstLine="708"/>
      </w:pPr>
      <w:r>
        <w:rPr>
          <w:highlight w:val="yellow"/>
        </w:rP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lastRenderedPageBreak/>
        <w:t>Apoptose</w:t>
      </w:r>
      <w:r>
        <w:t xml:space="preserve"> (ou mort cellulaire programmée) processus par lequel une cellule déclenche son autodestruction en réponse à un signal.</w:t>
      </w:r>
    </w:p>
    <w:p>
      <w:pPr>
        <w:pStyle w:val="Titre3"/>
      </w:pPr>
      <w:r>
        <w:t>La structure des récepteurs des lymphocytes T (TCR)</w:t>
      </w:r>
    </w:p>
    <w:p>
      <w:r>
        <w:t>Les récepteurs des lymphocytes T sont constitués de deux chaines peptidiques alpha et beta.</w:t>
      </w:r>
    </w:p>
    <w:p>
      <w:r>
        <w:t>L’extrémité forme le site de fixation et ne peut se lier qu’à un seul antigène.</w:t>
      </w:r>
    </w:p>
    <w:p>
      <w:pPr>
        <w:pStyle w:val="Sansinterligne"/>
      </w:pPr>
      <w:r>
        <w:rPr>
          <w:noProof/>
        </w:rPr>
        <w:t xml:space="preserve"> </w:t>
      </w:r>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Le lymphocyte actif présente sur ses récepteurs TCR un peptide antigénique.</w:t>
      </w:r>
    </w:p>
    <w:p>
      <w:pPr>
        <w:pStyle w:val="Paragraphedeliste"/>
        <w:numPr>
          <w:ilvl w:val="0"/>
          <w:numId w:val="43"/>
        </w:numPr>
      </w:pPr>
      <w:r>
        <w:t>Le LT vérifie l’intégrité des cellules en se liant par les TCR aux CMD de ces dernières.</w:t>
      </w:r>
    </w:p>
    <w:p>
      <w:pPr>
        <w:pStyle w:val="Paragraphedeliste"/>
        <w:numPr>
          <w:ilvl w:val="0"/>
          <w:numId w:val="43"/>
        </w:numPr>
      </w:pPr>
      <w:r>
        <w:t>Vérification de la présence d’antigène à l’intérieur de la cellule.</w:t>
      </w:r>
    </w:p>
    <w:p>
      <w:pPr>
        <w:pStyle w:val="Paragraphedeliste"/>
        <w:numPr>
          <w:ilvl w:val="0"/>
          <w:numId w:val="43"/>
        </w:numPr>
      </w:pPr>
      <w:r>
        <w:t>Si la présence a été trouvée. Le LT déclenche une voie métabolique  dans la cellule amarée qui conduit à son apoptose.</w:t>
      </w:r>
    </w:p>
    <w:p>
      <w:r>
        <w:t xml:space="preserve">Des voies métaboliques peuvent être déclencher dans les LT par la réponse à trois types de signal : </w:t>
      </w:r>
    </w:p>
    <w:p>
      <w:pPr>
        <w:pStyle w:val="Paragraphedeliste"/>
        <w:numPr>
          <w:ilvl w:val="0"/>
          <w:numId w:val="42"/>
        </w:numPr>
      </w:pPr>
      <w:r>
        <w:t>Un antigène : le lymphocyte T devient actif.</w:t>
      </w:r>
    </w:p>
    <w:p>
      <w:pPr>
        <w:pStyle w:val="Paragraphedeliste"/>
        <w:numPr>
          <w:ilvl w:val="0"/>
          <w:numId w:val="42"/>
        </w:numPr>
      </w:pPr>
      <w:r>
        <w:t xml:space="preserve">Une molécule de co-stimulation (uniquement pour les LT matures): </w:t>
      </w:r>
      <w:r>
        <w:rPr>
          <w:highlight w:val="yellow"/>
        </w:rPr>
        <w:t>provoquer stimule la production du LT ou l’inhibe. Point de contrôle ?</w:t>
      </w:r>
    </w:p>
    <w:p>
      <w:pPr>
        <w:pStyle w:val="Paragraphedeliste"/>
        <w:numPr>
          <w:ilvl w:val="0"/>
          <w:numId w:val="42"/>
        </w:numPr>
      </w:pPr>
      <w:r>
        <w:t>Des molécules de type cytokines de sécrétées par les cellules dendritiques. Le lymphocyte T devient alors :</w:t>
      </w:r>
    </w:p>
    <w:p>
      <w:pPr>
        <w:pStyle w:val="Paragraphedeliste"/>
        <w:numPr>
          <w:ilvl w:val="1"/>
          <w:numId w:val="42"/>
        </w:numPr>
      </w:pPr>
      <w:r>
        <w:t>LT</w:t>
      </w:r>
      <w:r>
        <w:rPr>
          <w:vertAlign w:val="subscript"/>
        </w:rPr>
        <w:t xml:space="preserve">4 </w:t>
      </w:r>
      <w:r>
        <w:t>1 en réponse à la interleukine 12 (noté Il-12) activée les macrophages.</w:t>
      </w:r>
    </w:p>
    <w:p>
      <w:pPr>
        <w:pStyle w:val="Paragraphedeliste"/>
        <w:numPr>
          <w:ilvl w:val="1"/>
          <w:numId w:val="42"/>
        </w:numPr>
      </w:pPr>
      <w:r>
        <w:t>LT</w:t>
      </w:r>
      <w:r>
        <w:rPr>
          <w:vertAlign w:val="subscript"/>
        </w:rPr>
        <w:t xml:space="preserve">4 </w:t>
      </w:r>
      <w:r>
        <w:t>2 en réponse à Il-4 activent les LB.</w:t>
      </w:r>
    </w:p>
    <w:p>
      <w:pPr>
        <w:pStyle w:val="Paragraphedeliste"/>
        <w:numPr>
          <w:ilvl w:val="1"/>
          <w:numId w:val="42"/>
        </w:numPr>
      </w:pPr>
      <w:r>
        <w:t>LT</w:t>
      </w:r>
      <w:r>
        <w:rPr>
          <w:vertAlign w:val="subscript"/>
        </w:rPr>
        <w:t xml:space="preserve"> </w:t>
      </w:r>
      <w:r>
        <w:t xml:space="preserve">régulateur en réponse à Tumor Growth Factor noté TGF qui inhibe la réponse immunitaire </w:t>
      </w:r>
    </w:p>
    <w:p>
      <w:r>
        <w:rPr>
          <w:u w:val="single"/>
        </w:rPr>
        <w:t>Rmq :</w:t>
      </w:r>
      <w:r>
        <w:t xml:space="preserve"> les molécules co-stimulatrices sont en partie responsables de la tolérance au soi en désactivant les LT auto-réactifs.</w:t>
      </w:r>
    </w:p>
    <w:p>
      <w:pPr>
        <w:pStyle w:val="Titre1"/>
      </w:pPr>
      <w:r>
        <w:t>Tolérance immunitaire</w:t>
      </w:r>
    </w:p>
    <w:p>
      <w:r>
        <w:t>Le système immunitaire maintient une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 xml:space="preserve">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w:t>
      </w:r>
      <w:r>
        <w:lastRenderedPageBreak/>
        <w:t>version du récepteur sont considérées par le système immunitaire comme appartenant au non soi.</w:t>
      </w:r>
    </w:p>
    <w:p>
      <w:r>
        <w:t>C’est parce que les cellules cancéreuses ne sont pas reconnues comme un corps étranger qu’elles ne sont pas détruites par l’organisme et qu’elles peuvent proliférer.</w:t>
      </w:r>
    </w:p>
    <w:p>
      <w:pPr>
        <w:pStyle w:val="Titre3"/>
      </w:pPr>
      <w:r>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pPr>
        <w:rPr>
          <w:highlight w:val="yellow"/>
        </w:rPr>
      </w:pPr>
      <w:r>
        <w:rPr>
          <w:highlight w:val="yellow"/>
        </w:rPr>
        <w:t>Autoantigène présenté par des cellules dendritiques</w:t>
      </w:r>
    </w:p>
    <w:p>
      <w:pPr>
        <w:rPr>
          <w:highlight w:val="yellow"/>
        </w:rPr>
      </w:pPr>
      <w:r>
        <w:rPr>
          <w:highlight w:val="yellow"/>
        </w:rPr>
        <w:t>reconnaissance</w:t>
      </w:r>
    </w:p>
    <w:p>
      <w:pPr>
        <w:rPr>
          <w:highlight w:val="yellow"/>
        </w:rPr>
      </w:pPr>
      <w:r>
        <w:rPr>
          <w:highlight w:val="yellow"/>
        </w:rPr>
        <w:t>Les 30% des lymphocytes auto réactifs sont détruits</w:t>
      </w:r>
    </w:p>
    <w:p>
      <w:pPr>
        <w:rPr>
          <w:highlight w:val="yellow"/>
        </w:rPr>
      </w:pPr>
      <w:r>
        <w:rPr>
          <w:highlight w:val="yellow"/>
        </w:rPr>
        <w:t xml:space="preserve">Reconnaissance de l’autoantigène. </w:t>
      </w:r>
    </w:p>
    <w:p>
      <w:pPr>
        <w:rPr>
          <w:highlight w:val="yellow"/>
        </w:rPr>
      </w:pPr>
    </w:p>
    <w:p>
      <w:pPr>
        <w:rPr>
          <w:highlight w:val="yellow"/>
        </w:rPr>
      </w:pPr>
      <w:r>
        <w:rPr>
          <w:highlight w:val="yellow"/>
        </w:rPr>
        <w:t>Pas d’activation du lymphocyte état anergie. Inactivation définitive du lymphocyte</w:t>
      </w:r>
    </w:p>
    <w:p>
      <w:pPr>
        <w:rPr>
          <w:highlight w:val="yellow"/>
        </w:rPr>
      </w:pPr>
    </w:p>
    <w:p>
      <w:pPr>
        <w:rPr>
          <w:highlight w:val="yellow"/>
        </w:rPr>
      </w:pPr>
      <w:r>
        <w:rPr>
          <w:highlight w:val="yellow"/>
        </w:rPr>
        <w:t>Induite par les lymphocytes T régulateur</w:t>
      </w:r>
    </w:p>
    <w:p>
      <w:r>
        <w:rPr>
          <w:highlight w:val="yellow"/>
        </w:rP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3"/>
        </w:numPr>
      </w:pPr>
      <w:r>
        <w:t>Xénobiotiques : U.V, cigarette…</w:t>
      </w:r>
    </w:p>
    <w:p>
      <w:pPr>
        <w:pStyle w:val="Paragraphedeliste"/>
        <w:numPr>
          <w:ilvl w:val="0"/>
          <w:numId w:val="33"/>
        </w:numPr>
      </w:pPr>
      <w:r>
        <w:t>Les pathogènes.</w:t>
      </w:r>
    </w:p>
    <w:p>
      <w:pPr>
        <w:pStyle w:val="Titre3"/>
      </w:pPr>
      <w:r>
        <w:t xml:space="preserve">Les pathogènes </w:t>
      </w:r>
    </w:p>
    <w:p>
      <w:r>
        <w:t>Paradoxalement, certaines pathogènes peuvent avoir pour effet de :</w:t>
      </w:r>
    </w:p>
    <w:p>
      <w:pPr>
        <w:pStyle w:val="Paragraphedeliste"/>
        <w:numPr>
          <w:ilvl w:val="0"/>
          <w:numId w:val="36"/>
        </w:numPr>
      </w:pPr>
      <w:r>
        <w:t>Protéger : Une exposition insuffisante durant l’enfance à des agents infectieux favoriserait le développement de maladies auto-immunes et allergiques.</w:t>
      </w:r>
    </w:p>
    <w:p>
      <w:pPr>
        <w:pStyle w:val="Paragraphedeliste"/>
        <w:numPr>
          <w:ilvl w:val="0"/>
          <w:numId w:val="36"/>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lastRenderedPageBreak/>
        <w:t>Libération d’autoantigène, de cytokine inflammatoire d’éléments intracellulaire activité les cellules dendritiques prolifération des lymphocytes T auto réactifs</w:t>
      </w:r>
    </w:p>
    <w:p>
      <w:r>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w:t>
      </w:r>
    </w:p>
    <w:p>
      <w:pPr>
        <w:pStyle w:val="Paragraphedeliste"/>
        <w:numPr>
          <w:ilvl w:val="0"/>
          <w:numId w:val="37"/>
        </w:numPr>
      </w:pPr>
      <w:r>
        <w:t>anti-inflammatoire qui vont agirent sur la cytokine</w:t>
      </w:r>
    </w:p>
    <w:p>
      <w:pPr>
        <w:pStyle w:val="Paragraphedeliste"/>
        <w:numPr>
          <w:ilvl w:val="0"/>
          <w:numId w:val="37"/>
        </w:numPr>
      </w:pPr>
      <w:r>
        <w:t>anticorps thérapeutique bloque récepteur + la production de cytokine au niveau des lymphocytes naïfs. Plus de prolifération</w:t>
      </w:r>
    </w:p>
    <w:p>
      <w:pPr>
        <w:pStyle w:val="Paragraphedeliste"/>
        <w:numPr>
          <w:ilvl w:val="0"/>
          <w:numId w:val="37"/>
        </w:numPr>
      </w:pPr>
      <w:r>
        <w:t>immunodépresseurs bloque la production de lymphocytes.</w:t>
      </w:r>
    </w:p>
    <w:p>
      <w:pPr>
        <w:pStyle w:val="Titre2"/>
      </w:pPr>
      <w:r>
        <w:t>Le cas des greffes</w:t>
      </w:r>
    </w:p>
    <w:p>
      <w:r>
        <w:t xml:space="preserve">Il existe 3 types de greffes : </w:t>
      </w:r>
    </w:p>
    <w:p>
      <w:pPr>
        <w:pStyle w:val="Paragraphedeliste"/>
        <w:numPr>
          <w:ilvl w:val="0"/>
          <w:numId w:val="29"/>
        </w:numPr>
      </w:pPr>
      <w:r>
        <w:t>Autogreffe (donneur et receveur sont la même personne)</w:t>
      </w:r>
    </w:p>
    <w:p>
      <w:pPr>
        <w:pStyle w:val="Paragraphedeliste"/>
        <w:numPr>
          <w:ilvl w:val="0"/>
          <w:numId w:val="29"/>
        </w:numPr>
      </w:pPr>
      <w:r>
        <w:t>Allogreffe (donneur et receveur sont de la même espèce)</w:t>
      </w:r>
    </w:p>
    <w:p>
      <w:pPr>
        <w:pStyle w:val="Paragraphedeliste"/>
        <w:numPr>
          <w:ilvl w:val="0"/>
          <w:numId w:val="29"/>
        </w:numPr>
      </w:pPr>
      <w:r>
        <w:t xml:space="preserve">Xénogreffe (donneur et receveur appartiennent à des espèces différentes). </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donneurs).</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p>
      <w:r>
        <w:t>A ajouter</w:t>
      </w:r>
    </w:p>
    <w:p>
      <w:r>
        <w:t>Une cellules infectée ou tumorale peut échapper à la reconnaissance par les CMH par :</w:t>
      </w:r>
    </w:p>
    <w:tbl>
      <w:tblPr>
        <w:tblStyle w:val="Grilledetableauclaire"/>
        <w:tblW w:w="0" w:type="auto"/>
        <w:tblLook w:val="04A0" w:firstRow="1" w:lastRow="0" w:firstColumn="1" w:lastColumn="0" w:noHBand="0" w:noVBand="1"/>
      </w:tblPr>
      <w:tblGrid>
        <w:gridCol w:w="1980"/>
        <w:gridCol w:w="1984"/>
        <w:gridCol w:w="3371"/>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
              <w:t>Isolement des CMH produit dans la cellule</w:t>
            </w:r>
          </w:p>
        </w:tc>
        <w:tc>
          <w:tcPr>
            <w:tcW w:w="1984" w:type="dxa"/>
          </w:tcPr>
          <w:p>
            <w:pPr>
              <w:cnfStyle w:val="100000000000" w:firstRow="1" w:lastRow="0" w:firstColumn="0" w:lastColumn="0" w:oddVBand="0" w:evenVBand="0" w:oddHBand="0" w:evenHBand="0" w:firstRowFirstColumn="0" w:firstRowLastColumn="0" w:lastRowFirstColumn="0" w:lastRowLastColumn="0"/>
            </w:pPr>
            <w:r>
              <w:t>Inactivation de la production de CMH ?</w:t>
            </w:r>
          </w:p>
        </w:tc>
        <w:tc>
          <w:tcPr>
            <w:tcW w:w="3371" w:type="dxa"/>
          </w:tcPr>
          <w:p>
            <w:pPr>
              <w:cnfStyle w:val="100000000000" w:firstRow="1" w:lastRow="0" w:firstColumn="0" w:lastColumn="0" w:oddVBand="0" w:evenVBand="0" w:oddHBand="0" w:evenHBand="0" w:firstRowFirstColumn="0" w:firstRowLastColumn="0" w:lastRowFirstColumn="0" w:lastRowLastColumn="0"/>
            </w:pPr>
            <w:r>
              <w:t>La production d’un signal d’inhibition de l’action de l’antigène peptidique</w:t>
            </w:r>
          </w:p>
        </w:tc>
      </w:tr>
    </w:tbl>
    <w:p>
      <w:pPr>
        <w:pStyle w:val="Titre2"/>
      </w:pPr>
      <w:r>
        <w:t>Méthodes d’étude du rôle d’un type cellulaire</w:t>
      </w:r>
    </w:p>
    <w:p>
      <w:r>
        <w:t>Pour déterminer le rôle d’un type cellulaire, on détruit le type cellulaire étudié. Il existe deux méthodes, l’utilisation :</w:t>
      </w:r>
    </w:p>
    <w:p>
      <w:pPr>
        <w:pStyle w:val="Paragraphedeliste"/>
        <w:numPr>
          <w:ilvl w:val="0"/>
          <w:numId w:val="47"/>
        </w:numPr>
      </w:pPr>
      <w:r>
        <w:t>D’animaux dont l’expression des gènes qui fabriquent le type cellulaire étudié ont été bloqué.</w:t>
      </w:r>
    </w:p>
    <w:p>
      <w:pPr>
        <w:pStyle w:val="Paragraphedeliste"/>
        <w:numPr>
          <w:ilvl w:val="0"/>
          <w:numId w:val="47"/>
        </w:numPr>
      </w:pPr>
      <w:r>
        <w:t>La filtration par l’utilisation d’antigènes qui cible des récepteurs membranaires spécifiques de la cellule étudiée. Cette méthode peut être réalisé soit.</w:t>
      </w:r>
    </w:p>
    <w:tbl>
      <w:tblPr>
        <w:tblStyle w:val="Grilledetableauclaire"/>
        <w:tblW w:w="0" w:type="auto"/>
        <w:tblInd w:w="720" w:type="dxa"/>
        <w:tblLook w:val="0400" w:firstRow="0" w:lastRow="0" w:firstColumn="0" w:lastColumn="0" w:noHBand="0" w:noVBand="1"/>
      </w:tblPr>
      <w:tblGrid>
        <w:gridCol w:w="3307"/>
        <w:gridCol w:w="3308"/>
      </w:tblGrid>
      <w:tr>
        <w:tc>
          <w:tcPr>
            <w:tcW w:w="3667" w:type="dxa"/>
          </w:tcPr>
          <w:p>
            <w:pPr>
              <w:pStyle w:val="Paragraphedeliste"/>
              <w:ind w:left="0"/>
            </w:pPr>
            <w:r>
              <w:t>À l’intérieur</w:t>
            </w:r>
            <w:r>
              <w:t xml:space="preserve"> de l’organisme. La fixation des anticorps conduit à la mort cellulaire.</w:t>
            </w:r>
          </w:p>
        </w:tc>
        <w:tc>
          <w:tcPr>
            <w:tcW w:w="3668" w:type="dxa"/>
          </w:tcPr>
          <w:p>
            <w:pPr>
              <w:pStyle w:val="Paragraphedeliste"/>
              <w:ind w:left="0"/>
            </w:pPr>
            <w:r>
              <w:t>À l’extérieur de l’organisme. Les cellules sont fitrée par exemple par l’ajout d’aimant aux anticorps.</w:t>
            </w:r>
          </w:p>
        </w:tc>
      </w:tr>
    </w:tbl>
    <w:p/>
    <w:p>
      <w:r>
        <w:rPr>
          <w:rStyle w:val="Accentuation"/>
        </w:rPr>
        <w:t>PFU</w:t>
      </w:r>
      <w:r>
        <w:t xml:space="preserve"> méthode pour mesurer la quantité de molécules virales. Lors d’expériences, les quantités virales utilisées sont définies autour de celle qui conduit à un taux de mortalité de </w:t>
      </w:r>
      <w:r>
        <w:t>50%</w:t>
      </w:r>
      <w:r>
        <w:t xml:space="preserve">. </w:t>
      </w:r>
    </w:p>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9.8pt;height:22.8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29C84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2"/>
  </w:num>
  <w:num w:numId="3">
    <w:abstractNumId w:val="15"/>
  </w:num>
  <w:num w:numId="4">
    <w:abstractNumId w:val="3"/>
  </w:num>
  <w:num w:numId="5">
    <w:abstractNumId w:val="12"/>
  </w:num>
  <w:num w:numId="6">
    <w:abstractNumId w:val="10"/>
  </w:num>
  <w:num w:numId="7">
    <w:abstractNumId w:val="16"/>
  </w:num>
  <w:num w:numId="8">
    <w:abstractNumId w:val="27"/>
  </w:num>
  <w:num w:numId="9">
    <w:abstractNumId w:val="35"/>
  </w:num>
  <w:num w:numId="10">
    <w:abstractNumId w:val="19"/>
  </w:num>
  <w:num w:numId="11">
    <w:abstractNumId w:val="22"/>
  </w:num>
  <w:num w:numId="12">
    <w:abstractNumId w:val="5"/>
  </w:num>
  <w:num w:numId="13">
    <w:abstractNumId w:val="39"/>
  </w:num>
  <w:num w:numId="14">
    <w:abstractNumId w:val="25"/>
  </w:num>
  <w:num w:numId="15">
    <w:abstractNumId w:val="30"/>
  </w:num>
  <w:num w:numId="16">
    <w:abstractNumId w:val="42"/>
  </w:num>
  <w:num w:numId="17">
    <w:abstractNumId w:val="6"/>
  </w:num>
  <w:num w:numId="18">
    <w:abstractNumId w:val="11"/>
  </w:num>
  <w:num w:numId="19">
    <w:abstractNumId w:val="29"/>
  </w:num>
  <w:num w:numId="20">
    <w:abstractNumId w:val="38"/>
  </w:num>
  <w:num w:numId="21">
    <w:abstractNumId w:val="24"/>
  </w:num>
  <w:num w:numId="22">
    <w:abstractNumId w:val="31"/>
  </w:num>
  <w:num w:numId="23">
    <w:abstractNumId w:val="45"/>
  </w:num>
  <w:num w:numId="24">
    <w:abstractNumId w:val="41"/>
  </w:num>
  <w:num w:numId="25">
    <w:abstractNumId w:val="44"/>
  </w:num>
  <w:num w:numId="26">
    <w:abstractNumId w:val="8"/>
  </w:num>
  <w:num w:numId="27">
    <w:abstractNumId w:val="2"/>
  </w:num>
  <w:num w:numId="28">
    <w:abstractNumId w:val="36"/>
  </w:num>
  <w:num w:numId="29">
    <w:abstractNumId w:val="17"/>
  </w:num>
  <w:num w:numId="30">
    <w:abstractNumId w:val="40"/>
  </w:num>
  <w:num w:numId="31">
    <w:abstractNumId w:val="28"/>
  </w:num>
  <w:num w:numId="32">
    <w:abstractNumId w:val="4"/>
  </w:num>
  <w:num w:numId="33">
    <w:abstractNumId w:val="37"/>
  </w:num>
  <w:num w:numId="34">
    <w:abstractNumId w:val="14"/>
  </w:num>
  <w:num w:numId="35">
    <w:abstractNumId w:val="33"/>
  </w:num>
  <w:num w:numId="36">
    <w:abstractNumId w:val="43"/>
  </w:num>
  <w:num w:numId="37">
    <w:abstractNumId w:val="18"/>
  </w:num>
  <w:num w:numId="38">
    <w:abstractNumId w:val="0"/>
  </w:num>
  <w:num w:numId="39">
    <w:abstractNumId w:val="46"/>
  </w:num>
  <w:num w:numId="40">
    <w:abstractNumId w:val="23"/>
  </w:num>
  <w:num w:numId="41">
    <w:abstractNumId w:val="21"/>
  </w:num>
  <w:num w:numId="42">
    <w:abstractNumId w:val="13"/>
  </w:num>
  <w:num w:numId="43">
    <w:abstractNumId w:val="1"/>
  </w:num>
  <w:num w:numId="44">
    <w:abstractNumId w:val="20"/>
  </w:num>
  <w:num w:numId="45">
    <w:abstractNumId w:val="7"/>
  </w:num>
  <w:num w:numId="46">
    <w:abstractNumId w:val="26"/>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2615</Words>
  <Characters>14385</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2021-06-15T04:50:00Z</dcterms:created>
  <dcterms:modified xsi:type="dcterms:W3CDTF">2021-11-25T09:48:00Z</dcterms:modified>
</cp:coreProperties>
</file>