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r>
        <w:rPr>
          <w:u w:val="single"/>
        </w:rPr>
        <w:t>Rmq :</w:t>
      </w:r>
      <w:r>
        <w:t xml:space="preserve"> L’immunité adaptative ne se déclenche que lorsque l’infection a atteint une valeur seuil.</w:t>
      </w:r>
    </w:p>
    <w:p>
      <w:pPr>
        <w:pStyle w:val="Titre1"/>
      </w:pPr>
      <w:r>
        <w:t>Le système inné</w:t>
      </w:r>
    </w:p>
    <w:p>
      <w:r>
        <w:t>L’immunité inné résulte de l’apprentissage génétique de la lutte contre les organismes infectieux. Elle a été transmise et enrichie au cours de l’évolution. Les cellules identifient les pathogènes par leurs caractéristiques. Par exemple, :</w:t>
      </w:r>
    </w:p>
    <w:p>
      <w:pPr>
        <w:pStyle w:val="Paragraphedeliste"/>
        <w:numPr>
          <w:ilvl w:val="0"/>
          <w:numId w:val="12"/>
        </w:numPr>
      </w:pPr>
      <w:r>
        <w:t>Les bactéries sont reconnues à cause des lipopolysaccharides (LPS) qui constituent leur membrane plasmique.</w:t>
      </w:r>
    </w:p>
    <w:p>
      <w:pPr>
        <w:pStyle w:val="Paragraphedeliste"/>
        <w:numPr>
          <w:ilvl w:val="0"/>
          <w:numId w:val="12"/>
        </w:numPr>
      </w:pPr>
      <w:r>
        <w:t>Les virus à cause de leur ARN double brin.</w:t>
      </w:r>
    </w:p>
    <w:p>
      <w:pPr>
        <w:pStyle w:val="Paragraphedeliste"/>
        <w:numPr>
          <w:ilvl w:val="0"/>
          <w:numId w:val="12"/>
        </w:numPr>
      </w:pPr>
      <w:r>
        <w:t>Les champignons par leur paroi de chitine.</w:t>
      </w:r>
    </w:p>
    <w:p>
      <w:r>
        <w:t xml:space="preserve">Le système immunitaire inné est incarné par les myélocytes. </w:t>
      </w:r>
    </w:p>
    <w:p>
      <w:r>
        <w:rPr>
          <w:u w:val="single"/>
        </w:rPr>
        <w:t>Rmq :</w:t>
      </w:r>
      <w:r>
        <w:t xml:space="preserve"> les macrophages sont également responsables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Monocytes</w:t>
            </w:r>
          </w:p>
          <w:p>
            <w:r>
              <w:t>Éosinophiles</w:t>
            </w:r>
          </w:p>
          <w:p>
            <w:r>
              <w:t>Neutrophiles</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d’infections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 le circuit vasculaire.</w:t>
      </w:r>
    </w:p>
    <w:p>
      <w:r>
        <w:t>La réaction immunitaire se déclenche généralement lorsque du franchissement de la barrière épithéliale.</w:t>
      </w:r>
    </w:p>
    <w:p>
      <w:pPr>
        <w:pStyle w:val="Paragraphedeliste"/>
        <w:numPr>
          <w:ilvl w:val="0"/>
          <w:numId w:val="1"/>
        </w:numPr>
      </w:pPr>
      <w:r>
        <w:t>Les cellules résidentes reconnaissent la présence de pathogènes grâce à leurs récepteurs (PRR).</w:t>
      </w:r>
    </w:p>
    <w:p>
      <w:pPr>
        <w:pStyle w:val="Paragraphedeliste"/>
        <w:numPr>
          <w:ilvl w:val="0"/>
          <w:numId w:val="1"/>
        </w:numPr>
      </w:pPr>
      <w:r>
        <w:t>Libération de molécules par les :</w:t>
      </w:r>
    </w:p>
    <w:p>
      <w:pPr>
        <w:pStyle w:val="Paragraphedeliste"/>
        <w:numPr>
          <w:ilvl w:val="1"/>
          <w:numId w:val="1"/>
        </w:numPr>
      </w:pPr>
      <w:r>
        <w:t xml:space="preserve">Mastocytes libèrent de l’histamine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1"/>
        </w:numPr>
      </w:pPr>
      <w:r>
        <w:t>Macrophages et cellules dendritiques libèrent des cytokines et des chimiokines qui attirent les leucocytes.</w:t>
      </w:r>
    </w:p>
    <w:p>
      <w:pPr>
        <w:pStyle w:val="Paragraphedeliste"/>
        <w:numPr>
          <w:ilvl w:val="0"/>
          <w:numId w:val="1"/>
        </w:numPr>
      </w:pPr>
      <w:r>
        <w:lastRenderedPageBreak/>
        <w:t>La vasodilations permet aux leucocytes de traverser la paroi et d’aller sur le site d’infecté. C’est ce que l’on appelle la réaction inflammatoire.</w:t>
      </w:r>
    </w:p>
    <w:p>
      <w:r>
        <w:rPr>
          <w:rStyle w:val="Accentuation"/>
        </w:rPr>
        <w:t>Diapédèse</w:t>
      </w:r>
      <w:r>
        <w:t xml:space="preserve"> mécanisme de franchissement de la barrière endothéliale par les leucocytes. </w:t>
      </w:r>
    </w:p>
    <w:p>
      <w:r>
        <w:rPr>
          <w:rStyle w:val="Accentuation"/>
        </w:rPr>
        <w:t>Chimiotactisme</w:t>
      </w:r>
      <w:r>
        <w:t xml:space="preserve"> phénomène d’attraction des phagocytes par différentes molécules dont les chimiokines.</w:t>
      </w:r>
    </w:p>
    <w:p>
      <w:pPr>
        <w:pStyle w:val="Titre2"/>
      </w:pPr>
      <w:r>
        <w:t>Résistance des pathogènes au système immunitaire inné</w:t>
      </w:r>
    </w:p>
    <w:p>
      <w:r>
        <w:t>Certains pathogènes ont développés des résistances au système immunitaire inné :</w:t>
      </w:r>
    </w:p>
    <w:p>
      <w:pPr>
        <w:pStyle w:val="Paragraphedeliste"/>
        <w:numPr>
          <w:ilvl w:val="0"/>
          <w:numId w:val="4"/>
        </w:numPr>
      </w:pPr>
      <w:r>
        <w:t>Certaines bactéries sont entourées d’une capsule qui empêchent la reconnaissance.</w:t>
      </w:r>
    </w:p>
    <w:p>
      <w:pPr>
        <w:pStyle w:val="Paragraphedeliste"/>
        <w:numPr>
          <w:ilvl w:val="0"/>
          <w:numId w:val="4"/>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11"/>
        </w:numPr>
      </w:pPr>
      <w:r>
        <w:t>Reconnaissance</w:t>
      </w:r>
    </w:p>
    <w:p>
      <w:pPr>
        <w:pStyle w:val="Paragraphedeliste"/>
        <w:numPr>
          <w:ilvl w:val="0"/>
          <w:numId w:val="11"/>
        </w:numPr>
      </w:pPr>
      <w:r>
        <w:t>Induction de la phagocytose</w:t>
      </w:r>
    </w:p>
    <w:p>
      <w:pPr>
        <w:pStyle w:val="Paragraphedeliste"/>
        <w:numPr>
          <w:ilvl w:val="0"/>
          <w:numId w:val="11"/>
        </w:numPr>
      </w:pPr>
      <w:r>
        <w:t>Dégradation</w:t>
      </w:r>
    </w:p>
    <w:p>
      <w:pPr>
        <w:pStyle w:val="Paragraphedeliste"/>
        <w:numPr>
          <w:ilvl w:val="0"/>
          <w:numId w:val="11"/>
        </w:numPr>
      </w:pPr>
      <w:r>
        <w:t>Rejet des déchets dans le milieu extracellulaire.</w:t>
      </w:r>
    </w:p>
    <w:p>
      <w:pPr>
        <w:pStyle w:val="Titre3"/>
      </w:pPr>
      <w:r>
        <w:t>Détection de l’activité anormale</w:t>
      </w:r>
    </w:p>
    <w:p>
      <w:r>
        <w:t xml:space="preserve">Les cellules de l’immunité inné s’activent ou augmentent leur activité lorsqu’elles détectent des : </w:t>
      </w:r>
    </w:p>
    <w:p>
      <w:pPr>
        <w:pStyle w:val="Paragraphedeliste"/>
        <w:numPr>
          <w:ilvl w:val="0"/>
          <w:numId w:val="13"/>
        </w:numPr>
      </w:pPr>
      <w:r>
        <w:t>Motifs moléculaires associés aux pathogènes (PAMP)</w:t>
      </w:r>
    </w:p>
    <w:p>
      <w:pPr>
        <w:pStyle w:val="Paragraphedeliste"/>
        <w:numPr>
          <w:ilvl w:val="0"/>
          <w:numId w:val="13"/>
        </w:numPr>
      </w:pPr>
      <w:r>
        <w:t xml:space="preserve">Motifs moléculaires associés aux dégâts cellulaires (DAMP). Lorsqu’une cellule est endommagée, certaines molécules présentes uniquement dans le milieu intracellulaire peuvent se </w:t>
      </w:r>
      <w:r>
        <w:t>retrouver dans le milieu extracellulaire, par exemple l’ATP, urée, actine.</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dans la membrane plasmique.</w:t>
      </w:r>
    </w:p>
    <w:p>
      <w:r>
        <w:t>La présentation de l’antigène aux lymphocytes a lieu dans le système lymphatique par l’intermédiaire des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récepteurs. Il entre alors dans une phase de clonage. Les lymphocytes produits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 (plasmocytes)</w:t>
            </w:r>
          </w:p>
        </w:tc>
        <w:tc>
          <w:tcPr>
            <w:tcW w:w="3668" w:type="dxa"/>
          </w:tcPr>
          <w:p>
            <w:r>
              <w:t>Des cellules mémoires</w:t>
            </w:r>
          </w:p>
        </w:tc>
      </w:tr>
    </w:tbl>
    <w:p>
      <w:r>
        <w:rPr>
          <w:rStyle w:val="Accentuation"/>
        </w:rPr>
        <w:t>Cellules effectrices</w:t>
      </w:r>
      <w:r>
        <w:t xml:space="preserve"> cellules qui combattent l’antigène.</w:t>
      </w:r>
    </w:p>
    <w:p>
      <w:r>
        <w:t>Cette phase de multiplication permet de donner naissance d’un lymphocyte B  à la présence de 1 à 10</w:t>
      </w:r>
      <w:r>
        <w:rPr>
          <w:vertAlign w:val="superscript"/>
        </w:rPr>
        <w:t>5</w:t>
      </w:r>
      <w:r>
        <w:t> à 10</w:t>
      </w:r>
      <w:r>
        <w:rPr>
          <w:vertAlign w:val="superscript"/>
        </w:rPr>
        <w:t>6</w:t>
      </w:r>
      <w:r>
        <w:t>. </w:t>
      </w:r>
      <w:r>
        <w:br/>
      </w:r>
      <w:r>
        <w:rPr>
          <w:rStyle w:val="Accentuation"/>
        </w:rPr>
        <w:t>Amplification clonale</w:t>
      </w:r>
      <w:r>
        <w:t xml:space="preserve"> </w:t>
      </w:r>
      <w:r>
        <w:t xml:space="preserve">processus de réplication </w:t>
      </w:r>
      <w:r>
        <w:t>des lymphocytes à la suite de leur activation.</w:t>
      </w:r>
    </w:p>
    <w:p>
      <w:r>
        <w:t>Les cellules mémoires persistent longtemps dans l’organisme. 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 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 Ils vivent entre trois et cinq jours. </w:t>
      </w:r>
    </w:p>
    <w:p>
      <w:r>
        <w:t>Les anticorps se lient aux pathogènes pour permettre de :</w:t>
      </w:r>
    </w:p>
    <w:p>
      <w:pPr>
        <w:pStyle w:val="Paragraphedeliste"/>
        <w:numPr>
          <w:ilvl w:val="0"/>
          <w:numId w:val="8"/>
        </w:numPr>
      </w:pPr>
      <w:r>
        <w:t>Favoriser la reconnaissance des pathogènes.</w:t>
      </w:r>
    </w:p>
    <w:p>
      <w:pPr>
        <w:pStyle w:val="Paragraphedeliste"/>
        <w:numPr>
          <w:ilvl w:val="0"/>
          <w:numId w:val="8"/>
        </w:numPr>
      </w:pPr>
      <w:r>
        <w:lastRenderedPageBreak/>
        <w:t>Aider à contenir les pathogènes en les agglomérant (opsonisation). Chaque recepteur est capable de se lier à de deux antigènes.</w:t>
      </w:r>
    </w:p>
    <w:p>
      <w:pPr>
        <w:pStyle w:val="Paragraphedeliste"/>
        <w:numPr>
          <w:ilvl w:val="0"/>
          <w:numId w:val="8"/>
        </w:numPr>
      </w:pPr>
      <w:r>
        <w:t>Neutraliser les pathogènes. Ils empêchent les pathogènes (comme les virus) de rentrer dans une cellule hôte.</w:t>
      </w:r>
    </w:p>
    <w:p>
      <w:pPr>
        <w:pStyle w:val="Paragraphedeliste"/>
        <w:numPr>
          <w:ilvl w:val="0"/>
          <w:numId w:val="8"/>
        </w:numPr>
      </w:pPr>
      <w:r>
        <w:t>Provoquer la destruction du pathogène grâce à l’association de protéines (ce processus est appelé système du complément). Certaines protéines viennent s’associer aux anticorps pour former un complexe d’attaque membranaire qui perse la membrane du pathogène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7"/>
        </w:numPr>
      </w:pPr>
      <w:r>
        <w:t>2 sont dites lourdes. Elles sont ancrées à la membrane plasmique.</w:t>
      </w:r>
    </w:p>
    <w:p>
      <w:pPr>
        <w:pStyle w:val="Paragraphedeliste"/>
        <w:numPr>
          <w:ilvl w:val="0"/>
          <w:numId w:val="7"/>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immunoglobulines.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p>
        </w:tc>
        <w:tc>
          <w:tcPr>
            <w:tcW w:w="3668" w:type="dxa"/>
          </w:tcPr>
          <w:p>
            <w:r>
              <w:t>LT cytotoxique ou LT CD</w:t>
            </w:r>
            <w:r>
              <w:rPr>
                <w:vertAlign w:val="subscript"/>
              </w:rPr>
              <w:t>8</w:t>
            </w:r>
          </w:p>
        </w:tc>
      </w:tr>
    </w:tbl>
    <w:p>
      <w:pPr>
        <w:pStyle w:val="Titre3"/>
      </w:pPr>
      <w:r>
        <w:t>Les LT auxiliaires</w:t>
      </w:r>
    </w:p>
    <w:p>
      <w:r>
        <w:t xml:space="preserve">Lorsqu’ils sont activés, les LT auxiliaires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cytotoxiques et les plasmocytes (LB effectrices).</w:t>
      </w:r>
    </w:p>
    <w:p>
      <w:pPr>
        <w:rPr>
          <w:highlight w:val="yellow"/>
        </w:rPr>
      </w:pPr>
      <w:r>
        <w:rPr>
          <w:highlight w:val="yellow"/>
        </w:rPr>
        <w:t xml:space="preserve">Activation des macrophages </w:t>
      </w:r>
    </w:p>
    <w:p>
      <w:pPr>
        <w:rPr>
          <w:highlight w:val="yellow"/>
        </w:rPr>
      </w:pPr>
      <w:r>
        <w:rPr>
          <w:highlight w:val="yellow"/>
        </w:rPr>
        <w:t>Activation des LB</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lastRenderedPageBreak/>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t>La structure des récepteurs des lymphocytes T (TCR)</w:t>
      </w:r>
    </w:p>
    <w:p>
      <w:r>
        <w:t>Les récepteurs des lymphocytes T sont constitués de deux chaines peptidiques alpha et beta.</w:t>
      </w:r>
    </w:p>
    <w:p>
      <w:r>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 sur ses récepteurs TCR un peptide antigénique.</w:t>
      </w:r>
    </w:p>
    <w:p>
      <w:pPr>
        <w:pStyle w:val="Paragraphedeliste"/>
        <w:numPr>
          <w:ilvl w:val="0"/>
          <w:numId w:val="10"/>
        </w:numPr>
      </w:pPr>
      <w:r>
        <w:t>Le LT vérifie l’intégrité des cellules en se liant par les TCR aux CMD de ces dernières.</w:t>
      </w:r>
    </w:p>
    <w:p>
      <w:pPr>
        <w:pStyle w:val="Paragraphedeliste"/>
        <w:numPr>
          <w:ilvl w:val="0"/>
          <w:numId w:val="10"/>
        </w:numPr>
      </w:pPr>
      <w:r>
        <w:t>Vérification de la présence d’antigène à l’intérieur de la cellule.</w:t>
      </w:r>
    </w:p>
    <w:p>
      <w:pPr>
        <w:pStyle w:val="Paragraphedeliste"/>
        <w:numPr>
          <w:ilvl w:val="0"/>
          <w:numId w:val="10"/>
        </w:numPr>
      </w:pPr>
      <w:r>
        <w:t>Si la présence a été trouvée. Le LT déclenche une voie métabolique dans la cellule amarrée qui conduit à son apoptose.</w:t>
      </w:r>
    </w:p>
    <w:p>
      <w:r>
        <w:t xml:space="preserve">Des voies métaboliques peuvent être déclenchées dans les LT par la réponse à trois types de signal : </w:t>
      </w:r>
    </w:p>
    <w:p>
      <w:pPr>
        <w:pStyle w:val="Paragraphedeliste"/>
        <w:numPr>
          <w:ilvl w:val="0"/>
          <w:numId w:val="9"/>
        </w:numPr>
      </w:pPr>
      <w:r>
        <w:t>Un antigène : le lymphocyte T devient actif.</w:t>
      </w:r>
    </w:p>
    <w:p>
      <w:pPr>
        <w:pStyle w:val="Paragraphedeliste"/>
        <w:numPr>
          <w:ilvl w:val="0"/>
          <w:numId w:val="9"/>
        </w:numPr>
      </w:pPr>
      <w:r>
        <w:t xml:space="preserve">Une molécule de co-stimulation (uniquement pour les LT matures) : </w:t>
      </w:r>
      <w:r>
        <w:rPr>
          <w:highlight w:val="yellow"/>
        </w:rPr>
        <w:t>provoquer stimule la production du LT ou l’inhibe. Point de contrôle ?</w:t>
      </w:r>
    </w:p>
    <w:p>
      <w:pPr>
        <w:pStyle w:val="Paragraphedeliste"/>
        <w:numPr>
          <w:ilvl w:val="0"/>
          <w:numId w:val="9"/>
        </w:numPr>
      </w:pPr>
      <w:r>
        <w:t>Des molécules de type cytokines sécrétées par les cellules dendritiques. Le lymphocyte T devient alors :</w:t>
      </w:r>
    </w:p>
    <w:p>
      <w:pPr>
        <w:pStyle w:val="Paragraphedeliste"/>
        <w:numPr>
          <w:ilvl w:val="1"/>
          <w:numId w:val="9"/>
        </w:numPr>
      </w:pPr>
      <w:r>
        <w:t>LT</w:t>
      </w:r>
      <w:r>
        <w:rPr>
          <w:vertAlign w:val="subscript"/>
        </w:rPr>
        <w:t xml:space="preserve">4 </w:t>
      </w:r>
      <w:r>
        <w:t>1 en réponse à l’interleukine 12 (noté Il-12) qui activeront les macrophages.</w:t>
      </w:r>
    </w:p>
    <w:p>
      <w:pPr>
        <w:pStyle w:val="Paragraphedeliste"/>
        <w:numPr>
          <w:ilvl w:val="1"/>
          <w:numId w:val="9"/>
        </w:numPr>
      </w:pPr>
      <w:r>
        <w:t>LT</w:t>
      </w:r>
      <w:r>
        <w:rPr>
          <w:vertAlign w:val="subscript"/>
        </w:rPr>
        <w:t xml:space="preserve">4 </w:t>
      </w:r>
      <w:r>
        <w:t>2 en réponse à Il-4 qui activeront les LB.</w:t>
      </w:r>
    </w:p>
    <w:p>
      <w:pPr>
        <w:pStyle w:val="Paragraphedeliste"/>
        <w:numPr>
          <w:ilvl w:val="1"/>
          <w:numId w:val="9"/>
        </w:numPr>
      </w:pPr>
      <w:r>
        <w:t>LT</w:t>
      </w:r>
      <w:r>
        <w:rPr>
          <w:vertAlign w:val="subscript"/>
        </w:rPr>
        <w:t xml:space="preserve"> </w:t>
      </w:r>
      <w:r>
        <w:t>régulateur en réponse à Tumor Growth Factor noté TGF qui inhibe la réponse immunitaire.</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w:t>
      </w:r>
      <w:r>
        <w:lastRenderedPageBreak/>
        <w:t>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t>C’est parce que les cellules cancéreuses ne sont pas reconnues comme un corps étranger qu’elles ne sont pas détruites par l’organisme et qu’elles peuvent proliférer.</w:t>
      </w:r>
    </w:p>
    <w:p>
      <w:pPr>
        <w:pStyle w:val="Titre3"/>
      </w:pPr>
      <w:r>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t>Cette deuxième étape de la tolérance permet d’éliminer les 30% restant de lymphocytes auto réactifs. A la reconnaissance de l’autoantigène, les lymphocytes sont inactivés définitivement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
        </w:numPr>
      </w:pPr>
      <w:r>
        <w:t>Xénobiotiques : U.V, cigarette…</w:t>
      </w:r>
    </w:p>
    <w:p>
      <w:pPr>
        <w:pStyle w:val="Paragraphedeliste"/>
        <w:numPr>
          <w:ilvl w:val="0"/>
          <w:numId w:val="3"/>
        </w:numPr>
      </w:pPr>
      <w:r>
        <w:t>Les pathogènes.</w:t>
      </w:r>
    </w:p>
    <w:p>
      <w:pPr>
        <w:pStyle w:val="Titre3"/>
      </w:pPr>
      <w:r>
        <w:t xml:space="preserve">Les pathogènes </w:t>
      </w:r>
    </w:p>
    <w:p>
      <w:r>
        <w:t>Paradoxalement, certaines pathogènes peuvent avoir pour effet de :</w:t>
      </w:r>
    </w:p>
    <w:p>
      <w:pPr>
        <w:pStyle w:val="Paragraphedeliste"/>
        <w:numPr>
          <w:ilvl w:val="0"/>
          <w:numId w:val="5"/>
        </w:numPr>
      </w:pPr>
      <w:r>
        <w:t>Protéger : Une exposition insuffisante durant l’enfance à des agents infectieux favoriserait le développement de maladies auto-immunes et allergiques.</w:t>
      </w:r>
    </w:p>
    <w:p>
      <w:pPr>
        <w:pStyle w:val="Paragraphedeliste"/>
        <w:numPr>
          <w:ilvl w:val="0"/>
          <w:numId w:val="5"/>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lastRenderedPageBreak/>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par l’utilisation de :</w:t>
      </w:r>
    </w:p>
    <w:p>
      <w:pPr>
        <w:pStyle w:val="Paragraphedeliste"/>
        <w:numPr>
          <w:ilvl w:val="0"/>
          <w:numId w:val="6"/>
        </w:numPr>
      </w:pPr>
      <w:r>
        <w:t>anti-inflammatoire qui vont agire sur la production de cytokine.</w:t>
      </w:r>
    </w:p>
    <w:p>
      <w:pPr>
        <w:pStyle w:val="Paragraphedeliste"/>
        <w:numPr>
          <w:ilvl w:val="0"/>
          <w:numId w:val="6"/>
        </w:numPr>
      </w:pPr>
      <w:r>
        <w:t>anticorps thérapeutiques qui bloque les récepteurs.  la production de cytokine au niveau des lymphocytes naïfs. La prolifération des lymphocytes est alors bloqués.</w:t>
      </w:r>
    </w:p>
    <w:p>
      <w:pPr>
        <w:pStyle w:val="Paragraphedeliste"/>
        <w:numPr>
          <w:ilvl w:val="0"/>
          <w:numId w:val="6"/>
        </w:numPr>
      </w:pPr>
      <w:r>
        <w:t>immunodépresseur qui bloque la production de lymphocytes.</w:t>
      </w:r>
    </w:p>
    <w:p>
      <w:pPr>
        <w:pStyle w:val="Titre2"/>
      </w:pPr>
      <w:r>
        <w:t>Le cas des greffes</w:t>
      </w:r>
    </w:p>
    <w:p>
      <w:r>
        <w:t xml:space="preserve">Il existe 3 types de greffes : </w:t>
      </w:r>
    </w:p>
    <w:p>
      <w:pPr>
        <w:pStyle w:val="Paragraphedeliste"/>
        <w:numPr>
          <w:ilvl w:val="0"/>
          <w:numId w:val="2"/>
        </w:numPr>
      </w:pPr>
      <w:r>
        <w:t>Autogreffe (donneur et receveur sont la même personne)</w:t>
      </w:r>
    </w:p>
    <w:p>
      <w:pPr>
        <w:pStyle w:val="Paragraphedeliste"/>
        <w:numPr>
          <w:ilvl w:val="0"/>
          <w:numId w:val="2"/>
        </w:numPr>
      </w:pPr>
      <w:r>
        <w:t>Allogreffe (donneur et receveur sont de la même espèce)</w:t>
      </w:r>
    </w:p>
    <w:p>
      <w:pPr>
        <w:pStyle w:val="Paragraphedeliste"/>
        <w:numPr>
          <w:ilvl w:val="0"/>
          <w:numId w:val="2"/>
        </w:numPr>
      </w:pPr>
      <w:r>
        <w:t>Xénogreffe (donneur et receveur appartiennent à des espèces différentes).</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Pr>
        <w:pStyle w:val="Titre2"/>
      </w:pPr>
      <w:r>
        <w:t>Méthodes d’étude du rôle d’un type cellulaire</w:t>
      </w:r>
    </w:p>
    <w:p>
      <w:r>
        <w:t>Pour déterminer le rôle d’un type cellulaire, on détruit le type cellulaire étudié. Il existe deux méthodes, l’utilisation :</w:t>
      </w:r>
    </w:p>
    <w:p>
      <w:pPr>
        <w:pStyle w:val="Paragraphedeliste"/>
        <w:numPr>
          <w:ilvl w:val="0"/>
          <w:numId w:val="14"/>
        </w:numPr>
      </w:pPr>
      <w:r>
        <w:t>D’animaux dont l’expression des gènes qui fabriquent le type cellulaire étudié ont été bloqué.</w:t>
      </w:r>
    </w:p>
    <w:p>
      <w:pPr>
        <w:pStyle w:val="Paragraphedeliste"/>
        <w:numPr>
          <w:ilvl w:val="0"/>
          <w:numId w:val="14"/>
        </w:numPr>
      </w:pPr>
      <w:r>
        <w:t>La filtration par l’utilisation d’antigènes qui cible des récepteurs membranaires spécifiques de la cellule étudiée. Cette méthode peut être réalisé soit.</w:t>
      </w:r>
    </w:p>
    <w:tbl>
      <w:tblPr>
        <w:tblStyle w:val="Grilledetableauclaire"/>
        <w:tblW w:w="0" w:type="auto"/>
        <w:tblInd w:w="720" w:type="dxa"/>
        <w:tblLook w:val="0400" w:firstRow="0" w:lastRow="0" w:firstColumn="0" w:lastColumn="0" w:noHBand="0" w:noVBand="1"/>
      </w:tblPr>
      <w:tblGrid>
        <w:gridCol w:w="3307"/>
        <w:gridCol w:w="3308"/>
      </w:tblGrid>
      <w:tr>
        <w:tc>
          <w:tcPr>
            <w:tcW w:w="3667" w:type="dxa"/>
          </w:tcPr>
          <w:p>
            <w:pPr>
              <w:pStyle w:val="Paragraphedeliste"/>
              <w:ind w:left="0"/>
            </w:pPr>
            <w:r>
              <w:t>À l’intérieur de l’organisme. La fixation des anticorps conduit à la mort cellulaire.</w:t>
            </w:r>
          </w:p>
        </w:tc>
        <w:tc>
          <w:tcPr>
            <w:tcW w:w="3668" w:type="dxa"/>
          </w:tcPr>
          <w:p>
            <w:pPr>
              <w:pStyle w:val="Paragraphedeliste"/>
              <w:ind w:left="0"/>
            </w:pPr>
            <w:r>
              <w:t>À l’extérieur de l’organisme. Les cellules sont filtrées par exemple par l’ajout d’aimant aux anticorps.</w:t>
            </w:r>
          </w:p>
        </w:tc>
      </w:tr>
    </w:tbl>
    <w:p>
      <w:r>
        <w:rPr>
          <w:rStyle w:val="Accentuation"/>
        </w:rPr>
        <w:t>PFU</w:t>
      </w:r>
      <w:r>
        <w:t xml:space="preserve"> méthode pour mesurer la quantité de molécules virales. Lors d’expériences, les quantités virales utilisées sont définies autour de celle qui conduit à un taux de mortalité de 50%. </w:t>
      </w:r>
    </w:p>
    <w:p>
      <w:r>
        <w:t>L’activation des LB se fait par la présentation d’un antigène par les polynucléaires neutrophiles (un type de leucocytes).</w:t>
      </w:r>
    </w:p>
    <w:p>
      <w:r>
        <w:t>Stimulent en produisant de molécules stimulatrices (IL-4) qui vont conduire à l’augmentation : </w:t>
      </w:r>
    </w:p>
    <w:tbl>
      <w:tblPr>
        <w:tblStyle w:val="Grilledetableauclaire"/>
        <w:tblW w:w="0" w:type="dxa"/>
        <w:tblLook w:val="0400" w:firstRow="0" w:lastRow="0" w:firstColumn="0" w:lastColumn="0" w:noHBand="0" w:noVBand="1"/>
      </w:tblPr>
      <w:tblGrid>
        <w:gridCol w:w="3681"/>
        <w:gridCol w:w="3654"/>
      </w:tblGrid>
      <w:tr>
        <w:tc>
          <w:tcPr>
            <w:tcW w:w="4500" w:type="dxa"/>
            <w:hideMark/>
          </w:tcPr>
          <w:p>
            <w:r>
              <w:t>Nombre de LB </w:t>
            </w:r>
          </w:p>
        </w:tc>
        <w:tc>
          <w:tcPr>
            <w:tcW w:w="4500" w:type="dxa"/>
            <w:hideMark/>
          </w:tcPr>
          <w:p>
            <w:r>
              <w:t>Activité des LB </w:t>
            </w:r>
          </w:p>
        </w:tc>
      </w:tr>
    </w:tbl>
    <w:p>
      <w:pPr>
        <w:pStyle w:val="Titre1"/>
      </w:pPr>
      <w:r>
        <w:lastRenderedPageBreak/>
        <w:t>Complexe majeur d’histocompatibilité (CMH)</w:t>
      </w:r>
    </w:p>
    <w:p>
      <w:r>
        <w:t>Les CMH sont les protéines qui servent à faire la différence entre les cellules du soi et du non-soi. Ils sont uniques entre chaque individu sauf chez les vrais jumeaux.</w:t>
      </w:r>
    </w:p>
    <w:p>
      <w:pPr>
        <w:pStyle w:val="Titre2"/>
      </w:pPr>
      <w:r>
        <w:t>Structure du CMH</w:t>
      </w:r>
    </w:p>
    <w:p>
      <w:r>
        <w:t>Les CMH sont des molécules de présentation antigénique. Il en existe deux types de CMH : </w:t>
      </w:r>
    </w:p>
    <w:p>
      <w:pPr>
        <w:pStyle w:val="Paragraphedeliste"/>
        <w:numPr>
          <w:ilvl w:val="0"/>
          <w:numId w:val="15"/>
        </w:numPr>
      </w:pPr>
      <w:r>
        <w:t>CMH I présent à la surface de toutes les cellules sauf chez quelques types comme les globules rouges. Les chaines peptidiques sont issues de la dégradation de protéines du milieu intracellulaire càd de protéines synthétisées par la cellule.</w:t>
      </w:r>
    </w:p>
    <w:p>
      <w:pPr>
        <w:pStyle w:val="Paragraphedeliste"/>
        <w:numPr>
          <w:ilvl w:val="0"/>
          <w:numId w:val="15"/>
        </w:numPr>
      </w:pPr>
      <w:r>
        <w:t xml:space="preserve">CMH II présent à la surface des cellules immunitaires (cellules dendritiques, lymphocytes, macrophages…). Les chaines peptidiques sont issues de la dégradation de protéines provenant du milieu extracellulaire phagocytées et dégradées. </w:t>
      </w:r>
    </w:p>
    <w:p>
      <w:r>
        <w:rPr>
          <w:u w:val="single"/>
        </w:rPr>
        <w:t>Rmq :</w:t>
      </w:r>
      <w:r>
        <w:t xml:space="preserve"> c’est pour cette raison que les transferts de sang ne produisent pas de réaction de rejet. </w:t>
      </w:r>
    </w:p>
    <w:p>
      <w:r>
        <w:t>Le CMH possède 10 sites de présentation associé à certains séquences peptidiques. Les peptides des CMH résultent de la dégradation des protéines par des immunoprotéosomes.</w:t>
      </w:r>
    </w:p>
    <w:p>
      <w:r>
        <w:t>Le complexe de vérification des CMH des lymphocytes :</w:t>
      </w:r>
    </w:p>
    <w:tbl>
      <w:tblPr>
        <w:tblStyle w:val="Grilledetableauclaire"/>
        <w:tblW w:w="0" w:type="auto"/>
        <w:tblLook w:val="0400" w:firstRow="0" w:lastRow="0" w:firstColumn="0" w:lastColumn="0" w:noHBand="0" w:noVBand="1"/>
      </w:tblPr>
      <w:tblGrid>
        <w:gridCol w:w="3667"/>
        <w:gridCol w:w="3668"/>
      </w:tblGrid>
      <w:tr>
        <w:tc>
          <w:tcPr>
            <w:tcW w:w="3667" w:type="dxa"/>
          </w:tcPr>
          <w:p>
            <w:pPr>
              <w:rPr>
                <w:bCs/>
              </w:rPr>
            </w:pPr>
            <w:r>
              <w:rPr>
                <w:bCs/>
              </w:rPr>
              <w:t>B est le B-cell receptor (BCR).</w:t>
            </w:r>
          </w:p>
        </w:tc>
        <w:tc>
          <w:tcPr>
            <w:tcW w:w="3668" w:type="dxa"/>
          </w:tcPr>
          <w:p>
            <w:pPr>
              <w:rPr>
                <w:bCs/>
              </w:rPr>
            </w:pPr>
            <w:r>
              <w:rPr>
                <w:bCs/>
              </w:rPr>
              <w:t>T est le T-cell receptor (TCR).</w:t>
            </w:r>
          </w:p>
        </w:tc>
      </w:tr>
    </w:tbl>
    <w:p>
      <w:pPr>
        <w:pStyle w:val="Titre2"/>
      </w:pPr>
      <w:r>
        <w:t>Présentation des antigènes et activations des lymphocytes</w:t>
      </w:r>
    </w:p>
    <w:p>
      <w:r>
        <w:t xml:space="preserve">Les CMH servent de lymphocytes T contrôlent les cellules </w:t>
      </w:r>
    </w:p>
    <w:p>
      <w:pPr>
        <w:pStyle w:val="Paragraphedeliste"/>
        <w:numPr>
          <w:ilvl w:val="0"/>
          <w:numId w:val="19"/>
        </w:numPr>
      </w:pPr>
      <w:r>
        <w:t>CMH I sont reconnus par les LT4 équipés des complexes de contrôle de type CD8.</w:t>
      </w:r>
    </w:p>
    <w:p>
      <w:pPr>
        <w:pStyle w:val="Paragraphedeliste"/>
        <w:numPr>
          <w:ilvl w:val="0"/>
          <w:numId w:val="18"/>
        </w:numPr>
      </w:pPr>
      <w:r>
        <w:t>CMH II sont reconnus par les LT équipés de CD4.</w:t>
      </w:r>
    </w:p>
    <w:p>
      <w:pPr>
        <w:pStyle w:val="Titre3"/>
      </w:pPr>
      <w:r>
        <w:t>Les lymphocytes LT4 (CD8)</w:t>
      </w:r>
    </w:p>
    <w:p>
      <w:r>
        <w:t>Les PAMP phagocytés sont présentés sur les CMH II des cellules dendritiques et seront présentés aux lymphocytes. Si un lymphocyte a suffisamment d’affinité avec le CMH II alors il deviendra actif et se mettra à proliférer. Une partie de ses descendants ira combattre l’infection. </w:t>
      </w:r>
    </w:p>
    <w:p>
      <w:pPr>
        <w:pStyle w:val="Titre2"/>
      </w:pPr>
      <w:r>
        <w:t xml:space="preserve">Combat de l’infection par les lymphocytes </w:t>
      </w:r>
    </w:p>
    <w:p>
      <w:r>
        <w:t>Lorsqu’une cellule est infectée ou qu’elle devient tumorale son métabolisme est modifié. Elle produira des protéines non habituelles qui lorsqu’elles seront dégradées et apparaitront à la surface des CMH. Ils serviront de marques, de repères qui la signaleront comme ayant une activité anormale et permettront aux lymphocytes effectrices d’identifier la cellule et la détruire. </w:t>
      </w:r>
    </w:p>
    <w:p>
      <w:r>
        <w:t>Il existe trois situations qui permettent aux cellules malades d’échapper à leur reconnaissance par les lymphocytes T :</w:t>
      </w:r>
    </w:p>
    <w:p>
      <w:pPr>
        <w:pStyle w:val="Paragraphedeliste"/>
        <w:numPr>
          <w:ilvl w:val="0"/>
          <w:numId w:val="16"/>
        </w:numPr>
      </w:pPr>
      <w:r>
        <w:t xml:space="preserve">Isolement des CMH dans la cellule. </w:t>
      </w:r>
    </w:p>
    <w:p>
      <w:pPr>
        <w:pStyle w:val="Paragraphedeliste"/>
        <w:numPr>
          <w:ilvl w:val="0"/>
          <w:numId w:val="16"/>
        </w:numPr>
      </w:pPr>
      <w:r>
        <w:t>L’inactivation des CMH.</w:t>
      </w:r>
    </w:p>
    <w:p>
      <w:pPr>
        <w:pStyle w:val="Paragraphedeliste"/>
        <w:numPr>
          <w:ilvl w:val="0"/>
          <w:numId w:val="16"/>
        </w:numPr>
      </w:pPr>
      <w:r>
        <w:t>Lors de l’appareillage du CMH avec un lymphocyte, la cellule produit des molécules qui inhibent l’activité des lymphocytes.</w:t>
      </w:r>
    </w:p>
    <w:p>
      <w:pPr>
        <w:pStyle w:val="Titre2"/>
      </w:pPr>
      <w:r>
        <w:t>Tolérance centrale</w:t>
      </w:r>
    </w:p>
    <w:p>
      <w:r>
        <w:t>La fixation entre les BC et les CMH est graduelle. On parle de degré d’affinité entre les deux protéines. Lors d’une infection, le degré d’affinité entre le complexe de vérification et les lymphocytes augmentent au cours du temps par la provocations de mutations dans la séquence qui codent pour les parties variables des CR des lymphocytes. Si un nouveau lymphocyte apparait par hasard avec un degré d’affinité plus élevé avec l’antigène alors ils se multipliera plus vite et envahira la population de lymphocytes qui combattent l’infection.</w:t>
      </w:r>
    </w:p>
    <w:p>
      <w:r>
        <w:lastRenderedPageBreak/>
        <w:t>La tolérance centrale élimine les lymphocytes qui ont une affinité forte et moyenne au CMH-peptidique du soi soit en :</w:t>
      </w:r>
    </w:p>
    <w:tbl>
      <w:tblPr>
        <w:tblStyle w:val="Grilledetableauclaire"/>
        <w:tblW w:w="0" w:type="auto"/>
        <w:tblLook w:val="0400" w:firstRow="0" w:lastRow="0" w:firstColumn="0" w:lastColumn="0" w:noHBand="0" w:noVBand="1"/>
      </w:tblPr>
      <w:tblGrid>
        <w:gridCol w:w="4673"/>
        <w:gridCol w:w="2662"/>
      </w:tblGrid>
      <w:tr>
        <w:tc>
          <w:tcPr>
            <w:tcW w:w="4673" w:type="dxa"/>
          </w:tcPr>
          <w:p>
            <w:r>
              <w:t>Provoquant la mort du lymphocyte notamment pour les lymphocytes ayant une très forte affinité avec le soi.</w:t>
            </w:r>
          </w:p>
        </w:tc>
        <w:tc>
          <w:tcPr>
            <w:tcW w:w="2662" w:type="dxa"/>
          </w:tcPr>
          <w:p>
            <w:r>
              <w:t>Contraignant le lymphocyte a réédité son CR</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7"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3"/>
  </w:num>
  <w:num w:numId="5">
    <w:abstractNumId w:val="18"/>
  </w:num>
  <w:num w:numId="6">
    <w:abstractNumId w:val="7"/>
  </w:num>
  <w:num w:numId="7">
    <w:abstractNumId w:val="0"/>
  </w:num>
  <w:num w:numId="8">
    <w:abstractNumId w:val="9"/>
  </w:num>
  <w:num w:numId="9">
    <w:abstractNumId w:val="5"/>
  </w:num>
  <w:num w:numId="10">
    <w:abstractNumId w:val="1"/>
  </w:num>
  <w:num w:numId="11">
    <w:abstractNumId w:val="8"/>
  </w:num>
  <w:num w:numId="12">
    <w:abstractNumId w:val="3"/>
  </w:num>
  <w:num w:numId="13">
    <w:abstractNumId w:val="10"/>
  </w:num>
  <w:num w:numId="14">
    <w:abstractNumId w:val="4"/>
  </w:num>
  <w:num w:numId="15">
    <w:abstractNumId w:val="11"/>
  </w:num>
  <w:num w:numId="16">
    <w:abstractNumId w:val="16"/>
  </w:num>
  <w:num w:numId="17">
    <w:abstractNumId w:val="2"/>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3151</Words>
  <Characters>17332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2021-02-13T18:38:00Z</cp:lastPrinted>
  <dcterms:created xsi:type="dcterms:W3CDTF">2021-06-15T04:50:00Z</dcterms:created>
  <dcterms:modified xsi:type="dcterms:W3CDTF">2021-12-31T10:40:00Z</dcterms:modified>
</cp:coreProperties>
</file>