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 cytosquelette est formé par trois réseaux (diamètre) :</w:t>
      </w:r>
    </w:p>
    <w:tbl>
      <w:tblPr>
        <w:tblStyle w:val="Grilledetableauclaire"/>
        <w:tblW w:w="5000" w:type="pct"/>
        <w:tblLayout w:type="fixed"/>
        <w:tblLook w:val="0600" w:firstRow="0" w:lastRow="0" w:firstColumn="0" w:lastColumn="0" w:noHBand="1" w:noVBand="1"/>
      </w:tblPr>
      <w:tblGrid>
        <w:gridCol w:w="2445"/>
        <w:gridCol w:w="2445"/>
        <w:gridCol w:w="2445"/>
      </w:tblGrid>
      <w:tr>
        <w:tc>
          <w:tcPr>
            <w:tcW w:w="3005" w:type="dxa"/>
          </w:tcPr>
          <w:p>
            <w:r>
              <w:t>Microtubule (24 nm)</w:t>
            </w:r>
          </w:p>
        </w:tc>
        <w:tc>
          <w:tcPr>
            <w:tcW w:w="3005" w:type="dxa"/>
          </w:tcPr>
          <w:p>
            <w:r>
              <w:t>Filament d’actine (7-9 nm)</w:t>
            </w:r>
          </w:p>
        </w:tc>
        <w:tc>
          <w:tcPr>
            <w:tcW w:w="3005" w:type="dxa"/>
          </w:tcPr>
          <w:p>
            <w:r>
              <w:t>Filament intermédiaire (10 nm)</w:t>
            </w:r>
          </w:p>
        </w:tc>
      </w:tr>
    </w:tbl>
    <w:p>
      <w:pPr>
        <w:pStyle w:val="Titre1"/>
      </w:pPr>
      <w:r>
        <w:t>Les microtubules</w:t>
      </w:r>
    </w:p>
    <w:p>
      <w:r>
        <w:t>Les microtubules sont des tubes consitutés de 13 filaments de polymères de dimère de tubuline.</w:t>
      </w:r>
    </w:p>
    <w:p>
      <w:r>
        <w:t>Chaque hétérodimère est formé par deux sous unités instables, qui s’assemblent spontanément :</w:t>
      </w:r>
    </w:p>
    <w:tbl>
      <w:tblPr>
        <w:tblStyle w:val="Grilledetableauclaire"/>
        <w:tblW w:w="0" w:type="auto"/>
        <w:tblLook w:val="0400" w:firstRow="0" w:lastRow="0" w:firstColumn="0" w:lastColumn="0" w:noHBand="0" w:noVBand="1"/>
      </w:tblPr>
      <w:tblGrid>
        <w:gridCol w:w="3667"/>
        <w:gridCol w:w="3668"/>
      </w:tblGrid>
      <w:tr>
        <w:trPr>
          <w:trHeight w:val="97"/>
        </w:trPr>
        <w:tc>
          <w:tcPr>
            <w:tcW w:w="3667" w:type="dxa"/>
          </w:tcPr>
          <w:p>
            <w:r>
              <w:t xml:space="preserve">Alpha </w:t>
            </w:r>
          </w:p>
        </w:tc>
        <w:tc>
          <w:tcPr>
            <w:tcW w:w="3668" w:type="dxa"/>
          </w:tcPr>
          <w:p>
            <w:r>
              <w:t>Béta</w:t>
            </w:r>
          </w:p>
        </w:tc>
      </w:tr>
    </w:tbl>
    <w:p>
      <w:pPr>
        <w:pStyle w:val="Titre2"/>
      </w:pPr>
      <w:r>
        <w:t>La tubuline</w:t>
      </w:r>
    </w:p>
    <w:p>
      <w:r>
        <w:t xml:space="preserve">La tubuline a deux extrémités </w:t>
      </w:r>
    </w:p>
    <w:tbl>
      <w:tblPr>
        <w:tblStyle w:val="Grilledetableauclaire"/>
        <w:tblW w:w="0" w:type="auto"/>
        <w:tblLook w:val="0400" w:firstRow="0" w:lastRow="0" w:firstColumn="0" w:lastColumn="0" w:noHBand="0" w:noVBand="1"/>
      </w:tblPr>
      <w:tblGrid>
        <w:gridCol w:w="3667"/>
        <w:gridCol w:w="3668"/>
      </w:tblGrid>
      <w:tr>
        <w:tc>
          <w:tcPr>
            <w:tcW w:w="3667" w:type="dxa"/>
          </w:tcPr>
          <w:p>
            <w:r>
              <w:t>Une queue ou extrémité C-ter.</w:t>
            </w:r>
          </w:p>
        </w:tc>
        <w:tc>
          <w:tcPr>
            <w:tcW w:w="3668" w:type="dxa"/>
          </w:tcPr>
          <w:p>
            <w:r>
              <w:t>Molécule de GTP</w:t>
            </w:r>
          </w:p>
        </w:tc>
      </w:tr>
    </w:tbl>
    <w:p>
      <w:r>
        <w:t>L’extrémité C-ter est chargée négativement (glutamate). C’est généralement le lieu interaction avec les protéines régulatrices qui viennent supprimer des charges.</w:t>
      </w:r>
    </w:p>
    <w:p>
      <w:r>
        <w:t>Il existe différentes versions de tubuline (isoformes) eux même possédant des variations (isotopes). Les isotopes se différencient par la constitution et la structure de leur extrémité C-ter.</w:t>
      </w:r>
    </w:p>
    <w:p>
      <w:r>
        <w:t>Isoformes : alpha, béta, gamma, etc.</w:t>
      </w:r>
    </w:p>
    <w:p>
      <w:pPr>
        <w:pStyle w:val="Titre3"/>
      </w:pPr>
      <w:r>
        <w:t>Polimérisation</w:t>
      </w:r>
    </w:p>
    <w:p>
      <w:r>
        <w:t>Deux dimères se lient en Alpha-béta par l’hydrolyse de GTP en GDP au niveau de l’extrémité Béta.</w:t>
      </w:r>
    </w:p>
    <w:p>
      <w:pPr>
        <w:pStyle w:val="Titre3"/>
      </w:pPr>
      <w:r>
        <w:t>Propriété des microtubules</w:t>
      </w:r>
    </w:p>
    <w:p>
      <w:r>
        <w:t xml:space="preserve">La disymétrie du monomère se retrouve à l’échelle du microtubule. Elle confère au tout, une propriété structurale de polarité fonctionnelle. La </w:t>
      </w:r>
      <w:r>
        <w:t xml:space="preserve">polymérisation a lieu principalement au niveau de tubuline béta (par opposition à l’extrémité alpha). Elle est appelé extrémité +. </w:t>
      </w:r>
    </w:p>
    <w:p>
      <w:pPr>
        <w:pStyle w:val="Titre3"/>
      </w:pPr>
      <w:r>
        <w:t>Assemblage des protofilaments en microfilament</w:t>
      </w:r>
    </w:p>
    <w:p>
      <w:r>
        <w:t>Généralement les microtubules sont formés de 13 protofilaments. Les interactions se font entre les tubulines du même type avec décage dans l’espace ce qui confère un aspect en spirale.</w:t>
      </w:r>
    </w:p>
    <w:p>
      <w:pPr>
        <w:pStyle w:val="Titre3"/>
      </w:pPr>
      <w:r>
        <w:t>Centrosome</w:t>
      </w:r>
    </w:p>
    <w:p>
      <w:r>
        <w:t>Les microtubules se déploient à partir d’une zone localisée dans la cellule appelée centrosome. Il est formé de deux centroides positionnés perpendiculairement entourée d’un amas de protéines.</w:t>
      </w:r>
    </w:p>
    <w:p>
      <w:r>
        <w:rPr>
          <w:rStyle w:val="Accentuation"/>
        </w:rPr>
        <w:t>Centrosome</w:t>
      </w:r>
      <w:r>
        <w:t xml:space="preserve"> centre organisateur des microtubules.</w:t>
      </w:r>
      <w:r>
        <w:br/>
        <w:t>Le centrosome se compose d’une épaisseur de tubuline gamma associée à des protéines de type GCPS. L’ensemble forme un complexe appelé gamma-TUSC. Au dessus se trouve l’alternance des tubulines alpha et beta avec l’extémité + dirigée vers l’extérieur de centrosome.</w:t>
      </w:r>
    </w:p>
    <w:p>
      <w:r>
        <w:rPr>
          <w:u w:val="single"/>
        </w:rPr>
        <w:t>Rmq :</w:t>
      </w:r>
      <w:r>
        <w:t xml:space="preserve"> la tubuline gamma est impliquée dans la biogénèse des microtubules.</w:t>
      </w:r>
    </w:p>
    <w:p>
      <w:pPr>
        <w:pStyle w:val="Titre2"/>
      </w:pPr>
      <w:r>
        <w:t xml:space="preserve">Instabilité dynamique des microtubules. </w:t>
      </w:r>
    </w:p>
    <w:p>
      <w:r>
        <w:t>La stabilité des microtubules dans le temps dépend :</w:t>
      </w:r>
    </w:p>
    <w:tbl>
      <w:tblPr>
        <w:tblStyle w:val="Grilledetableauclaire"/>
        <w:tblW w:w="0" w:type="auto"/>
        <w:tblLook w:val="0400" w:firstRow="0" w:lastRow="0" w:firstColumn="0" w:lastColumn="0" w:noHBand="0" w:noVBand="1"/>
      </w:tblPr>
      <w:tblGrid>
        <w:gridCol w:w="3667"/>
        <w:gridCol w:w="3668"/>
      </w:tblGrid>
      <w:tr>
        <w:tc>
          <w:tcPr>
            <w:tcW w:w="3667" w:type="dxa"/>
          </w:tcPr>
          <w:p>
            <w:r>
              <w:t>De protéines régulatrices</w:t>
            </w:r>
          </w:p>
        </w:tc>
        <w:tc>
          <w:tcPr>
            <w:tcW w:w="3668" w:type="dxa"/>
          </w:tcPr>
          <w:p>
            <w:r>
              <w:t>De la concentration de tubulines</w:t>
            </w:r>
          </w:p>
        </w:tc>
      </w:tr>
    </w:tbl>
    <w:p>
      <w:r>
        <w:t>Certaines protéines agissent sur la construction ou la déconstruction des réseaux de microtubules en modifiant la probabilité de polymérisation ou de dépolymérysation. Elles peuvent être classées en deux catégories en fonction de si elle augmente ou diminue l’instabilité des microtubules.</w:t>
      </w:r>
    </w:p>
    <w:p>
      <w:r>
        <w:rPr>
          <w:u w:val="single"/>
        </w:rPr>
        <w:t>Rmq :</w:t>
      </w:r>
      <w:r>
        <w:t xml:space="preserve"> Le rôle des protéines dépend des intéractions avec d’autres protéines. Il peut changer au cours du temps.</w:t>
      </w:r>
    </w:p>
    <w:p>
      <w:r>
        <w:t>Exmples de protéines régulatrices stabilisatrice :</w:t>
      </w:r>
    </w:p>
    <w:p>
      <w:pPr>
        <w:pStyle w:val="Paragraphedeliste"/>
        <w:numPr>
          <w:ilvl w:val="0"/>
          <w:numId w:val="4"/>
        </w:numPr>
      </w:pPr>
      <w:r>
        <w:lastRenderedPageBreak/>
        <w:t>Protéines de type MAPS structurales ont une affinité qui diminue avec l’augmentation du nombre de phosphorilation.</w:t>
      </w:r>
    </w:p>
    <w:p>
      <w:pPr>
        <w:pStyle w:val="Paragraphedeliste"/>
        <w:numPr>
          <w:ilvl w:val="0"/>
          <w:numId w:val="4"/>
        </w:numPr>
      </w:pPr>
      <w:r>
        <w:t>TIPS intéragissent avec l’extrémité +.</w:t>
      </w:r>
    </w:p>
    <w:p>
      <w:pPr>
        <w:pStyle w:val="Titre3"/>
      </w:pPr>
      <w:r>
        <w:t>Protéines déstabilisatrices ou promoteurs de catastrophes</w:t>
      </w:r>
    </w:p>
    <w:p>
      <w:r>
        <w:t xml:space="preserve">Les promoteurs de catastrophes agissent de deux manières pour augmenter la probabilité de dépolymérisation en : </w:t>
      </w:r>
    </w:p>
    <w:p>
      <w:pPr>
        <w:pStyle w:val="Paragraphedeliste"/>
        <w:numPr>
          <w:ilvl w:val="0"/>
          <w:numId w:val="1"/>
        </w:numPr>
        <w:rPr>
          <w:rFonts w:eastAsiaTheme="minorEastAsia"/>
        </w:rPr>
      </w:pPr>
      <w:r>
        <w:t>Séquestrant la tubuline càd une baisse de la concentration de tubuline au moins au niveau de l’extrémité du microtubule.</w:t>
      </w:r>
    </w:p>
    <w:p>
      <w:pPr>
        <w:pStyle w:val="Paragraphedeliste"/>
        <w:numPr>
          <w:ilvl w:val="0"/>
          <w:numId w:val="1"/>
        </w:numPr>
      </w:pPr>
      <w:r>
        <w:t>Déstabilisant de l’extrémité.</w:t>
      </w:r>
    </w:p>
    <w:p>
      <w:r>
        <w:t xml:space="preserve">Quelques exemples de protéines de déstabilisation : </w:t>
      </w:r>
    </w:p>
    <w:p>
      <w:pPr>
        <w:pStyle w:val="Paragraphedeliste"/>
        <w:numPr>
          <w:ilvl w:val="0"/>
          <w:numId w:val="2"/>
        </w:numPr>
      </w:pPr>
      <w:r>
        <w:t xml:space="preserve">Les stathmines s’associent aux dimères et bloquent la capacité d’intéraction de ces derniers. L’affinité est régulé par leur degré de phosphorilation (corrélation positive). </w:t>
      </w:r>
    </w:p>
    <w:p>
      <w:pPr>
        <w:pStyle w:val="Paragraphedeliste"/>
        <w:numPr>
          <w:ilvl w:val="0"/>
          <w:numId w:val="2"/>
        </w:numPr>
      </w:pPr>
      <w:r>
        <w:t>Katanine provoque le désassemblage par fragmentation du microtubule.</w:t>
      </w:r>
    </w:p>
    <w:p>
      <w:pPr>
        <w:pStyle w:val="Titre3"/>
      </w:pPr>
      <w:r>
        <w:t>Les substances toxiques</w:t>
      </w:r>
    </w:p>
    <w:p>
      <w:r>
        <w:t>Certaines substances toxiquesi agissent sur les microtubules pour causer la mort des cellules soit en  :</w:t>
      </w:r>
    </w:p>
    <w:p>
      <w:pPr>
        <w:pStyle w:val="Paragraphedeliste"/>
        <w:numPr>
          <w:ilvl w:val="0"/>
          <w:numId w:val="3"/>
        </w:numPr>
      </w:pPr>
      <w:r>
        <w:t>Induisant une dépolimérisation ou une polymérisation.</w:t>
      </w:r>
    </w:p>
    <w:p>
      <w:pPr>
        <w:pStyle w:val="Paragraphedeliste"/>
        <w:numPr>
          <w:ilvl w:val="0"/>
          <w:numId w:val="3"/>
        </w:numPr>
      </w:pPr>
      <w:r>
        <w:t>Bloquant le microtubule dans sa conformation càd empechant toutes activités de polymérisation ou de dépolymérisation.</w:t>
      </w:r>
    </w:p>
    <w:p>
      <w:pPr>
        <w:pStyle w:val="Titre2"/>
      </w:pPr>
      <w:r>
        <w:t xml:space="preserve">Le rôle des microtubules </w:t>
      </w:r>
    </w:p>
    <w:p>
      <w:r>
        <w:t xml:space="preserve">Quelques grandes fonctions de microtubules : </w:t>
      </w:r>
    </w:p>
    <w:p>
      <w:pPr>
        <w:pStyle w:val="Paragraphedeliste"/>
        <w:numPr>
          <w:ilvl w:val="0"/>
          <w:numId w:val="5"/>
        </w:numPr>
      </w:pPr>
      <w:r>
        <w:t>le battement ciliaire et flagellaire</w:t>
      </w:r>
    </w:p>
    <w:p>
      <w:pPr>
        <w:pStyle w:val="Paragraphedeliste"/>
        <w:numPr>
          <w:ilvl w:val="0"/>
          <w:numId w:val="5"/>
        </w:numPr>
      </w:pPr>
      <w:r>
        <w:t>Implication dans les transports intracellulaires et le maintien de la compartimentation intracellulaire</w:t>
      </w:r>
    </w:p>
    <w:p>
      <w:pPr>
        <w:pStyle w:val="Paragraphedeliste"/>
        <w:numPr>
          <w:ilvl w:val="0"/>
          <w:numId w:val="5"/>
        </w:numPr>
      </w:pPr>
      <w:r>
        <w:t>Dans la division cellulaire (mise en place du fuseau mitotique, séparation des chromosomes…)</w:t>
      </w:r>
    </w:p>
    <w:p>
      <w:r>
        <w:t>Ces fonctions nécessitent les moteurs moléculaires associés aux microtubules ou MAPs motrice:</w:t>
      </w:r>
    </w:p>
    <w:tbl>
      <w:tblPr>
        <w:tblStyle w:val="Grilledetableauclaire"/>
        <w:tblW w:w="0" w:type="auto"/>
        <w:tblLook w:val="0400" w:firstRow="0" w:lastRow="0" w:firstColumn="0" w:lastColumn="0" w:noHBand="0" w:noVBand="1"/>
      </w:tblPr>
      <w:tblGrid>
        <w:gridCol w:w="3667"/>
        <w:gridCol w:w="3668"/>
      </w:tblGrid>
      <w:tr>
        <w:tc>
          <w:tcPr>
            <w:tcW w:w="3667" w:type="dxa"/>
          </w:tcPr>
          <w:p>
            <w:r>
              <w:t>les dynéines qui se déplacent vers l’extrémité –.</w:t>
            </w:r>
          </w:p>
        </w:tc>
        <w:tc>
          <w:tcPr>
            <w:tcW w:w="3668" w:type="dxa"/>
          </w:tcPr>
          <w:p>
            <w:r>
              <w:t>Les kinésines qui se déplacent vers l’extrémité +.</w:t>
            </w:r>
          </w:p>
        </w:tc>
      </w:tr>
    </w:tbl>
    <w:p>
      <w:r>
        <w:t>TROUE</w:t>
      </w:r>
    </w:p>
    <w:p>
      <w:pPr>
        <w:pStyle w:val="Titre2"/>
      </w:pPr>
      <w:r>
        <w:t>Les moteurs moléculaires</w:t>
      </w:r>
    </w:p>
    <w:p>
      <w:r>
        <w:t xml:space="preserve">Les neurotransmetteurs relachés au niveau des synapses sont synthétisés dans le soma du neurone. Ils sont acheminés par un transport vésiculaire qui se déplace le long des microtubules vers l’extrémité +. </w:t>
      </w:r>
    </w:p>
    <w:p>
      <w:r>
        <w:t>Les vésicules peuvent être équipées de kynésines et dynéines. Leur déplacement se fait par l’activation de l’une des deux protéines. Par exemple en fonction des protéines structurales associées aux microtubules qui sont elles-même régulées par phosphorilation.</w:t>
      </w:r>
    </w:p>
    <w:tbl>
      <w:tblPr>
        <w:tblStyle w:val="Grilledetableauclaire"/>
        <w:tblW w:w="0" w:type="auto"/>
        <w:tblLook w:val="0400" w:firstRow="0" w:lastRow="0" w:firstColumn="0" w:lastColumn="0" w:noHBand="0" w:noVBand="1"/>
      </w:tblPr>
      <w:tblGrid>
        <w:gridCol w:w="7335"/>
      </w:tblGrid>
      <w:tr>
        <w:tc>
          <w:tcPr>
            <w:tcW w:w="7335" w:type="dxa"/>
          </w:tcPr>
          <w:p>
            <w:pPr>
              <w:rPr>
                <w:b/>
              </w:rPr>
            </w:pPr>
            <w:r>
              <w:t>Méthode : étudier les dynéines, présentation d’une méthode pour purier les dynéines</w:t>
            </w:r>
          </w:p>
          <w:p>
            <w:pPr>
              <w:rPr>
                <w:b/>
              </w:rPr>
            </w:pPr>
            <w:r>
              <w:t>Les dynéines sont associées aux microtubules. Pour les étudier, on a besoin de pouvoir les isoler.</w:t>
            </w:r>
          </w:p>
          <w:p>
            <w:pPr>
              <w:pStyle w:val="Paragraphedeliste"/>
              <w:numPr>
                <w:ilvl w:val="0"/>
                <w:numId w:val="6"/>
              </w:numPr>
              <w:rPr>
                <w:b/>
              </w:rPr>
            </w:pPr>
            <w:r>
              <w:t>Dépolarisation des microtubles. Les microtubules sont décomposés en dimère d’actines.</w:t>
            </w:r>
          </w:p>
          <w:p>
            <w:pPr>
              <w:pStyle w:val="Paragraphedeliste"/>
              <w:numPr>
                <w:ilvl w:val="0"/>
                <w:numId w:val="6"/>
              </w:numPr>
              <w:rPr>
                <w:b/>
              </w:rPr>
            </w:pPr>
            <w:r>
              <w:t>Ajout d’ATP. Cela conduit à l’activation des dynéines qui arrivent rapidement en bout de chaîne et se détachent fragements d’actines</w:t>
            </w:r>
          </w:p>
        </w:tc>
      </w:tr>
    </w:tbl>
    <w:p>
      <w:pPr>
        <w:pStyle w:val="Titre1"/>
      </w:pPr>
      <w:r>
        <w:t>Les micofilaments</w:t>
      </w:r>
    </w:p>
    <w:p>
      <w:r>
        <w:t>Les filaments d’actines </w:t>
      </w:r>
    </w:p>
    <w:p>
      <w:r>
        <w:t>Les filaments d’actines sont un polymère nommé actine F formé de monomère d’actine G.  </w:t>
      </w:r>
    </w:p>
    <w:p>
      <w:r>
        <w:lastRenderedPageBreak/>
        <w:t>L’actine G possède en son centre :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3"/>
        <w:gridCol w:w="3566"/>
      </w:tblGrid>
      <w:t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
              <w:t>Un ATP ou un ADP (par hydrolyse ou remplacement)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
              <w:t>Un cation bivalent Ca2+ ou Mg2+ </w:t>
            </w:r>
          </w:p>
        </w:tc>
      </w:tr>
    </w:tbl>
    <w:p>
      <w:r>
        <w:t>L’hydrolyse de l’ATP n’est pas spontanée. Elle nécessite l’action d’une enzyme. </w:t>
      </w:r>
    </w:p>
    <w:p>
      <w:r>
        <w:t>Rappel : une protéine dispose d’une extrémité NH noté N-ter et COOH noté C-ter. </w:t>
      </w:r>
    </w:p>
    <w:p>
      <w:r>
        <w:t>L’actine G possède plusieurs isoformes. Il en existe 6 chez les mammifères. </w:t>
      </w:r>
    </w:p>
    <w:p>
      <w:r>
        <w:t>Protéines qui ressemblent avec l’actine noté ARP (Actin Related Proteins) séquence de chaîne peptidiques. </w:t>
      </w:r>
    </w:p>
    <w:p>
      <w:r>
        <w:t>Polymérisation de G en F dépend de :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1654"/>
        <w:gridCol w:w="1958"/>
        <w:gridCol w:w="1738"/>
      </w:tblGrid>
      <w:t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r>
              <w:t>La concentration d’actine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r>
              <w:t>Du pH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r>
              <w:t>De la température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r>
              <w:t>Mg2+ </w:t>
            </w:r>
          </w:p>
        </w:tc>
      </w:tr>
    </w:tbl>
    <w:p>
      <w:r>
        <w:t>Force ionique élevée. </w:t>
      </w:r>
    </w:p>
    <w:p>
      <w:r>
        <w:t>Propriété  </w:t>
      </w:r>
    </w:p>
    <w:p>
      <w:r>
        <w:t>Polymérisation à la polarité structurale avec une décalage  </w:t>
      </w:r>
    </w:p>
    <w:p>
      <w:r>
        <w:t>Hélice deux demi pas (nombre de monomères nécessaire pour le croisement de deux actines F est de 13 monomères). </w:t>
      </w:r>
    </w:p>
    <w:p>
      <w:r>
        <w:t>Propriété structurale  </w:t>
      </w:r>
    </w:p>
    <w:p>
      <w:r>
        <w:t> </w:t>
      </w:r>
    </w:p>
    <w:p>
      <w:r>
        <w:t>Les moteurs moléculaires des filaments d’actines sont les myosines.  </w:t>
      </w:r>
    </w:p>
    <w:p>
      <w:r>
        <w:t>Tous les moteurs moléculaires nécessitent de l’ATP pour fonctionner. </w:t>
      </w:r>
    </w:p>
    <w:p>
      <w:r>
        <w:t>La polarité de l’actine G se retrouve dans la polarité structurale et fonctionnelle de l’actine avec deux extrémités : </w:t>
      </w:r>
    </w:p>
    <w:p>
      <w:r>
        <w:t>Saut de page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0"/>
        <w:gridCol w:w="3669"/>
      </w:tblGrid>
      <w:t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
              <w:t>Barbue (-)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
              <w:t>Pointue (+) </w:t>
            </w:r>
          </w:p>
        </w:tc>
      </w:tr>
    </w:tbl>
    <w:p>
      <w:r>
        <w:t>La polarité structurale est définie par l’interaction avec les têtes de myosines. Elles sont orientées vers l’extrémité barbue. </w:t>
      </w:r>
    </w:p>
    <w:p>
      <w:r>
        <w:t>La polymérisation a lieu plus rapidement à l’extrémité +. </w:t>
      </w:r>
    </w:p>
    <w:p>
      <w:r>
        <w:t>Polymérisation  </w:t>
      </w:r>
    </w:p>
    <w:p>
      <w:r>
        <w:t>Le mécanisme de polymérisation des filaments d’actines s’appelle mécanisme du tapis roulant.  </w:t>
      </w:r>
    </w:p>
    <w:p>
      <w:r>
        <w:t>Protéines qui interagissent avec l’actine notées ABP (Actins Binding Protéins) </w:t>
      </w:r>
    </w:p>
    <w:p>
      <w:r>
        <w:t>Profilines activateurs de polymérisation </w:t>
      </w:r>
    </w:p>
    <w:p>
      <w:r>
        <w:t>Hymosine Beta bloque les extrémités </w:t>
      </w:r>
    </w:p>
    <w:p>
      <w:r>
        <w:t>Inhibitrice Cofiline inhibiteur acti GATP </w:t>
      </w:r>
    </w:p>
    <w:p>
      <w:r>
        <w:t>Inhibitrice augmente la dépolimérisation à l’extrémité - </w:t>
      </w:r>
    </w:p>
    <w:p>
      <w:r>
        <w:t>Fragementer les polymérimère </w:t>
      </w:r>
    </w:p>
    <w:p>
      <w:r>
        <w:t>Gelsoline fragmentation </w:t>
      </w:r>
    </w:p>
    <w:p>
      <w:r>
        <w:t>Protéine de coife bloque la  </w:t>
      </w:r>
    </w:p>
    <w:p>
      <w:r>
        <w:t>Cap 2+ -troposspd </w:t>
      </w:r>
    </w:p>
    <w:p>
      <w:r>
        <w:t>Notamment pour les cellules musculaires. </w:t>
      </w:r>
    </w:p>
    <w:p>
      <w:r>
        <w:t>Nucléation ou biogénèse des microfilaments </w:t>
      </w:r>
    </w:p>
    <w:p>
      <w:r>
        <w:lastRenderedPageBreak/>
        <w:t>Complexe Arp 2/3 provoque une ramification ou coiffe d’activité - pour faire une extrémité plus. </w:t>
      </w:r>
    </w:p>
    <w:p>
      <w:r>
        <w:t>Formine recrutement de profiline pour polymérisé l’actine. </w:t>
      </w:r>
    </w:p>
    <w:p>
      <w:r>
        <w:t>Moteur moléculaire de l’actine : les myosines </w:t>
      </w:r>
    </w:p>
    <w:p>
      <w:r>
        <w:t>Les myosines sont composés de trois parties :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8"/>
        <w:gridCol w:w="2419"/>
        <w:gridCol w:w="2482"/>
      </w:tblGrid>
      <w:t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r>
              <w:t>Tête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r>
              <w:t>Cou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r>
              <w:t>Queue </w:t>
            </w:r>
          </w:p>
        </w:tc>
      </w:tr>
    </w:tbl>
    <w:p>
      <w:r>
        <w:t>Les myosines de type II vers l’extrémité plus. </w:t>
      </w:r>
    </w:p>
    <w:p>
      <w:r>
        <w:t>Certaines sont capables d’interagir avec les protéines membranaires. Par exemple, invagination cellulaire, microvillosité, myosine IV endocytose. </w:t>
      </w:r>
    </w:p>
    <w:p>
      <w:r>
        <w:t>Il existe un 20 classes différentes. </w:t>
      </w:r>
    </w:p>
    <w:p>
      <w:r>
        <w:t>Protéines organisateur de l’actine F </w:t>
      </w:r>
    </w:p>
    <w:p>
      <w:r>
        <w:t>Organisation de l’actine F par des protéines type d’organisation : </w:t>
      </w:r>
    </w:p>
    <w:p>
      <w:r>
        <w:t>Serré parallèle même polarité </w:t>
      </w:r>
    </w:p>
    <w:p>
      <w:r>
        <w:t>Faisceau contractiles polarité inverse </w:t>
      </w:r>
    </w:p>
    <w:p>
      <w:r>
        <w:t>Réseau laches maille avec des intersections. </w:t>
      </w:r>
    </w:p>
    <w:p>
      <w:r>
        <w:t>Réseau branchés ramification </w:t>
      </w:r>
    </w:p>
    <w:p>
      <w:r>
        <w:t>Protéine partenaires </w:t>
      </w:r>
    </w:p>
    <w:p>
      <w:r>
        <w:t>Protéine de :  </w:t>
      </w:r>
    </w:p>
    <w:p>
      <w:r>
        <w:t>pontage entre les actines. </w:t>
      </w:r>
    </w:p>
    <w:p>
      <w:r>
        <w:t>D'ancrage des filaments d’actines au niveau des membranes plasmiques (exemple : famille FERM) </w:t>
      </w:r>
    </w:p>
    <w:p>
      <w:r>
        <w:t>Exemple du rôle des fonctions des microfilaments dans la migration cellulaire </w:t>
      </w:r>
    </w:p>
    <w:p>
      <w:r>
        <w:t>Les étapes sont : </w:t>
      </w:r>
    </w:p>
    <w:p>
      <w:r>
        <w:t>Produire des extensions membranaires. Filopode dans l organisé paralléle. </w:t>
      </w:r>
    </w:p>
    <w:p>
      <w:r>
        <w:t>Apparition de nouvelle extension. </w:t>
      </w:r>
    </w:p>
    <w:p>
      <w:r>
        <w:t>Disparition des dernières extensions </w:t>
      </w:r>
    </w:p>
    <w:p>
      <w:pPr>
        <w:pStyle w:val="Titre1"/>
      </w:pPr>
      <w:r>
        <w:t>Adhésion cellulaire et milieu extracellulaire</w:t>
      </w:r>
    </w:p>
    <w:p>
      <w:pPr>
        <w:pStyle w:val="Titre1"/>
      </w:pPr>
      <w:r>
        <w:t>Trafic intercellulaire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Biologie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5B2"/>
    <w:multiLevelType w:val="hybridMultilevel"/>
    <w:tmpl w:val="9AECC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5F28D1"/>
    <w:multiLevelType w:val="hybridMultilevel"/>
    <w:tmpl w:val="3B1269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73478C"/>
    <w:multiLevelType w:val="hybridMultilevel"/>
    <w:tmpl w:val="06646840"/>
    <w:lvl w:ilvl="0" w:tplc="BBC87FB8">
      <w:start w:val="1"/>
      <w:numFmt w:val="bullet"/>
      <w:lvlText w:val=""/>
      <w:lvlJc w:val="left"/>
      <w:pPr>
        <w:ind w:left="720" w:hanging="360"/>
      </w:pPr>
      <w:rPr>
        <w:rFonts w:ascii="Symbol" w:hAnsi="Symbol" w:hint="default"/>
      </w:rPr>
    </w:lvl>
    <w:lvl w:ilvl="1" w:tplc="483CA16E">
      <w:start w:val="1"/>
      <w:numFmt w:val="bullet"/>
      <w:lvlText w:val="o"/>
      <w:lvlJc w:val="left"/>
      <w:pPr>
        <w:ind w:left="1440" w:hanging="360"/>
      </w:pPr>
      <w:rPr>
        <w:rFonts w:ascii="Courier New" w:hAnsi="Courier New" w:hint="default"/>
      </w:rPr>
    </w:lvl>
    <w:lvl w:ilvl="2" w:tplc="AB08C880">
      <w:start w:val="1"/>
      <w:numFmt w:val="bullet"/>
      <w:lvlText w:val=""/>
      <w:lvlJc w:val="left"/>
      <w:pPr>
        <w:ind w:left="2160" w:hanging="360"/>
      </w:pPr>
      <w:rPr>
        <w:rFonts w:ascii="Wingdings" w:hAnsi="Wingdings" w:hint="default"/>
      </w:rPr>
    </w:lvl>
    <w:lvl w:ilvl="3" w:tplc="84EA8338">
      <w:start w:val="1"/>
      <w:numFmt w:val="bullet"/>
      <w:lvlText w:val=""/>
      <w:lvlJc w:val="left"/>
      <w:pPr>
        <w:ind w:left="2880" w:hanging="360"/>
      </w:pPr>
      <w:rPr>
        <w:rFonts w:ascii="Symbol" w:hAnsi="Symbol" w:hint="default"/>
      </w:rPr>
    </w:lvl>
    <w:lvl w:ilvl="4" w:tplc="7778B78E">
      <w:start w:val="1"/>
      <w:numFmt w:val="bullet"/>
      <w:lvlText w:val="o"/>
      <w:lvlJc w:val="left"/>
      <w:pPr>
        <w:ind w:left="3600" w:hanging="360"/>
      </w:pPr>
      <w:rPr>
        <w:rFonts w:ascii="Courier New" w:hAnsi="Courier New" w:hint="default"/>
      </w:rPr>
    </w:lvl>
    <w:lvl w:ilvl="5" w:tplc="3894D3E8">
      <w:start w:val="1"/>
      <w:numFmt w:val="bullet"/>
      <w:lvlText w:val=""/>
      <w:lvlJc w:val="left"/>
      <w:pPr>
        <w:ind w:left="4320" w:hanging="360"/>
      </w:pPr>
      <w:rPr>
        <w:rFonts w:ascii="Wingdings" w:hAnsi="Wingdings" w:hint="default"/>
      </w:rPr>
    </w:lvl>
    <w:lvl w:ilvl="6" w:tplc="1E9C9280">
      <w:start w:val="1"/>
      <w:numFmt w:val="bullet"/>
      <w:lvlText w:val=""/>
      <w:lvlJc w:val="left"/>
      <w:pPr>
        <w:ind w:left="5040" w:hanging="360"/>
      </w:pPr>
      <w:rPr>
        <w:rFonts w:ascii="Symbol" w:hAnsi="Symbol" w:hint="default"/>
      </w:rPr>
    </w:lvl>
    <w:lvl w:ilvl="7" w:tplc="A0181F44">
      <w:start w:val="1"/>
      <w:numFmt w:val="bullet"/>
      <w:lvlText w:val="o"/>
      <w:lvlJc w:val="left"/>
      <w:pPr>
        <w:ind w:left="5760" w:hanging="360"/>
      </w:pPr>
      <w:rPr>
        <w:rFonts w:ascii="Courier New" w:hAnsi="Courier New" w:hint="default"/>
      </w:rPr>
    </w:lvl>
    <w:lvl w:ilvl="8" w:tplc="D744FA1A">
      <w:start w:val="1"/>
      <w:numFmt w:val="bullet"/>
      <w:lvlText w:val=""/>
      <w:lvlJc w:val="left"/>
      <w:pPr>
        <w:ind w:left="6480" w:hanging="360"/>
      </w:pPr>
      <w:rPr>
        <w:rFonts w:ascii="Wingdings" w:hAnsi="Wingdings" w:hint="default"/>
      </w:rPr>
    </w:lvl>
  </w:abstractNum>
  <w:abstractNum w:abstractNumId="3" w15:restartNumberingAfterBreak="0">
    <w:nsid w:val="56704CCD"/>
    <w:multiLevelType w:val="hybridMultilevel"/>
    <w:tmpl w:val="3982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1E2A1C"/>
    <w:multiLevelType w:val="hybridMultilevel"/>
    <w:tmpl w:val="4C04B3F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705D60BA"/>
    <w:multiLevelType w:val="hybridMultilevel"/>
    <w:tmpl w:val="2B64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pagebreaktextspan">
    <w:name w:val="pagebreaktextspan"/>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478351812">
      <w:bodyDiv w:val="1"/>
      <w:marLeft w:val="0"/>
      <w:marRight w:val="0"/>
      <w:marTop w:val="0"/>
      <w:marBottom w:val="0"/>
      <w:divBdr>
        <w:top w:val="none" w:sz="0" w:space="0" w:color="auto"/>
        <w:left w:val="none" w:sz="0" w:space="0" w:color="auto"/>
        <w:bottom w:val="none" w:sz="0" w:space="0" w:color="auto"/>
        <w:right w:val="none" w:sz="0" w:space="0" w:color="auto"/>
      </w:divBdr>
      <w:divsChild>
        <w:div w:id="1445730862">
          <w:marLeft w:val="0"/>
          <w:marRight w:val="0"/>
          <w:marTop w:val="0"/>
          <w:marBottom w:val="0"/>
          <w:divBdr>
            <w:top w:val="none" w:sz="0" w:space="0" w:color="auto"/>
            <w:left w:val="none" w:sz="0" w:space="0" w:color="auto"/>
            <w:bottom w:val="none" w:sz="0" w:space="0" w:color="auto"/>
            <w:right w:val="none" w:sz="0" w:space="0" w:color="auto"/>
          </w:divBdr>
        </w:div>
        <w:div w:id="2022511492">
          <w:marLeft w:val="0"/>
          <w:marRight w:val="0"/>
          <w:marTop w:val="0"/>
          <w:marBottom w:val="0"/>
          <w:divBdr>
            <w:top w:val="none" w:sz="0" w:space="0" w:color="auto"/>
            <w:left w:val="none" w:sz="0" w:space="0" w:color="auto"/>
            <w:bottom w:val="none" w:sz="0" w:space="0" w:color="auto"/>
            <w:right w:val="none" w:sz="0" w:space="0" w:color="auto"/>
          </w:divBdr>
        </w:div>
        <w:div w:id="1153179948">
          <w:marLeft w:val="0"/>
          <w:marRight w:val="0"/>
          <w:marTop w:val="0"/>
          <w:marBottom w:val="0"/>
          <w:divBdr>
            <w:top w:val="none" w:sz="0" w:space="0" w:color="auto"/>
            <w:left w:val="none" w:sz="0" w:space="0" w:color="auto"/>
            <w:bottom w:val="none" w:sz="0" w:space="0" w:color="auto"/>
            <w:right w:val="none" w:sz="0" w:space="0" w:color="auto"/>
          </w:divBdr>
        </w:div>
        <w:div w:id="287669509">
          <w:marLeft w:val="0"/>
          <w:marRight w:val="0"/>
          <w:marTop w:val="0"/>
          <w:marBottom w:val="0"/>
          <w:divBdr>
            <w:top w:val="none" w:sz="0" w:space="0" w:color="auto"/>
            <w:left w:val="none" w:sz="0" w:space="0" w:color="auto"/>
            <w:bottom w:val="none" w:sz="0" w:space="0" w:color="auto"/>
            <w:right w:val="none" w:sz="0" w:space="0" w:color="auto"/>
          </w:divBdr>
          <w:divsChild>
            <w:div w:id="319358773">
              <w:marLeft w:val="-75"/>
              <w:marRight w:val="0"/>
              <w:marTop w:val="30"/>
              <w:marBottom w:val="30"/>
              <w:divBdr>
                <w:top w:val="none" w:sz="0" w:space="0" w:color="auto"/>
                <w:left w:val="none" w:sz="0" w:space="0" w:color="auto"/>
                <w:bottom w:val="none" w:sz="0" w:space="0" w:color="auto"/>
                <w:right w:val="none" w:sz="0" w:space="0" w:color="auto"/>
              </w:divBdr>
              <w:divsChild>
                <w:div w:id="904070896">
                  <w:marLeft w:val="0"/>
                  <w:marRight w:val="0"/>
                  <w:marTop w:val="0"/>
                  <w:marBottom w:val="0"/>
                  <w:divBdr>
                    <w:top w:val="none" w:sz="0" w:space="0" w:color="auto"/>
                    <w:left w:val="none" w:sz="0" w:space="0" w:color="auto"/>
                    <w:bottom w:val="none" w:sz="0" w:space="0" w:color="auto"/>
                    <w:right w:val="none" w:sz="0" w:space="0" w:color="auto"/>
                  </w:divBdr>
                  <w:divsChild>
                    <w:div w:id="663515916">
                      <w:marLeft w:val="0"/>
                      <w:marRight w:val="0"/>
                      <w:marTop w:val="0"/>
                      <w:marBottom w:val="0"/>
                      <w:divBdr>
                        <w:top w:val="none" w:sz="0" w:space="0" w:color="auto"/>
                        <w:left w:val="none" w:sz="0" w:space="0" w:color="auto"/>
                        <w:bottom w:val="none" w:sz="0" w:space="0" w:color="auto"/>
                        <w:right w:val="none" w:sz="0" w:space="0" w:color="auto"/>
                      </w:divBdr>
                    </w:div>
                  </w:divsChild>
                </w:div>
                <w:div w:id="290477052">
                  <w:marLeft w:val="0"/>
                  <w:marRight w:val="0"/>
                  <w:marTop w:val="0"/>
                  <w:marBottom w:val="0"/>
                  <w:divBdr>
                    <w:top w:val="none" w:sz="0" w:space="0" w:color="auto"/>
                    <w:left w:val="none" w:sz="0" w:space="0" w:color="auto"/>
                    <w:bottom w:val="none" w:sz="0" w:space="0" w:color="auto"/>
                    <w:right w:val="none" w:sz="0" w:space="0" w:color="auto"/>
                  </w:divBdr>
                  <w:divsChild>
                    <w:div w:id="646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9615">
          <w:marLeft w:val="0"/>
          <w:marRight w:val="0"/>
          <w:marTop w:val="0"/>
          <w:marBottom w:val="0"/>
          <w:divBdr>
            <w:top w:val="none" w:sz="0" w:space="0" w:color="auto"/>
            <w:left w:val="none" w:sz="0" w:space="0" w:color="auto"/>
            <w:bottom w:val="none" w:sz="0" w:space="0" w:color="auto"/>
            <w:right w:val="none" w:sz="0" w:space="0" w:color="auto"/>
          </w:divBdr>
        </w:div>
        <w:div w:id="277301115">
          <w:marLeft w:val="0"/>
          <w:marRight w:val="0"/>
          <w:marTop w:val="0"/>
          <w:marBottom w:val="0"/>
          <w:divBdr>
            <w:top w:val="none" w:sz="0" w:space="0" w:color="auto"/>
            <w:left w:val="none" w:sz="0" w:space="0" w:color="auto"/>
            <w:bottom w:val="none" w:sz="0" w:space="0" w:color="auto"/>
            <w:right w:val="none" w:sz="0" w:space="0" w:color="auto"/>
          </w:divBdr>
        </w:div>
        <w:div w:id="1495681887">
          <w:marLeft w:val="0"/>
          <w:marRight w:val="0"/>
          <w:marTop w:val="0"/>
          <w:marBottom w:val="0"/>
          <w:divBdr>
            <w:top w:val="none" w:sz="0" w:space="0" w:color="auto"/>
            <w:left w:val="none" w:sz="0" w:space="0" w:color="auto"/>
            <w:bottom w:val="none" w:sz="0" w:space="0" w:color="auto"/>
            <w:right w:val="none" w:sz="0" w:space="0" w:color="auto"/>
          </w:divBdr>
        </w:div>
        <w:div w:id="214662312">
          <w:marLeft w:val="0"/>
          <w:marRight w:val="0"/>
          <w:marTop w:val="0"/>
          <w:marBottom w:val="0"/>
          <w:divBdr>
            <w:top w:val="none" w:sz="0" w:space="0" w:color="auto"/>
            <w:left w:val="none" w:sz="0" w:space="0" w:color="auto"/>
            <w:bottom w:val="none" w:sz="0" w:space="0" w:color="auto"/>
            <w:right w:val="none" w:sz="0" w:space="0" w:color="auto"/>
          </w:divBdr>
        </w:div>
        <w:div w:id="1596401448">
          <w:marLeft w:val="0"/>
          <w:marRight w:val="0"/>
          <w:marTop w:val="0"/>
          <w:marBottom w:val="0"/>
          <w:divBdr>
            <w:top w:val="none" w:sz="0" w:space="0" w:color="auto"/>
            <w:left w:val="none" w:sz="0" w:space="0" w:color="auto"/>
            <w:bottom w:val="none" w:sz="0" w:space="0" w:color="auto"/>
            <w:right w:val="none" w:sz="0" w:space="0" w:color="auto"/>
          </w:divBdr>
        </w:div>
        <w:div w:id="269820686">
          <w:marLeft w:val="0"/>
          <w:marRight w:val="0"/>
          <w:marTop w:val="0"/>
          <w:marBottom w:val="0"/>
          <w:divBdr>
            <w:top w:val="none" w:sz="0" w:space="0" w:color="auto"/>
            <w:left w:val="none" w:sz="0" w:space="0" w:color="auto"/>
            <w:bottom w:val="none" w:sz="0" w:space="0" w:color="auto"/>
            <w:right w:val="none" w:sz="0" w:space="0" w:color="auto"/>
          </w:divBdr>
          <w:divsChild>
            <w:div w:id="32310636">
              <w:marLeft w:val="-75"/>
              <w:marRight w:val="0"/>
              <w:marTop w:val="30"/>
              <w:marBottom w:val="30"/>
              <w:divBdr>
                <w:top w:val="none" w:sz="0" w:space="0" w:color="auto"/>
                <w:left w:val="none" w:sz="0" w:space="0" w:color="auto"/>
                <w:bottom w:val="none" w:sz="0" w:space="0" w:color="auto"/>
                <w:right w:val="none" w:sz="0" w:space="0" w:color="auto"/>
              </w:divBdr>
              <w:divsChild>
                <w:div w:id="281571922">
                  <w:marLeft w:val="0"/>
                  <w:marRight w:val="0"/>
                  <w:marTop w:val="0"/>
                  <w:marBottom w:val="0"/>
                  <w:divBdr>
                    <w:top w:val="none" w:sz="0" w:space="0" w:color="auto"/>
                    <w:left w:val="none" w:sz="0" w:space="0" w:color="auto"/>
                    <w:bottom w:val="none" w:sz="0" w:space="0" w:color="auto"/>
                    <w:right w:val="none" w:sz="0" w:space="0" w:color="auto"/>
                  </w:divBdr>
                  <w:divsChild>
                    <w:div w:id="1031801844">
                      <w:marLeft w:val="0"/>
                      <w:marRight w:val="0"/>
                      <w:marTop w:val="0"/>
                      <w:marBottom w:val="0"/>
                      <w:divBdr>
                        <w:top w:val="none" w:sz="0" w:space="0" w:color="auto"/>
                        <w:left w:val="none" w:sz="0" w:space="0" w:color="auto"/>
                        <w:bottom w:val="none" w:sz="0" w:space="0" w:color="auto"/>
                        <w:right w:val="none" w:sz="0" w:space="0" w:color="auto"/>
                      </w:divBdr>
                    </w:div>
                  </w:divsChild>
                </w:div>
                <w:div w:id="509368275">
                  <w:marLeft w:val="0"/>
                  <w:marRight w:val="0"/>
                  <w:marTop w:val="0"/>
                  <w:marBottom w:val="0"/>
                  <w:divBdr>
                    <w:top w:val="none" w:sz="0" w:space="0" w:color="auto"/>
                    <w:left w:val="none" w:sz="0" w:space="0" w:color="auto"/>
                    <w:bottom w:val="none" w:sz="0" w:space="0" w:color="auto"/>
                    <w:right w:val="none" w:sz="0" w:space="0" w:color="auto"/>
                  </w:divBdr>
                  <w:divsChild>
                    <w:div w:id="1874346376">
                      <w:marLeft w:val="0"/>
                      <w:marRight w:val="0"/>
                      <w:marTop w:val="0"/>
                      <w:marBottom w:val="0"/>
                      <w:divBdr>
                        <w:top w:val="none" w:sz="0" w:space="0" w:color="auto"/>
                        <w:left w:val="none" w:sz="0" w:space="0" w:color="auto"/>
                        <w:bottom w:val="none" w:sz="0" w:space="0" w:color="auto"/>
                        <w:right w:val="none" w:sz="0" w:space="0" w:color="auto"/>
                      </w:divBdr>
                    </w:div>
                  </w:divsChild>
                </w:div>
                <w:div w:id="818812745">
                  <w:marLeft w:val="0"/>
                  <w:marRight w:val="0"/>
                  <w:marTop w:val="0"/>
                  <w:marBottom w:val="0"/>
                  <w:divBdr>
                    <w:top w:val="none" w:sz="0" w:space="0" w:color="auto"/>
                    <w:left w:val="none" w:sz="0" w:space="0" w:color="auto"/>
                    <w:bottom w:val="none" w:sz="0" w:space="0" w:color="auto"/>
                    <w:right w:val="none" w:sz="0" w:space="0" w:color="auto"/>
                  </w:divBdr>
                  <w:divsChild>
                    <w:div w:id="1670718511">
                      <w:marLeft w:val="0"/>
                      <w:marRight w:val="0"/>
                      <w:marTop w:val="0"/>
                      <w:marBottom w:val="0"/>
                      <w:divBdr>
                        <w:top w:val="none" w:sz="0" w:space="0" w:color="auto"/>
                        <w:left w:val="none" w:sz="0" w:space="0" w:color="auto"/>
                        <w:bottom w:val="none" w:sz="0" w:space="0" w:color="auto"/>
                        <w:right w:val="none" w:sz="0" w:space="0" w:color="auto"/>
                      </w:divBdr>
                    </w:div>
                  </w:divsChild>
                </w:div>
                <w:div w:id="1553731105">
                  <w:marLeft w:val="0"/>
                  <w:marRight w:val="0"/>
                  <w:marTop w:val="0"/>
                  <w:marBottom w:val="0"/>
                  <w:divBdr>
                    <w:top w:val="none" w:sz="0" w:space="0" w:color="auto"/>
                    <w:left w:val="none" w:sz="0" w:space="0" w:color="auto"/>
                    <w:bottom w:val="none" w:sz="0" w:space="0" w:color="auto"/>
                    <w:right w:val="none" w:sz="0" w:space="0" w:color="auto"/>
                  </w:divBdr>
                  <w:divsChild>
                    <w:div w:id="15889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6470">
          <w:marLeft w:val="0"/>
          <w:marRight w:val="0"/>
          <w:marTop w:val="0"/>
          <w:marBottom w:val="0"/>
          <w:divBdr>
            <w:top w:val="none" w:sz="0" w:space="0" w:color="auto"/>
            <w:left w:val="none" w:sz="0" w:space="0" w:color="auto"/>
            <w:bottom w:val="none" w:sz="0" w:space="0" w:color="auto"/>
            <w:right w:val="none" w:sz="0" w:space="0" w:color="auto"/>
          </w:divBdr>
        </w:div>
        <w:div w:id="20666764">
          <w:marLeft w:val="0"/>
          <w:marRight w:val="0"/>
          <w:marTop w:val="0"/>
          <w:marBottom w:val="0"/>
          <w:divBdr>
            <w:top w:val="none" w:sz="0" w:space="0" w:color="auto"/>
            <w:left w:val="none" w:sz="0" w:space="0" w:color="auto"/>
            <w:bottom w:val="none" w:sz="0" w:space="0" w:color="auto"/>
            <w:right w:val="none" w:sz="0" w:space="0" w:color="auto"/>
          </w:divBdr>
        </w:div>
        <w:div w:id="2022537499">
          <w:marLeft w:val="0"/>
          <w:marRight w:val="0"/>
          <w:marTop w:val="0"/>
          <w:marBottom w:val="0"/>
          <w:divBdr>
            <w:top w:val="none" w:sz="0" w:space="0" w:color="auto"/>
            <w:left w:val="none" w:sz="0" w:space="0" w:color="auto"/>
            <w:bottom w:val="none" w:sz="0" w:space="0" w:color="auto"/>
            <w:right w:val="none" w:sz="0" w:space="0" w:color="auto"/>
          </w:divBdr>
        </w:div>
        <w:div w:id="515581593">
          <w:marLeft w:val="0"/>
          <w:marRight w:val="0"/>
          <w:marTop w:val="0"/>
          <w:marBottom w:val="0"/>
          <w:divBdr>
            <w:top w:val="none" w:sz="0" w:space="0" w:color="auto"/>
            <w:left w:val="none" w:sz="0" w:space="0" w:color="auto"/>
            <w:bottom w:val="none" w:sz="0" w:space="0" w:color="auto"/>
            <w:right w:val="none" w:sz="0" w:space="0" w:color="auto"/>
          </w:divBdr>
        </w:div>
        <w:div w:id="1346786641">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11208475">
          <w:marLeft w:val="0"/>
          <w:marRight w:val="0"/>
          <w:marTop w:val="0"/>
          <w:marBottom w:val="0"/>
          <w:divBdr>
            <w:top w:val="none" w:sz="0" w:space="0" w:color="auto"/>
            <w:left w:val="none" w:sz="0" w:space="0" w:color="auto"/>
            <w:bottom w:val="none" w:sz="0" w:space="0" w:color="auto"/>
            <w:right w:val="none" w:sz="0" w:space="0" w:color="auto"/>
          </w:divBdr>
        </w:div>
        <w:div w:id="767115396">
          <w:marLeft w:val="0"/>
          <w:marRight w:val="0"/>
          <w:marTop w:val="0"/>
          <w:marBottom w:val="0"/>
          <w:divBdr>
            <w:top w:val="none" w:sz="0" w:space="0" w:color="auto"/>
            <w:left w:val="none" w:sz="0" w:space="0" w:color="auto"/>
            <w:bottom w:val="none" w:sz="0" w:space="0" w:color="auto"/>
            <w:right w:val="none" w:sz="0" w:space="0" w:color="auto"/>
          </w:divBdr>
        </w:div>
        <w:div w:id="467626309">
          <w:marLeft w:val="0"/>
          <w:marRight w:val="0"/>
          <w:marTop w:val="0"/>
          <w:marBottom w:val="0"/>
          <w:divBdr>
            <w:top w:val="none" w:sz="0" w:space="0" w:color="auto"/>
            <w:left w:val="none" w:sz="0" w:space="0" w:color="auto"/>
            <w:bottom w:val="none" w:sz="0" w:space="0" w:color="auto"/>
            <w:right w:val="none" w:sz="0" w:space="0" w:color="auto"/>
          </w:divBdr>
        </w:div>
        <w:div w:id="867991130">
          <w:marLeft w:val="0"/>
          <w:marRight w:val="0"/>
          <w:marTop w:val="0"/>
          <w:marBottom w:val="0"/>
          <w:divBdr>
            <w:top w:val="none" w:sz="0" w:space="0" w:color="auto"/>
            <w:left w:val="none" w:sz="0" w:space="0" w:color="auto"/>
            <w:bottom w:val="none" w:sz="0" w:space="0" w:color="auto"/>
            <w:right w:val="none" w:sz="0" w:space="0" w:color="auto"/>
          </w:divBdr>
        </w:div>
        <w:div w:id="640843121">
          <w:marLeft w:val="0"/>
          <w:marRight w:val="0"/>
          <w:marTop w:val="0"/>
          <w:marBottom w:val="0"/>
          <w:divBdr>
            <w:top w:val="none" w:sz="0" w:space="0" w:color="auto"/>
            <w:left w:val="none" w:sz="0" w:space="0" w:color="auto"/>
            <w:bottom w:val="none" w:sz="0" w:space="0" w:color="auto"/>
            <w:right w:val="none" w:sz="0" w:space="0" w:color="auto"/>
          </w:divBdr>
          <w:divsChild>
            <w:div w:id="1132137394">
              <w:marLeft w:val="-75"/>
              <w:marRight w:val="0"/>
              <w:marTop w:val="30"/>
              <w:marBottom w:val="30"/>
              <w:divBdr>
                <w:top w:val="none" w:sz="0" w:space="0" w:color="auto"/>
                <w:left w:val="none" w:sz="0" w:space="0" w:color="auto"/>
                <w:bottom w:val="none" w:sz="0" w:space="0" w:color="auto"/>
                <w:right w:val="none" w:sz="0" w:space="0" w:color="auto"/>
              </w:divBdr>
              <w:divsChild>
                <w:div w:id="1731491875">
                  <w:marLeft w:val="0"/>
                  <w:marRight w:val="0"/>
                  <w:marTop w:val="0"/>
                  <w:marBottom w:val="0"/>
                  <w:divBdr>
                    <w:top w:val="none" w:sz="0" w:space="0" w:color="auto"/>
                    <w:left w:val="none" w:sz="0" w:space="0" w:color="auto"/>
                    <w:bottom w:val="none" w:sz="0" w:space="0" w:color="auto"/>
                    <w:right w:val="none" w:sz="0" w:space="0" w:color="auto"/>
                  </w:divBdr>
                  <w:divsChild>
                    <w:div w:id="27919520">
                      <w:marLeft w:val="0"/>
                      <w:marRight w:val="0"/>
                      <w:marTop w:val="0"/>
                      <w:marBottom w:val="0"/>
                      <w:divBdr>
                        <w:top w:val="none" w:sz="0" w:space="0" w:color="auto"/>
                        <w:left w:val="none" w:sz="0" w:space="0" w:color="auto"/>
                        <w:bottom w:val="none" w:sz="0" w:space="0" w:color="auto"/>
                        <w:right w:val="none" w:sz="0" w:space="0" w:color="auto"/>
                      </w:divBdr>
                    </w:div>
                  </w:divsChild>
                </w:div>
                <w:div w:id="1190334357">
                  <w:marLeft w:val="0"/>
                  <w:marRight w:val="0"/>
                  <w:marTop w:val="0"/>
                  <w:marBottom w:val="0"/>
                  <w:divBdr>
                    <w:top w:val="none" w:sz="0" w:space="0" w:color="auto"/>
                    <w:left w:val="none" w:sz="0" w:space="0" w:color="auto"/>
                    <w:bottom w:val="none" w:sz="0" w:space="0" w:color="auto"/>
                    <w:right w:val="none" w:sz="0" w:space="0" w:color="auto"/>
                  </w:divBdr>
                  <w:divsChild>
                    <w:div w:id="112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7984">
          <w:marLeft w:val="0"/>
          <w:marRight w:val="0"/>
          <w:marTop w:val="0"/>
          <w:marBottom w:val="0"/>
          <w:divBdr>
            <w:top w:val="none" w:sz="0" w:space="0" w:color="auto"/>
            <w:left w:val="none" w:sz="0" w:space="0" w:color="auto"/>
            <w:bottom w:val="none" w:sz="0" w:space="0" w:color="auto"/>
            <w:right w:val="none" w:sz="0" w:space="0" w:color="auto"/>
          </w:divBdr>
        </w:div>
        <w:div w:id="849832787">
          <w:marLeft w:val="0"/>
          <w:marRight w:val="0"/>
          <w:marTop w:val="0"/>
          <w:marBottom w:val="0"/>
          <w:divBdr>
            <w:top w:val="none" w:sz="0" w:space="0" w:color="auto"/>
            <w:left w:val="none" w:sz="0" w:space="0" w:color="auto"/>
            <w:bottom w:val="none" w:sz="0" w:space="0" w:color="auto"/>
            <w:right w:val="none" w:sz="0" w:space="0" w:color="auto"/>
          </w:divBdr>
        </w:div>
        <w:div w:id="81151896">
          <w:marLeft w:val="0"/>
          <w:marRight w:val="0"/>
          <w:marTop w:val="0"/>
          <w:marBottom w:val="0"/>
          <w:divBdr>
            <w:top w:val="none" w:sz="0" w:space="0" w:color="auto"/>
            <w:left w:val="none" w:sz="0" w:space="0" w:color="auto"/>
            <w:bottom w:val="none" w:sz="0" w:space="0" w:color="auto"/>
            <w:right w:val="none" w:sz="0" w:space="0" w:color="auto"/>
          </w:divBdr>
        </w:div>
        <w:div w:id="618803399">
          <w:marLeft w:val="0"/>
          <w:marRight w:val="0"/>
          <w:marTop w:val="0"/>
          <w:marBottom w:val="0"/>
          <w:divBdr>
            <w:top w:val="none" w:sz="0" w:space="0" w:color="auto"/>
            <w:left w:val="none" w:sz="0" w:space="0" w:color="auto"/>
            <w:bottom w:val="none" w:sz="0" w:space="0" w:color="auto"/>
            <w:right w:val="none" w:sz="0" w:space="0" w:color="auto"/>
          </w:divBdr>
        </w:div>
        <w:div w:id="1306665313">
          <w:marLeft w:val="0"/>
          <w:marRight w:val="0"/>
          <w:marTop w:val="0"/>
          <w:marBottom w:val="0"/>
          <w:divBdr>
            <w:top w:val="none" w:sz="0" w:space="0" w:color="auto"/>
            <w:left w:val="none" w:sz="0" w:space="0" w:color="auto"/>
            <w:bottom w:val="none" w:sz="0" w:space="0" w:color="auto"/>
            <w:right w:val="none" w:sz="0" w:space="0" w:color="auto"/>
          </w:divBdr>
        </w:div>
        <w:div w:id="302737512">
          <w:marLeft w:val="0"/>
          <w:marRight w:val="0"/>
          <w:marTop w:val="0"/>
          <w:marBottom w:val="0"/>
          <w:divBdr>
            <w:top w:val="none" w:sz="0" w:space="0" w:color="auto"/>
            <w:left w:val="none" w:sz="0" w:space="0" w:color="auto"/>
            <w:bottom w:val="none" w:sz="0" w:space="0" w:color="auto"/>
            <w:right w:val="none" w:sz="0" w:space="0" w:color="auto"/>
          </w:divBdr>
        </w:div>
        <w:div w:id="25639039">
          <w:marLeft w:val="0"/>
          <w:marRight w:val="0"/>
          <w:marTop w:val="0"/>
          <w:marBottom w:val="0"/>
          <w:divBdr>
            <w:top w:val="none" w:sz="0" w:space="0" w:color="auto"/>
            <w:left w:val="none" w:sz="0" w:space="0" w:color="auto"/>
            <w:bottom w:val="none" w:sz="0" w:space="0" w:color="auto"/>
            <w:right w:val="none" w:sz="0" w:space="0" w:color="auto"/>
          </w:divBdr>
        </w:div>
        <w:div w:id="195437422">
          <w:marLeft w:val="0"/>
          <w:marRight w:val="0"/>
          <w:marTop w:val="0"/>
          <w:marBottom w:val="0"/>
          <w:divBdr>
            <w:top w:val="none" w:sz="0" w:space="0" w:color="auto"/>
            <w:left w:val="none" w:sz="0" w:space="0" w:color="auto"/>
            <w:bottom w:val="none" w:sz="0" w:space="0" w:color="auto"/>
            <w:right w:val="none" w:sz="0" w:space="0" w:color="auto"/>
          </w:divBdr>
        </w:div>
        <w:div w:id="884368203">
          <w:marLeft w:val="0"/>
          <w:marRight w:val="0"/>
          <w:marTop w:val="0"/>
          <w:marBottom w:val="0"/>
          <w:divBdr>
            <w:top w:val="none" w:sz="0" w:space="0" w:color="auto"/>
            <w:left w:val="none" w:sz="0" w:space="0" w:color="auto"/>
            <w:bottom w:val="none" w:sz="0" w:space="0" w:color="auto"/>
            <w:right w:val="none" w:sz="0" w:space="0" w:color="auto"/>
          </w:divBdr>
        </w:div>
        <w:div w:id="1670867580">
          <w:marLeft w:val="0"/>
          <w:marRight w:val="0"/>
          <w:marTop w:val="0"/>
          <w:marBottom w:val="0"/>
          <w:divBdr>
            <w:top w:val="none" w:sz="0" w:space="0" w:color="auto"/>
            <w:left w:val="none" w:sz="0" w:space="0" w:color="auto"/>
            <w:bottom w:val="none" w:sz="0" w:space="0" w:color="auto"/>
            <w:right w:val="none" w:sz="0" w:space="0" w:color="auto"/>
          </w:divBdr>
        </w:div>
        <w:div w:id="1044255020">
          <w:marLeft w:val="0"/>
          <w:marRight w:val="0"/>
          <w:marTop w:val="0"/>
          <w:marBottom w:val="0"/>
          <w:divBdr>
            <w:top w:val="none" w:sz="0" w:space="0" w:color="auto"/>
            <w:left w:val="none" w:sz="0" w:space="0" w:color="auto"/>
            <w:bottom w:val="none" w:sz="0" w:space="0" w:color="auto"/>
            <w:right w:val="none" w:sz="0" w:space="0" w:color="auto"/>
          </w:divBdr>
        </w:div>
        <w:div w:id="1161894181">
          <w:marLeft w:val="0"/>
          <w:marRight w:val="0"/>
          <w:marTop w:val="0"/>
          <w:marBottom w:val="0"/>
          <w:divBdr>
            <w:top w:val="none" w:sz="0" w:space="0" w:color="auto"/>
            <w:left w:val="none" w:sz="0" w:space="0" w:color="auto"/>
            <w:bottom w:val="none" w:sz="0" w:space="0" w:color="auto"/>
            <w:right w:val="none" w:sz="0" w:space="0" w:color="auto"/>
          </w:divBdr>
        </w:div>
        <w:div w:id="1094976952">
          <w:marLeft w:val="0"/>
          <w:marRight w:val="0"/>
          <w:marTop w:val="0"/>
          <w:marBottom w:val="0"/>
          <w:divBdr>
            <w:top w:val="none" w:sz="0" w:space="0" w:color="auto"/>
            <w:left w:val="none" w:sz="0" w:space="0" w:color="auto"/>
            <w:bottom w:val="none" w:sz="0" w:space="0" w:color="auto"/>
            <w:right w:val="none" w:sz="0" w:space="0" w:color="auto"/>
          </w:divBdr>
        </w:div>
        <w:div w:id="1671133897">
          <w:marLeft w:val="0"/>
          <w:marRight w:val="0"/>
          <w:marTop w:val="0"/>
          <w:marBottom w:val="0"/>
          <w:divBdr>
            <w:top w:val="none" w:sz="0" w:space="0" w:color="auto"/>
            <w:left w:val="none" w:sz="0" w:space="0" w:color="auto"/>
            <w:bottom w:val="none" w:sz="0" w:space="0" w:color="auto"/>
            <w:right w:val="none" w:sz="0" w:space="0" w:color="auto"/>
          </w:divBdr>
        </w:div>
        <w:div w:id="252321031">
          <w:marLeft w:val="0"/>
          <w:marRight w:val="0"/>
          <w:marTop w:val="0"/>
          <w:marBottom w:val="0"/>
          <w:divBdr>
            <w:top w:val="none" w:sz="0" w:space="0" w:color="auto"/>
            <w:left w:val="none" w:sz="0" w:space="0" w:color="auto"/>
            <w:bottom w:val="none" w:sz="0" w:space="0" w:color="auto"/>
            <w:right w:val="none" w:sz="0" w:space="0" w:color="auto"/>
          </w:divBdr>
        </w:div>
        <w:div w:id="600602248">
          <w:marLeft w:val="0"/>
          <w:marRight w:val="0"/>
          <w:marTop w:val="0"/>
          <w:marBottom w:val="0"/>
          <w:divBdr>
            <w:top w:val="none" w:sz="0" w:space="0" w:color="auto"/>
            <w:left w:val="none" w:sz="0" w:space="0" w:color="auto"/>
            <w:bottom w:val="none" w:sz="0" w:space="0" w:color="auto"/>
            <w:right w:val="none" w:sz="0" w:space="0" w:color="auto"/>
          </w:divBdr>
        </w:div>
        <w:div w:id="2014337308">
          <w:marLeft w:val="0"/>
          <w:marRight w:val="0"/>
          <w:marTop w:val="0"/>
          <w:marBottom w:val="0"/>
          <w:divBdr>
            <w:top w:val="none" w:sz="0" w:space="0" w:color="auto"/>
            <w:left w:val="none" w:sz="0" w:space="0" w:color="auto"/>
            <w:bottom w:val="none" w:sz="0" w:space="0" w:color="auto"/>
            <w:right w:val="none" w:sz="0" w:space="0" w:color="auto"/>
          </w:divBdr>
        </w:div>
        <w:div w:id="431827708">
          <w:marLeft w:val="0"/>
          <w:marRight w:val="0"/>
          <w:marTop w:val="0"/>
          <w:marBottom w:val="0"/>
          <w:divBdr>
            <w:top w:val="none" w:sz="0" w:space="0" w:color="auto"/>
            <w:left w:val="none" w:sz="0" w:space="0" w:color="auto"/>
            <w:bottom w:val="none" w:sz="0" w:space="0" w:color="auto"/>
            <w:right w:val="none" w:sz="0" w:space="0" w:color="auto"/>
          </w:divBdr>
        </w:div>
        <w:div w:id="329872498">
          <w:marLeft w:val="0"/>
          <w:marRight w:val="0"/>
          <w:marTop w:val="0"/>
          <w:marBottom w:val="0"/>
          <w:divBdr>
            <w:top w:val="none" w:sz="0" w:space="0" w:color="auto"/>
            <w:left w:val="none" w:sz="0" w:space="0" w:color="auto"/>
            <w:bottom w:val="none" w:sz="0" w:space="0" w:color="auto"/>
            <w:right w:val="none" w:sz="0" w:space="0" w:color="auto"/>
          </w:divBdr>
        </w:div>
        <w:div w:id="429467709">
          <w:marLeft w:val="0"/>
          <w:marRight w:val="0"/>
          <w:marTop w:val="0"/>
          <w:marBottom w:val="0"/>
          <w:divBdr>
            <w:top w:val="none" w:sz="0" w:space="0" w:color="auto"/>
            <w:left w:val="none" w:sz="0" w:space="0" w:color="auto"/>
            <w:bottom w:val="none" w:sz="0" w:space="0" w:color="auto"/>
            <w:right w:val="none" w:sz="0" w:space="0" w:color="auto"/>
          </w:divBdr>
          <w:divsChild>
            <w:div w:id="1060714937">
              <w:marLeft w:val="-75"/>
              <w:marRight w:val="0"/>
              <w:marTop w:val="30"/>
              <w:marBottom w:val="30"/>
              <w:divBdr>
                <w:top w:val="none" w:sz="0" w:space="0" w:color="auto"/>
                <w:left w:val="none" w:sz="0" w:space="0" w:color="auto"/>
                <w:bottom w:val="none" w:sz="0" w:space="0" w:color="auto"/>
                <w:right w:val="none" w:sz="0" w:space="0" w:color="auto"/>
              </w:divBdr>
              <w:divsChild>
                <w:div w:id="1886327547">
                  <w:marLeft w:val="0"/>
                  <w:marRight w:val="0"/>
                  <w:marTop w:val="0"/>
                  <w:marBottom w:val="0"/>
                  <w:divBdr>
                    <w:top w:val="none" w:sz="0" w:space="0" w:color="auto"/>
                    <w:left w:val="none" w:sz="0" w:space="0" w:color="auto"/>
                    <w:bottom w:val="none" w:sz="0" w:space="0" w:color="auto"/>
                    <w:right w:val="none" w:sz="0" w:space="0" w:color="auto"/>
                  </w:divBdr>
                  <w:divsChild>
                    <w:div w:id="1716007919">
                      <w:marLeft w:val="0"/>
                      <w:marRight w:val="0"/>
                      <w:marTop w:val="0"/>
                      <w:marBottom w:val="0"/>
                      <w:divBdr>
                        <w:top w:val="none" w:sz="0" w:space="0" w:color="auto"/>
                        <w:left w:val="none" w:sz="0" w:space="0" w:color="auto"/>
                        <w:bottom w:val="none" w:sz="0" w:space="0" w:color="auto"/>
                        <w:right w:val="none" w:sz="0" w:space="0" w:color="auto"/>
                      </w:divBdr>
                    </w:div>
                  </w:divsChild>
                </w:div>
                <w:div w:id="92479644">
                  <w:marLeft w:val="0"/>
                  <w:marRight w:val="0"/>
                  <w:marTop w:val="0"/>
                  <w:marBottom w:val="0"/>
                  <w:divBdr>
                    <w:top w:val="none" w:sz="0" w:space="0" w:color="auto"/>
                    <w:left w:val="none" w:sz="0" w:space="0" w:color="auto"/>
                    <w:bottom w:val="none" w:sz="0" w:space="0" w:color="auto"/>
                    <w:right w:val="none" w:sz="0" w:space="0" w:color="auto"/>
                  </w:divBdr>
                  <w:divsChild>
                    <w:div w:id="656299341">
                      <w:marLeft w:val="0"/>
                      <w:marRight w:val="0"/>
                      <w:marTop w:val="0"/>
                      <w:marBottom w:val="0"/>
                      <w:divBdr>
                        <w:top w:val="none" w:sz="0" w:space="0" w:color="auto"/>
                        <w:left w:val="none" w:sz="0" w:space="0" w:color="auto"/>
                        <w:bottom w:val="none" w:sz="0" w:space="0" w:color="auto"/>
                        <w:right w:val="none" w:sz="0" w:space="0" w:color="auto"/>
                      </w:divBdr>
                    </w:div>
                  </w:divsChild>
                </w:div>
                <w:div w:id="612396722">
                  <w:marLeft w:val="0"/>
                  <w:marRight w:val="0"/>
                  <w:marTop w:val="0"/>
                  <w:marBottom w:val="0"/>
                  <w:divBdr>
                    <w:top w:val="none" w:sz="0" w:space="0" w:color="auto"/>
                    <w:left w:val="none" w:sz="0" w:space="0" w:color="auto"/>
                    <w:bottom w:val="none" w:sz="0" w:space="0" w:color="auto"/>
                    <w:right w:val="none" w:sz="0" w:space="0" w:color="auto"/>
                  </w:divBdr>
                  <w:divsChild>
                    <w:div w:id="378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48880">
          <w:marLeft w:val="0"/>
          <w:marRight w:val="0"/>
          <w:marTop w:val="0"/>
          <w:marBottom w:val="0"/>
          <w:divBdr>
            <w:top w:val="none" w:sz="0" w:space="0" w:color="auto"/>
            <w:left w:val="none" w:sz="0" w:space="0" w:color="auto"/>
            <w:bottom w:val="none" w:sz="0" w:space="0" w:color="auto"/>
            <w:right w:val="none" w:sz="0" w:space="0" w:color="auto"/>
          </w:divBdr>
        </w:div>
        <w:div w:id="338891432">
          <w:marLeft w:val="0"/>
          <w:marRight w:val="0"/>
          <w:marTop w:val="0"/>
          <w:marBottom w:val="0"/>
          <w:divBdr>
            <w:top w:val="none" w:sz="0" w:space="0" w:color="auto"/>
            <w:left w:val="none" w:sz="0" w:space="0" w:color="auto"/>
            <w:bottom w:val="none" w:sz="0" w:space="0" w:color="auto"/>
            <w:right w:val="none" w:sz="0" w:space="0" w:color="auto"/>
          </w:divBdr>
        </w:div>
        <w:div w:id="936517555">
          <w:marLeft w:val="0"/>
          <w:marRight w:val="0"/>
          <w:marTop w:val="0"/>
          <w:marBottom w:val="0"/>
          <w:divBdr>
            <w:top w:val="none" w:sz="0" w:space="0" w:color="auto"/>
            <w:left w:val="none" w:sz="0" w:space="0" w:color="auto"/>
            <w:bottom w:val="none" w:sz="0" w:space="0" w:color="auto"/>
            <w:right w:val="none" w:sz="0" w:space="0" w:color="auto"/>
          </w:divBdr>
        </w:div>
        <w:div w:id="387991969">
          <w:marLeft w:val="0"/>
          <w:marRight w:val="0"/>
          <w:marTop w:val="0"/>
          <w:marBottom w:val="0"/>
          <w:divBdr>
            <w:top w:val="none" w:sz="0" w:space="0" w:color="auto"/>
            <w:left w:val="none" w:sz="0" w:space="0" w:color="auto"/>
            <w:bottom w:val="none" w:sz="0" w:space="0" w:color="auto"/>
            <w:right w:val="none" w:sz="0" w:space="0" w:color="auto"/>
          </w:divBdr>
        </w:div>
        <w:div w:id="1174758719">
          <w:marLeft w:val="0"/>
          <w:marRight w:val="0"/>
          <w:marTop w:val="0"/>
          <w:marBottom w:val="0"/>
          <w:divBdr>
            <w:top w:val="none" w:sz="0" w:space="0" w:color="auto"/>
            <w:left w:val="none" w:sz="0" w:space="0" w:color="auto"/>
            <w:bottom w:val="none" w:sz="0" w:space="0" w:color="auto"/>
            <w:right w:val="none" w:sz="0" w:space="0" w:color="auto"/>
          </w:divBdr>
        </w:div>
        <w:div w:id="138958227">
          <w:marLeft w:val="0"/>
          <w:marRight w:val="0"/>
          <w:marTop w:val="0"/>
          <w:marBottom w:val="0"/>
          <w:divBdr>
            <w:top w:val="none" w:sz="0" w:space="0" w:color="auto"/>
            <w:left w:val="none" w:sz="0" w:space="0" w:color="auto"/>
            <w:bottom w:val="none" w:sz="0" w:space="0" w:color="auto"/>
            <w:right w:val="none" w:sz="0" w:space="0" w:color="auto"/>
          </w:divBdr>
        </w:div>
        <w:div w:id="467941531">
          <w:marLeft w:val="0"/>
          <w:marRight w:val="0"/>
          <w:marTop w:val="0"/>
          <w:marBottom w:val="0"/>
          <w:divBdr>
            <w:top w:val="none" w:sz="0" w:space="0" w:color="auto"/>
            <w:left w:val="none" w:sz="0" w:space="0" w:color="auto"/>
            <w:bottom w:val="none" w:sz="0" w:space="0" w:color="auto"/>
            <w:right w:val="none" w:sz="0" w:space="0" w:color="auto"/>
          </w:divBdr>
        </w:div>
        <w:div w:id="956453357">
          <w:marLeft w:val="0"/>
          <w:marRight w:val="0"/>
          <w:marTop w:val="0"/>
          <w:marBottom w:val="0"/>
          <w:divBdr>
            <w:top w:val="none" w:sz="0" w:space="0" w:color="auto"/>
            <w:left w:val="none" w:sz="0" w:space="0" w:color="auto"/>
            <w:bottom w:val="none" w:sz="0" w:space="0" w:color="auto"/>
            <w:right w:val="none" w:sz="0" w:space="0" w:color="auto"/>
          </w:divBdr>
        </w:div>
        <w:div w:id="555554530">
          <w:marLeft w:val="0"/>
          <w:marRight w:val="0"/>
          <w:marTop w:val="0"/>
          <w:marBottom w:val="0"/>
          <w:divBdr>
            <w:top w:val="none" w:sz="0" w:space="0" w:color="auto"/>
            <w:left w:val="none" w:sz="0" w:space="0" w:color="auto"/>
            <w:bottom w:val="none" w:sz="0" w:space="0" w:color="auto"/>
            <w:right w:val="none" w:sz="0" w:space="0" w:color="auto"/>
          </w:divBdr>
        </w:div>
        <w:div w:id="2040230998">
          <w:marLeft w:val="0"/>
          <w:marRight w:val="0"/>
          <w:marTop w:val="0"/>
          <w:marBottom w:val="0"/>
          <w:divBdr>
            <w:top w:val="none" w:sz="0" w:space="0" w:color="auto"/>
            <w:left w:val="none" w:sz="0" w:space="0" w:color="auto"/>
            <w:bottom w:val="none" w:sz="0" w:space="0" w:color="auto"/>
            <w:right w:val="none" w:sz="0" w:space="0" w:color="auto"/>
          </w:divBdr>
        </w:div>
        <w:div w:id="1009213925">
          <w:marLeft w:val="0"/>
          <w:marRight w:val="0"/>
          <w:marTop w:val="0"/>
          <w:marBottom w:val="0"/>
          <w:divBdr>
            <w:top w:val="none" w:sz="0" w:space="0" w:color="auto"/>
            <w:left w:val="none" w:sz="0" w:space="0" w:color="auto"/>
            <w:bottom w:val="none" w:sz="0" w:space="0" w:color="auto"/>
            <w:right w:val="none" w:sz="0" w:space="0" w:color="auto"/>
          </w:divBdr>
        </w:div>
        <w:div w:id="981541874">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Pages>
  <Words>1288</Words>
  <Characters>7086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16</cp:revision>
  <cp:lastPrinted>2021-02-13T18:38:00Z</cp:lastPrinted>
  <dcterms:created xsi:type="dcterms:W3CDTF">2021-06-15T04:50:00Z</dcterms:created>
  <dcterms:modified xsi:type="dcterms:W3CDTF">2022-02-02T15:22:00Z</dcterms:modified>
</cp:coreProperties>
</file>