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Cytosquelette est formé par trois types (diamètre) :</w:t>
      </w:r>
    </w:p>
    <w:tbl>
      <w:tblPr>
        <w:tblStyle w:val="Grilledetableauclaire"/>
        <w:tblW w:w="5000" w:type="pct"/>
        <w:tblLayout w:type="fixed"/>
        <w:tblLook w:val="0600" w:firstRow="0" w:lastRow="0" w:firstColumn="0" w:lastColumn="0" w:noHBand="1" w:noVBand="1"/>
      </w:tblPr>
      <w:tblGrid>
        <w:gridCol w:w="2445"/>
        <w:gridCol w:w="2445"/>
        <w:gridCol w:w="2445"/>
      </w:tblGrid>
      <w:tr>
        <w:tc>
          <w:tcPr>
            <w:tcW w:w="3005" w:type="dxa"/>
          </w:tcPr>
          <w:p>
            <w:r>
              <w:t>Microtubule (24 nm)</w:t>
            </w:r>
          </w:p>
        </w:tc>
        <w:tc>
          <w:tcPr>
            <w:tcW w:w="3005" w:type="dxa"/>
          </w:tcPr>
          <w:p>
            <w:r>
              <w:t>Filament d’actine (7-9 nm)</w:t>
            </w:r>
          </w:p>
        </w:tc>
        <w:tc>
          <w:tcPr>
            <w:tcW w:w="3005" w:type="dxa"/>
          </w:tcPr>
          <w:p>
            <w:r>
              <w:t>Filament intermédiaire (10 nm)</w:t>
            </w:r>
          </w:p>
        </w:tc>
      </w:tr>
    </w:tbl>
    <w:p>
      <w:pPr>
        <w:pStyle w:val="Titre1"/>
      </w:pPr>
      <w:r>
        <w:t>Les microtubules</w:t>
      </w:r>
    </w:p>
    <w:p>
      <w:r>
        <w:t>Les microtubules sont des tubes consituté de 13 filaments de polymères de dimère de tubuline.</w:t>
      </w:r>
    </w:p>
    <w:p>
      <w:r>
        <w:t xml:space="preserve">Chaque hétérodimère est formé par deux sous unités </w:t>
      </w:r>
      <w:r>
        <w:t>instables</w:t>
      </w:r>
      <w:r>
        <w:t>, qui</w:t>
      </w:r>
      <w:r>
        <w:t xml:space="preserve"> s’assemblent spontanément</w:t>
      </w:r>
      <w:r>
        <w:t> :</w:t>
      </w:r>
    </w:p>
    <w:tbl>
      <w:tblPr>
        <w:tblStyle w:val="Grilledetableauclaire"/>
        <w:tblW w:w="0" w:type="auto"/>
        <w:tblLook w:val="0400" w:firstRow="0" w:lastRow="0" w:firstColumn="0" w:lastColumn="0" w:noHBand="0" w:noVBand="1"/>
      </w:tblPr>
      <w:tblGrid>
        <w:gridCol w:w="3667"/>
        <w:gridCol w:w="3668"/>
      </w:tblGrid>
      <w:tr>
        <w:trPr>
          <w:trHeight w:val="97"/>
        </w:trPr>
        <w:tc>
          <w:tcPr>
            <w:tcW w:w="3667" w:type="dxa"/>
          </w:tcPr>
          <w:p>
            <w:r>
              <w:t xml:space="preserve">Alpha </w:t>
            </w:r>
          </w:p>
        </w:tc>
        <w:tc>
          <w:tcPr>
            <w:tcW w:w="3668" w:type="dxa"/>
          </w:tcPr>
          <w:p>
            <w:r>
              <w:t>Béta</w:t>
            </w:r>
          </w:p>
        </w:tc>
      </w:tr>
    </w:tbl>
    <w:p>
      <w:pPr>
        <w:pStyle w:val="Titre2"/>
      </w:pPr>
      <w:r>
        <w:t>La tubuline</w:t>
      </w:r>
    </w:p>
    <w:p>
      <w:r>
        <w:t xml:space="preserve">La tubuline avec deux extrémités </w:t>
      </w:r>
    </w:p>
    <w:tbl>
      <w:tblPr>
        <w:tblStyle w:val="Grilledetableauclaire"/>
        <w:tblW w:w="0" w:type="auto"/>
        <w:tblLook w:val="0400" w:firstRow="0" w:lastRow="0" w:firstColumn="0" w:lastColumn="0" w:noHBand="0" w:noVBand="1"/>
      </w:tblPr>
      <w:tblGrid>
        <w:gridCol w:w="3667"/>
        <w:gridCol w:w="3668"/>
      </w:tblGrid>
      <w:tr>
        <w:tc>
          <w:tcPr>
            <w:tcW w:w="3667" w:type="dxa"/>
          </w:tcPr>
          <w:p>
            <w:r>
              <w:t>Une queue ou extrémité C-ter.</w:t>
            </w:r>
          </w:p>
        </w:tc>
        <w:tc>
          <w:tcPr>
            <w:tcW w:w="3668" w:type="dxa"/>
          </w:tcPr>
          <w:p>
            <w:r>
              <w:t>Molécule de GTP</w:t>
            </w:r>
          </w:p>
        </w:tc>
      </w:tr>
    </w:tbl>
    <w:p>
      <w:r>
        <w:t>L’</w:t>
      </w:r>
      <w:r>
        <w:t>extrémité C-ter</w:t>
      </w:r>
      <w:r>
        <w:t xml:space="preserve"> est </w:t>
      </w:r>
      <w:r>
        <w:t>chargé</w:t>
      </w:r>
      <w:r>
        <w:t>e</w:t>
      </w:r>
      <w:r>
        <w:t xml:space="preserve"> négativement (glutamate)</w:t>
      </w:r>
      <w:r>
        <w:t xml:space="preserve">. Elle </w:t>
      </w:r>
      <w:r>
        <w:t>int</w:t>
      </w:r>
      <w:r>
        <w:t>e</w:t>
      </w:r>
      <w:r>
        <w:t>raction on lieu notamment par la suppresion des charges. généralement le lieu des interactions avec les protéines régulatrices</w:t>
      </w:r>
      <w:r>
        <w:t xml:space="preserve">. </w:t>
      </w:r>
    </w:p>
    <w:p>
      <w:r>
        <w:t>Il existe différente</w:t>
      </w:r>
      <w:r>
        <w:t>s</w:t>
      </w:r>
      <w:r>
        <w:t xml:space="preserve"> versions </w:t>
      </w:r>
      <w:r>
        <w:t xml:space="preserve">de tubuline (isoformes) eux même possédant des variations </w:t>
      </w:r>
      <w:r>
        <w:t>(</w:t>
      </w:r>
      <w:r>
        <w:t xml:space="preserve">isotopes). Les </w:t>
      </w:r>
      <w:r>
        <w:t xml:space="preserve">isotopes </w:t>
      </w:r>
      <w:r>
        <w:t xml:space="preserve">se différencient par la constitution et la structure de leur </w:t>
      </w:r>
      <w:r>
        <w:t>extrémité C-ter.</w:t>
      </w:r>
    </w:p>
    <w:p>
      <w:r>
        <w:t>Isoformes : alpha, béta, gamma, etc.</w:t>
      </w:r>
    </w:p>
    <w:p>
      <w:pPr>
        <w:pStyle w:val="Titre3"/>
      </w:pPr>
      <w:r>
        <w:t>Polimérisation</w:t>
      </w:r>
    </w:p>
    <w:p>
      <w:r>
        <w:t xml:space="preserve">Deux dimères se lient auLa polymérisation des microtubules </w:t>
      </w:r>
      <w:r>
        <w:t>GTP est hydrolyser en GDP au niveau de l’extrémité Béta.</w:t>
      </w:r>
    </w:p>
    <w:p>
      <w:pPr>
        <w:pStyle w:val="Titre3"/>
      </w:pPr>
      <w:r>
        <w:t>Propriété des microtubules</w:t>
      </w:r>
    </w:p>
    <w:p>
      <w:r>
        <w:t>La disymétrie entre du monomère se retrouve à l’échelle du microtubule et confère au tout une propriété structurale de</w:t>
      </w:r>
      <w:r>
        <w:t xml:space="preserve"> po</w:t>
      </w:r>
      <w:r>
        <w:t xml:space="preserve">larité </w:t>
      </w:r>
      <w:r>
        <w:t>fonctionnelle.</w:t>
      </w:r>
      <w:r>
        <w:t xml:space="preserve"> La </w:t>
      </w:r>
      <w:r>
        <w:t xml:space="preserve">polymérisation a lieu principalement au niveau de tubuline béta (par opposition à l’extrémité alpha). Elle est de ce fait appelé extrémité +. </w:t>
      </w:r>
    </w:p>
    <w:p>
      <w:r>
        <w:t>La polymérisation à l’occalisé principalement au niveau d’une seule extrémité.</w:t>
      </w:r>
    </w:p>
    <w:p>
      <w:pPr>
        <w:pStyle w:val="Titre3"/>
      </w:pPr>
      <w:r>
        <w:t>Assemblage des protofilaments en microfilament</w:t>
      </w:r>
    </w:p>
    <w:p>
      <w:r>
        <w:t xml:space="preserve">Généralement les microtubules sont formé de 13 protofilaments. Les interactions se </w:t>
      </w:r>
      <w:r>
        <w:t>font</w:t>
      </w:r>
      <w:r>
        <w:t xml:space="preserve"> entre les tubulines d</w:t>
      </w:r>
      <w:r>
        <w:t>u</w:t>
      </w:r>
      <w:r>
        <w:t xml:space="preserve"> même type </w:t>
      </w:r>
      <w:r>
        <w:t xml:space="preserve">avec </w:t>
      </w:r>
      <w:r>
        <w:t>déca</w:t>
      </w:r>
      <w:r>
        <w:t>ge</w:t>
      </w:r>
      <w:r>
        <w:t xml:space="preserve"> dans l’espace</w:t>
      </w:r>
      <w:r>
        <w:t xml:space="preserve"> ce qui c</w:t>
      </w:r>
      <w:r>
        <w:t>onfère</w:t>
      </w:r>
      <w:r>
        <w:t xml:space="preserve"> </w:t>
      </w:r>
      <w:r>
        <w:t>un aspect en spirale.</w:t>
      </w:r>
    </w:p>
    <w:p>
      <w:pPr>
        <w:pStyle w:val="Titre3"/>
      </w:pPr>
      <w:r>
        <w:t>Centrosome</w:t>
      </w:r>
    </w:p>
    <w:p>
      <w:r>
        <w:t xml:space="preserve">Les microtubules se déploient à partir d’une zone localisée dans la cellule appelée centrosome. </w:t>
      </w:r>
      <w:r>
        <w:t>Il est formé de deux centroides</w:t>
      </w:r>
      <w:r>
        <w:t xml:space="preserve"> positionnée perpendiculairement.</w:t>
      </w:r>
    </w:p>
    <w:p>
      <w:r>
        <w:rPr>
          <w:rStyle w:val="Accentuation"/>
        </w:rPr>
        <w:t>Centrosome</w:t>
      </w:r>
      <w:r>
        <w:t xml:space="preserve"> centre organisateur des microtubules.</w:t>
      </w:r>
      <w:r>
        <w:br/>
        <w:t xml:space="preserve">Le centrosome se compose d’une épaisseur de tubuline gamma associé à des protéines de type GCPS qui forme un </w:t>
      </w:r>
      <w:r>
        <w:t xml:space="preserve">complexe </w:t>
      </w:r>
      <w:r>
        <w:t xml:space="preserve">appelé </w:t>
      </w:r>
      <w:r>
        <w:t>gamma-TUSC</w:t>
      </w:r>
      <w:r>
        <w:t>. Au dessus se trouve l’alternance des tubulines alpha et beta. Elle débute par une couche de tubiline.</w:t>
      </w:r>
    </w:p>
    <w:p>
      <w:r>
        <w:rPr>
          <w:u w:val="single"/>
        </w:rPr>
        <w:t>Rmq :</w:t>
      </w:r>
      <w:r>
        <w:t xml:space="preserve"> la tubuline gamma est impliquée dans la biogénèse des microtubules.</w:t>
      </w:r>
    </w:p>
    <w:p>
      <w:pPr>
        <w:pStyle w:val="Titre2"/>
      </w:pPr>
      <w:r>
        <w:t xml:space="preserve">Instabilité dynamique des microtubules. </w:t>
      </w:r>
    </w:p>
    <w:p>
      <w:r>
        <w:t>La stabilité des microtubules dans le temps dépend de la concentration de tubuline :</w:t>
      </w:r>
    </w:p>
    <w:tbl>
      <w:tblPr>
        <w:tblStyle w:val="Grilledetableauclaire"/>
        <w:tblW w:w="0" w:type="auto"/>
        <w:tblLook w:val="0400" w:firstRow="0" w:lastRow="0" w:firstColumn="0" w:lastColumn="0" w:noHBand="0" w:noVBand="1"/>
      </w:tblPr>
      <w:tblGrid>
        <w:gridCol w:w="3667"/>
        <w:gridCol w:w="3668"/>
      </w:tblGrid>
      <w:tr>
        <w:tc>
          <w:tcPr>
            <w:tcW w:w="3667" w:type="dxa"/>
          </w:tcPr>
          <w:p>
            <w:r>
              <w:t>De protéines régulatrices</w:t>
            </w:r>
          </w:p>
        </w:tc>
        <w:tc>
          <w:tcPr>
            <w:tcW w:w="3668" w:type="dxa"/>
          </w:tcPr>
          <w:p>
            <w:r>
              <w:t>De la concentration en tubulien</w:t>
            </w:r>
          </w:p>
        </w:tc>
      </w:tr>
    </w:tbl>
    <w:p>
      <w:r>
        <w:t>Certaines protéines agissent sur la construction ou la déconstruction des réseaux de microtubules en modifiant la probabilité de polymérisation ou de dépolymérysation. Elles peuvent être classées en deux catégories en fonction de si elle augmente ou diminue l’instabilité des microtubules.</w:t>
      </w:r>
    </w:p>
    <w:p>
      <w:r>
        <w:rPr>
          <w:u w:val="single"/>
        </w:rPr>
        <w:lastRenderedPageBreak/>
        <w:t>Rmq :</w:t>
      </w:r>
      <w:r>
        <w:t xml:space="preserve"> </w:t>
      </w:r>
      <w:r>
        <w:t>Le rôle des protéines dépend des intéractions avec d’autres protéines</w:t>
      </w:r>
      <w:r>
        <w:t xml:space="preserve">. Il peut changer au cours du </w:t>
      </w:r>
      <w:r>
        <w:t>temps.</w:t>
      </w:r>
    </w:p>
    <w:p>
      <w:r>
        <w:t>Exmeples de protéines régulatrices :</w:t>
      </w:r>
    </w:p>
    <w:p>
      <w:pPr>
        <w:pStyle w:val="Paragraphedeliste"/>
        <w:numPr>
          <w:ilvl w:val="0"/>
          <w:numId w:val="47"/>
        </w:numPr>
      </w:pPr>
      <w:r>
        <w:t>Protéines de type MAPS structurales ont une affinité qui diminue avec l’augementation de leur de phosphorilation.</w:t>
      </w:r>
    </w:p>
    <w:p>
      <w:pPr>
        <w:pStyle w:val="Paragraphedeliste"/>
        <w:numPr>
          <w:ilvl w:val="0"/>
          <w:numId w:val="47"/>
        </w:numPr>
      </w:pPr>
      <w:r>
        <w:t>TIPS intéragissent avec l’extrémité +.</w:t>
      </w:r>
    </w:p>
    <w:p>
      <w:pPr>
        <w:pStyle w:val="Titre3"/>
      </w:pPr>
      <w:r>
        <w:t>Protéines déstabilisatrices ou promoteurs de catastrophes</w:t>
      </w:r>
    </w:p>
    <w:p>
      <w:r>
        <w:t xml:space="preserve">Les promoteurs de catastrophes agissent de deux manières pour augmenter la probabilité de dépolymérisation : </w:t>
      </w:r>
    </w:p>
    <w:p>
      <w:pPr>
        <w:pStyle w:val="Paragraphedeliste"/>
        <w:numPr>
          <w:ilvl w:val="0"/>
          <w:numId w:val="42"/>
        </w:numPr>
        <w:rPr>
          <w:rFonts w:eastAsiaTheme="minorEastAsia"/>
        </w:rPr>
      </w:pPr>
      <w:r>
        <w:t>Séquestration de la tubuline càd une baisse de la concentration de tubuline au moins au niveau de l’extrémité du microtubule.</w:t>
      </w:r>
    </w:p>
    <w:p>
      <w:pPr>
        <w:pStyle w:val="Paragraphedeliste"/>
        <w:numPr>
          <w:ilvl w:val="0"/>
          <w:numId w:val="42"/>
        </w:numPr>
      </w:pPr>
      <w:r>
        <w:t>Déstabilisation de l’extrémité.</w:t>
      </w:r>
    </w:p>
    <w:p>
      <w:r>
        <w:t xml:space="preserve">Quelques exemples de protéines de déstabilisation : </w:t>
      </w:r>
    </w:p>
    <w:p>
      <w:pPr>
        <w:pStyle w:val="Paragraphedeliste"/>
        <w:numPr>
          <w:ilvl w:val="0"/>
          <w:numId w:val="45"/>
        </w:numPr>
      </w:pPr>
      <w:r>
        <w:t xml:space="preserve">Les stathmines s’associent aux dimères </w:t>
      </w:r>
      <w:r>
        <w:t xml:space="preserve">ce qui bloque la capacité d’intéraction </w:t>
      </w:r>
      <w:r>
        <w:t xml:space="preserve">entre ces derniers. L’affinité est régulé par leur degré de phosphorilation (corrélation positive). </w:t>
      </w:r>
    </w:p>
    <w:p>
      <w:pPr>
        <w:pStyle w:val="Paragraphedeliste"/>
        <w:numPr>
          <w:ilvl w:val="0"/>
          <w:numId w:val="45"/>
        </w:numPr>
      </w:pPr>
      <w:r>
        <w:t>K</w:t>
      </w:r>
      <w:r>
        <w:t>atanine</w:t>
      </w:r>
      <w:r>
        <w:t xml:space="preserve"> provoque le désassemblage par </w:t>
      </w:r>
      <w:r>
        <w:t xml:space="preserve">fragmentation </w:t>
      </w:r>
      <w:r>
        <w:t>du microtubule.</w:t>
      </w:r>
    </w:p>
    <w:p>
      <w:pPr>
        <w:pStyle w:val="Titre3"/>
      </w:pPr>
      <w:r>
        <w:t>Les substances toxiques</w:t>
      </w:r>
    </w:p>
    <w:p>
      <w:r>
        <w:t>Certaines substances toxiquesi agissent sur les microtubules pour causer la mort des cellules soit en  :</w:t>
      </w:r>
    </w:p>
    <w:p>
      <w:pPr>
        <w:pStyle w:val="Paragraphedeliste"/>
        <w:numPr>
          <w:ilvl w:val="0"/>
          <w:numId w:val="46"/>
        </w:numPr>
      </w:pPr>
      <w:r>
        <w:t>Induisant une dépolimérisation ou une polymérisation.</w:t>
      </w:r>
    </w:p>
    <w:p>
      <w:pPr>
        <w:pStyle w:val="Paragraphedeliste"/>
        <w:numPr>
          <w:ilvl w:val="0"/>
          <w:numId w:val="46"/>
        </w:numPr>
      </w:pPr>
      <w:r>
        <w:t>Bloquant le microtubule dans sa conformation càd empechant toutes activité de polymérisation ou de dépolymérisation.</w:t>
      </w:r>
    </w:p>
    <w:p>
      <w:r>
        <w:t xml:space="preserve">Le rôle des microtubules </w:t>
      </w:r>
    </w:p>
    <w:p>
      <w:r>
        <w:t xml:space="preserve">Quelques grandes fonctions de microtubules : </w:t>
      </w:r>
    </w:p>
    <w:p>
      <w:pPr>
        <w:pStyle w:val="Paragraphedeliste"/>
        <w:numPr>
          <w:ilvl w:val="0"/>
          <w:numId w:val="48"/>
        </w:numPr>
      </w:pPr>
      <w:r>
        <w:t>le battement ciliaire et flagellaire</w:t>
      </w:r>
    </w:p>
    <w:p>
      <w:pPr>
        <w:pStyle w:val="Paragraphedeliste"/>
        <w:numPr>
          <w:ilvl w:val="0"/>
          <w:numId w:val="48"/>
        </w:numPr>
      </w:pPr>
      <w:r>
        <w:t>Implication dans les transports intracellulaires et le maintien de la compartimentation intracellulaire</w:t>
      </w:r>
    </w:p>
    <w:p>
      <w:pPr>
        <w:pStyle w:val="Paragraphedeliste"/>
        <w:numPr>
          <w:ilvl w:val="0"/>
          <w:numId w:val="48"/>
        </w:numPr>
      </w:pPr>
      <w:r>
        <w:t>Implication lors de la division cellulaire (mise en place du fuseau mitotique, séparation des chromosomes…)</w:t>
      </w:r>
    </w:p>
    <w:p>
      <w:r>
        <w:t>Ces fonctions nécessitent les moteurs moléculaires associés aux microtubules ou MAPs motrice:</w:t>
      </w:r>
    </w:p>
    <w:p>
      <w:pPr>
        <w:pStyle w:val="Paragraphedeliste"/>
        <w:numPr>
          <w:ilvl w:val="0"/>
          <w:numId w:val="48"/>
        </w:numPr>
      </w:pPr>
      <w:r>
        <w:t>les dynéines</w:t>
      </w:r>
    </w:p>
    <w:p>
      <w:pPr>
        <w:pStyle w:val="Paragraphedeliste"/>
        <w:numPr>
          <w:ilvl w:val="0"/>
          <w:numId w:val="48"/>
        </w:numPr>
      </w:pPr>
      <w:r>
        <w:t>Les kinesines</w:t>
      </w:r>
    </w:p>
    <w:p/>
    <w:p>
      <w:pPr>
        <w:pStyle w:val="Titre1"/>
      </w:pPr>
      <w:r>
        <w:t>Adhésion cellulaire et milieu extracellulaire</w:t>
      </w:r>
    </w:p>
    <w:p>
      <w:pPr>
        <w:pStyle w:val="Titre1"/>
      </w:pPr>
      <w:r>
        <w:t>Trafic intercellulaire</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Biologie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48.75pt;height:23.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3C25B2"/>
    <w:multiLevelType w:val="hybridMultilevel"/>
    <w:tmpl w:val="9AECC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A2B76F4"/>
    <w:multiLevelType w:val="hybridMultilevel"/>
    <w:tmpl w:val="7D48A416"/>
    <w:lvl w:ilvl="0" w:tplc="6688D05C">
      <w:start w:val="1"/>
      <w:numFmt w:val="bullet"/>
      <w:lvlText w:val="-"/>
      <w:lvlJc w:val="left"/>
      <w:pPr>
        <w:ind w:left="720" w:hanging="360"/>
      </w:pPr>
      <w:rPr>
        <w:rFonts w:ascii="Calibri" w:hAnsi="Calibri" w:hint="default"/>
      </w:rPr>
    </w:lvl>
    <w:lvl w:ilvl="1" w:tplc="D690E2F8">
      <w:start w:val="1"/>
      <w:numFmt w:val="bullet"/>
      <w:lvlText w:val="o"/>
      <w:lvlJc w:val="left"/>
      <w:pPr>
        <w:ind w:left="1440" w:hanging="360"/>
      </w:pPr>
      <w:rPr>
        <w:rFonts w:ascii="Courier New" w:hAnsi="Courier New" w:hint="default"/>
      </w:rPr>
    </w:lvl>
    <w:lvl w:ilvl="2" w:tplc="C504A700">
      <w:start w:val="1"/>
      <w:numFmt w:val="bullet"/>
      <w:lvlText w:val=""/>
      <w:lvlJc w:val="left"/>
      <w:pPr>
        <w:ind w:left="2160" w:hanging="360"/>
      </w:pPr>
      <w:rPr>
        <w:rFonts w:ascii="Wingdings" w:hAnsi="Wingdings" w:hint="default"/>
      </w:rPr>
    </w:lvl>
    <w:lvl w:ilvl="3" w:tplc="149A99E6">
      <w:start w:val="1"/>
      <w:numFmt w:val="bullet"/>
      <w:lvlText w:val=""/>
      <w:lvlJc w:val="left"/>
      <w:pPr>
        <w:ind w:left="2880" w:hanging="360"/>
      </w:pPr>
      <w:rPr>
        <w:rFonts w:ascii="Symbol" w:hAnsi="Symbol" w:hint="default"/>
      </w:rPr>
    </w:lvl>
    <w:lvl w:ilvl="4" w:tplc="9F7CD63C">
      <w:start w:val="1"/>
      <w:numFmt w:val="bullet"/>
      <w:lvlText w:val="o"/>
      <w:lvlJc w:val="left"/>
      <w:pPr>
        <w:ind w:left="3600" w:hanging="360"/>
      </w:pPr>
      <w:rPr>
        <w:rFonts w:ascii="Courier New" w:hAnsi="Courier New" w:hint="default"/>
      </w:rPr>
    </w:lvl>
    <w:lvl w:ilvl="5" w:tplc="4582E6A0">
      <w:start w:val="1"/>
      <w:numFmt w:val="bullet"/>
      <w:lvlText w:val=""/>
      <w:lvlJc w:val="left"/>
      <w:pPr>
        <w:ind w:left="4320" w:hanging="360"/>
      </w:pPr>
      <w:rPr>
        <w:rFonts w:ascii="Wingdings" w:hAnsi="Wingdings" w:hint="default"/>
      </w:rPr>
    </w:lvl>
    <w:lvl w:ilvl="6" w:tplc="237EEA88">
      <w:start w:val="1"/>
      <w:numFmt w:val="bullet"/>
      <w:lvlText w:val=""/>
      <w:lvlJc w:val="left"/>
      <w:pPr>
        <w:ind w:left="5040" w:hanging="360"/>
      </w:pPr>
      <w:rPr>
        <w:rFonts w:ascii="Symbol" w:hAnsi="Symbol" w:hint="default"/>
      </w:rPr>
    </w:lvl>
    <w:lvl w:ilvl="7" w:tplc="FA8A4880">
      <w:start w:val="1"/>
      <w:numFmt w:val="bullet"/>
      <w:lvlText w:val="o"/>
      <w:lvlJc w:val="left"/>
      <w:pPr>
        <w:ind w:left="5760" w:hanging="360"/>
      </w:pPr>
      <w:rPr>
        <w:rFonts w:ascii="Courier New" w:hAnsi="Courier New" w:hint="default"/>
      </w:rPr>
    </w:lvl>
    <w:lvl w:ilvl="8" w:tplc="B992C086">
      <w:start w:val="1"/>
      <w:numFmt w:val="bullet"/>
      <w:lvlText w:val=""/>
      <w:lvlJc w:val="left"/>
      <w:pPr>
        <w:ind w:left="648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B73478C"/>
    <w:multiLevelType w:val="hybridMultilevel"/>
    <w:tmpl w:val="06646840"/>
    <w:lvl w:ilvl="0" w:tplc="BBC87FB8">
      <w:start w:val="1"/>
      <w:numFmt w:val="bullet"/>
      <w:lvlText w:val=""/>
      <w:lvlJc w:val="left"/>
      <w:pPr>
        <w:ind w:left="720" w:hanging="360"/>
      </w:pPr>
      <w:rPr>
        <w:rFonts w:ascii="Symbol" w:hAnsi="Symbol" w:hint="default"/>
      </w:rPr>
    </w:lvl>
    <w:lvl w:ilvl="1" w:tplc="483CA16E">
      <w:start w:val="1"/>
      <w:numFmt w:val="bullet"/>
      <w:lvlText w:val="o"/>
      <w:lvlJc w:val="left"/>
      <w:pPr>
        <w:ind w:left="1440" w:hanging="360"/>
      </w:pPr>
      <w:rPr>
        <w:rFonts w:ascii="Courier New" w:hAnsi="Courier New" w:hint="default"/>
      </w:rPr>
    </w:lvl>
    <w:lvl w:ilvl="2" w:tplc="AB08C880">
      <w:start w:val="1"/>
      <w:numFmt w:val="bullet"/>
      <w:lvlText w:val=""/>
      <w:lvlJc w:val="left"/>
      <w:pPr>
        <w:ind w:left="2160" w:hanging="360"/>
      </w:pPr>
      <w:rPr>
        <w:rFonts w:ascii="Wingdings" w:hAnsi="Wingdings" w:hint="default"/>
      </w:rPr>
    </w:lvl>
    <w:lvl w:ilvl="3" w:tplc="84EA8338">
      <w:start w:val="1"/>
      <w:numFmt w:val="bullet"/>
      <w:lvlText w:val=""/>
      <w:lvlJc w:val="left"/>
      <w:pPr>
        <w:ind w:left="2880" w:hanging="360"/>
      </w:pPr>
      <w:rPr>
        <w:rFonts w:ascii="Symbol" w:hAnsi="Symbol" w:hint="default"/>
      </w:rPr>
    </w:lvl>
    <w:lvl w:ilvl="4" w:tplc="7778B78E">
      <w:start w:val="1"/>
      <w:numFmt w:val="bullet"/>
      <w:lvlText w:val="o"/>
      <w:lvlJc w:val="left"/>
      <w:pPr>
        <w:ind w:left="3600" w:hanging="360"/>
      </w:pPr>
      <w:rPr>
        <w:rFonts w:ascii="Courier New" w:hAnsi="Courier New" w:hint="default"/>
      </w:rPr>
    </w:lvl>
    <w:lvl w:ilvl="5" w:tplc="3894D3E8">
      <w:start w:val="1"/>
      <w:numFmt w:val="bullet"/>
      <w:lvlText w:val=""/>
      <w:lvlJc w:val="left"/>
      <w:pPr>
        <w:ind w:left="4320" w:hanging="360"/>
      </w:pPr>
      <w:rPr>
        <w:rFonts w:ascii="Wingdings" w:hAnsi="Wingdings" w:hint="default"/>
      </w:rPr>
    </w:lvl>
    <w:lvl w:ilvl="6" w:tplc="1E9C9280">
      <w:start w:val="1"/>
      <w:numFmt w:val="bullet"/>
      <w:lvlText w:val=""/>
      <w:lvlJc w:val="left"/>
      <w:pPr>
        <w:ind w:left="5040" w:hanging="360"/>
      </w:pPr>
      <w:rPr>
        <w:rFonts w:ascii="Symbol" w:hAnsi="Symbol" w:hint="default"/>
      </w:rPr>
    </w:lvl>
    <w:lvl w:ilvl="7" w:tplc="A0181F44">
      <w:start w:val="1"/>
      <w:numFmt w:val="bullet"/>
      <w:lvlText w:val="o"/>
      <w:lvlJc w:val="left"/>
      <w:pPr>
        <w:ind w:left="5760" w:hanging="360"/>
      </w:pPr>
      <w:rPr>
        <w:rFonts w:ascii="Courier New" w:hAnsi="Courier New" w:hint="default"/>
      </w:rPr>
    </w:lvl>
    <w:lvl w:ilvl="8" w:tplc="D744FA1A">
      <w:start w:val="1"/>
      <w:numFmt w:val="bullet"/>
      <w:lvlText w:val=""/>
      <w:lvlJc w:val="left"/>
      <w:pPr>
        <w:ind w:left="6480" w:hanging="360"/>
      </w:pPr>
      <w:rPr>
        <w:rFonts w:ascii="Wingdings" w:hAnsi="Wingdings" w:hint="default"/>
      </w:rPr>
    </w:lvl>
  </w:abstractNum>
  <w:abstractNum w:abstractNumId="28" w15:restartNumberingAfterBreak="0">
    <w:nsid w:val="51612DE9"/>
    <w:multiLevelType w:val="hybridMultilevel"/>
    <w:tmpl w:val="F5CAE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704CCD"/>
    <w:multiLevelType w:val="hybridMultilevel"/>
    <w:tmpl w:val="39829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71E2A1C"/>
    <w:multiLevelType w:val="hybridMultilevel"/>
    <w:tmpl w:val="4C04B3F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05D60BA"/>
    <w:multiLevelType w:val="hybridMultilevel"/>
    <w:tmpl w:val="2B64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3"/>
  </w:num>
  <w:num w:numId="2">
    <w:abstractNumId w:val="31"/>
  </w:num>
  <w:num w:numId="3">
    <w:abstractNumId w:val="12"/>
  </w:num>
  <w:num w:numId="4">
    <w:abstractNumId w:val="2"/>
  </w:num>
  <w:num w:numId="5">
    <w:abstractNumId w:val="10"/>
  </w:num>
  <w:num w:numId="6">
    <w:abstractNumId w:val="7"/>
  </w:num>
  <w:num w:numId="7">
    <w:abstractNumId w:val="13"/>
  </w:num>
  <w:num w:numId="8">
    <w:abstractNumId w:val="23"/>
  </w:num>
  <w:num w:numId="9">
    <w:abstractNumId w:val="34"/>
  </w:num>
  <w:num w:numId="10">
    <w:abstractNumId w:val="16"/>
  </w:num>
  <w:num w:numId="11">
    <w:abstractNumId w:val="19"/>
  </w:num>
  <w:num w:numId="12">
    <w:abstractNumId w:val="4"/>
  </w:num>
  <w:num w:numId="13">
    <w:abstractNumId w:val="39"/>
  </w:num>
  <w:num w:numId="14">
    <w:abstractNumId w:val="22"/>
  </w:num>
  <w:num w:numId="15">
    <w:abstractNumId w:val="26"/>
  </w:num>
  <w:num w:numId="16">
    <w:abstractNumId w:val="43"/>
  </w:num>
  <w:num w:numId="17">
    <w:abstractNumId w:val="5"/>
  </w:num>
  <w:num w:numId="18">
    <w:abstractNumId w:val="9"/>
  </w:num>
  <w:num w:numId="19">
    <w:abstractNumId w:val="25"/>
  </w:num>
  <w:num w:numId="20">
    <w:abstractNumId w:val="37"/>
  </w:num>
  <w:num w:numId="21">
    <w:abstractNumId w:val="21"/>
  </w:num>
  <w:num w:numId="22">
    <w:abstractNumId w:val="29"/>
  </w:num>
  <w:num w:numId="23">
    <w:abstractNumId w:val="46"/>
  </w:num>
  <w:num w:numId="24">
    <w:abstractNumId w:val="42"/>
  </w:num>
  <w:num w:numId="25">
    <w:abstractNumId w:val="45"/>
  </w:num>
  <w:num w:numId="26">
    <w:abstractNumId w:val="6"/>
  </w:num>
  <w:num w:numId="27">
    <w:abstractNumId w:val="1"/>
  </w:num>
  <w:num w:numId="28">
    <w:abstractNumId w:val="35"/>
  </w:num>
  <w:num w:numId="29">
    <w:abstractNumId w:val="14"/>
  </w:num>
  <w:num w:numId="30">
    <w:abstractNumId w:val="40"/>
  </w:num>
  <w:num w:numId="31">
    <w:abstractNumId w:val="24"/>
  </w:num>
  <w:num w:numId="32">
    <w:abstractNumId w:val="3"/>
  </w:num>
  <w:num w:numId="33">
    <w:abstractNumId w:val="36"/>
  </w:num>
  <w:num w:numId="34">
    <w:abstractNumId w:val="11"/>
  </w:num>
  <w:num w:numId="35">
    <w:abstractNumId w:val="32"/>
  </w:num>
  <w:num w:numId="36">
    <w:abstractNumId w:val="44"/>
  </w:num>
  <w:num w:numId="37">
    <w:abstractNumId w:val="15"/>
  </w:num>
  <w:num w:numId="38">
    <w:abstractNumId w:val="0"/>
  </w:num>
  <w:num w:numId="39">
    <w:abstractNumId w:val="47"/>
  </w:num>
  <w:num w:numId="40">
    <w:abstractNumId w:val="20"/>
  </w:num>
  <w:num w:numId="41">
    <w:abstractNumId w:val="18"/>
  </w:num>
  <w:num w:numId="42">
    <w:abstractNumId w:val="27"/>
  </w:num>
  <w:num w:numId="43">
    <w:abstractNumId w:val="17"/>
  </w:num>
  <w:num w:numId="44">
    <w:abstractNumId w:val="28"/>
  </w:num>
  <w:num w:numId="45">
    <w:abstractNumId w:val="8"/>
  </w:num>
  <w:num w:numId="46">
    <w:abstractNumId w:val="41"/>
  </w:num>
  <w:num w:numId="47">
    <w:abstractNumId w:val="3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Pages>
  <Words>673</Words>
  <Characters>3702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cp:revision>
  <cp:lastPrinted>2021-02-13T18:38:00Z</cp:lastPrinted>
  <dcterms:created xsi:type="dcterms:W3CDTF">2021-06-15T04:50:00Z</dcterms:created>
  <dcterms:modified xsi:type="dcterms:W3CDTF">2022-01-19T13:20:00Z</dcterms:modified>
</cp:coreProperties>
</file>