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Microorganisme</w:t>
      </w:r>
      <w:r>
        <w:t xml:space="preserve"> organisme invisible à l’œil mais qui peut être observé au microscope.</w:t>
      </w:r>
    </w:p>
    <w:p>
      <w:r>
        <w:rPr>
          <w:rStyle w:val="Accentuation"/>
        </w:rPr>
        <w:t>Agent infectieux</w:t>
      </w:r>
      <w:r>
        <w:t xml:space="preserve"> organisme capable d’engendrer des lésions ou des maladies.</w:t>
      </w:r>
    </w:p>
    <w:p>
      <w:r>
        <w:t>Ordre de taille des cellules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r>
              <w:t>Taille</w:t>
            </w:r>
          </w:p>
        </w:tc>
      </w:tr>
      <w:tr>
        <w:tc>
          <w:tcPr>
            <w:cnfStyle w:val="001000000000" w:firstRow="0" w:lastRow="0" w:firstColumn="1" w:lastColumn="0" w:oddVBand="0" w:evenVBand="0" w:oddHBand="0" w:evenHBand="0" w:firstRowFirstColumn="0" w:firstRowLastColumn="0" w:lastRowFirstColumn="0" w:lastRowLastColumn="0"/>
            <w:tcW w:w="3667" w:type="dxa"/>
          </w:tcPr>
          <w:p>
            <w:r>
              <w:t>Virus</w:t>
            </w:r>
          </w:p>
        </w:tc>
        <w:tc>
          <w:tcPr>
            <w:tcW w:w="3668" w:type="dxa"/>
          </w:tcPr>
          <w:p>
            <w:pPr>
              <w:cnfStyle w:val="000000000000" w:firstRow="0" w:lastRow="0" w:firstColumn="0" w:lastColumn="0" w:oddVBand="0" w:evenVBand="0" w:oddHBand="0" w:evenHBand="0" w:firstRowFirstColumn="0" w:firstRowLastColumn="0" w:lastRowFirstColumn="0" w:lastRowLastColumn="0"/>
            </w:pPr>
            <w:r>
              <w:t>0,1µm</w:t>
            </w:r>
          </w:p>
        </w:tc>
      </w:tr>
      <w:tr>
        <w:tc>
          <w:tcPr>
            <w:cnfStyle w:val="001000000000" w:firstRow="0" w:lastRow="0" w:firstColumn="1" w:lastColumn="0" w:oddVBand="0" w:evenVBand="0" w:oddHBand="0" w:evenHBand="0" w:firstRowFirstColumn="0" w:firstRowLastColumn="0" w:lastRowFirstColumn="0" w:lastRowLastColumn="0"/>
            <w:tcW w:w="3667" w:type="dxa"/>
          </w:tcPr>
          <w:p>
            <w:r>
              <w:t>Bactérie</w:t>
            </w:r>
          </w:p>
        </w:tc>
        <w:tc>
          <w:tcPr>
            <w:tcW w:w="3668" w:type="dxa"/>
          </w:tcPr>
          <w:p>
            <w:pPr>
              <w:cnfStyle w:val="000000000000" w:firstRow="0" w:lastRow="0" w:firstColumn="0" w:lastColumn="0" w:oddVBand="0" w:evenVBand="0" w:oddHBand="0" w:evenHBand="0" w:firstRowFirstColumn="0" w:firstRowLastColumn="0" w:lastRowFirstColumn="0" w:lastRowLastColumn="0"/>
            </w:pPr>
            <w:r>
              <w:t>1µm</w:t>
            </w:r>
          </w:p>
        </w:tc>
      </w:tr>
      <w:tr>
        <w:tc>
          <w:tcPr>
            <w:cnfStyle w:val="001000000000" w:firstRow="0" w:lastRow="0" w:firstColumn="1" w:lastColumn="0" w:oddVBand="0" w:evenVBand="0" w:oddHBand="0" w:evenHBand="0" w:firstRowFirstColumn="0" w:firstRowLastColumn="0" w:lastRowFirstColumn="0" w:lastRowLastColumn="0"/>
            <w:tcW w:w="3667" w:type="dxa"/>
          </w:tcPr>
          <w:p>
            <w:r>
              <w:t>cell animale</w:t>
            </w:r>
          </w:p>
        </w:tc>
        <w:tc>
          <w:tcPr>
            <w:tcW w:w="3668" w:type="dxa"/>
          </w:tcPr>
          <w:p>
            <w:pPr>
              <w:cnfStyle w:val="000000000000" w:firstRow="0" w:lastRow="0" w:firstColumn="0" w:lastColumn="0" w:oddVBand="0" w:evenVBand="0" w:oddHBand="0" w:evenHBand="0" w:firstRowFirstColumn="0" w:firstRowLastColumn="0" w:lastRowFirstColumn="0" w:lastRowLastColumn="0"/>
            </w:pPr>
            <w:r>
              <w:t>10µm</w:t>
            </w:r>
          </w:p>
        </w:tc>
      </w:tr>
      <w:tr>
        <w:tc>
          <w:tcPr>
            <w:cnfStyle w:val="001000000000" w:firstRow="0" w:lastRow="0" w:firstColumn="1" w:lastColumn="0" w:oddVBand="0" w:evenVBand="0" w:oddHBand="0" w:evenHBand="0" w:firstRowFirstColumn="0" w:firstRowLastColumn="0" w:lastRowFirstColumn="0" w:lastRowLastColumn="0"/>
            <w:tcW w:w="3667" w:type="dxa"/>
          </w:tcPr>
          <w:p>
            <w:r>
              <w:t>cell végétale</w:t>
            </w:r>
          </w:p>
        </w:tc>
        <w:tc>
          <w:tcPr>
            <w:tcW w:w="3668" w:type="dxa"/>
          </w:tcPr>
          <w:p>
            <w:pPr>
              <w:cnfStyle w:val="000000000000" w:firstRow="0" w:lastRow="0" w:firstColumn="0" w:lastColumn="0" w:oddVBand="0" w:evenVBand="0" w:oddHBand="0" w:evenHBand="0" w:firstRowFirstColumn="0" w:firstRowLastColumn="0" w:lastRowFirstColumn="0" w:lastRowLastColumn="0"/>
            </w:pPr>
            <w:r>
              <w:t>100µm</w:t>
            </w:r>
          </w:p>
        </w:tc>
      </w:tr>
    </w:tbl>
    <w:p>
      <w:pPr>
        <w:pStyle w:val="Titre1"/>
      </w:pPr>
      <w:r>
        <w:t>Les Virus</w:t>
      </w:r>
    </w:p>
    <w:p>
      <w:r>
        <w:t>Les Virus sont une forme de cellules rudimentaires incapable de produire et de réaliser des activités métaboliques seul. Ils ont besoins de détourner une cellule pour se répliquer. Un virus isolé est inerte.</w:t>
      </w:r>
    </w:p>
    <w:p>
      <w:r>
        <w:t xml:space="preserve">Les virus seraient apparus après les cellules. Ils seraient issus de la combinaison fortuite de débris cellulaires.  </w:t>
      </w:r>
    </w:p>
    <w:p>
      <w:r>
        <w:t>C’est par l’intermédiaire des virus que d’importantes découvertes ont été faites sur la compréhension des mécanismes moléculaires et sur la synthèse des protéines qui ont notamment permis la mise au point de technologies à usage médicale.</w:t>
      </w:r>
    </w:p>
    <w:p>
      <w:pPr>
        <w:pStyle w:val="Titre2"/>
      </w:pPr>
      <w:r>
        <w:t>Physiologie des Virus</w:t>
      </w:r>
    </w:p>
    <w:p>
      <w:r>
        <w:t>Les Virus sont généralement constitués d’une ou plusieurs séquences d’acides nucléiques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Capsone</w:t>
      </w:r>
      <w:r>
        <w:t xml:space="preserve"> protéines qui constituent la capside. Chaque virus n’en possède qu’un nombre de types très limité.</w:t>
      </w:r>
    </w:p>
    <w:p>
      <w:r>
        <w:rPr>
          <w:rStyle w:val="Accentuation"/>
        </w:rPr>
        <w:t>Prions</w:t>
      </w:r>
      <w:r>
        <w:t xml:space="preserve"> protéines infectieuses.</w:t>
      </w:r>
    </w:p>
    <w:p>
      <w:r>
        <w:rPr>
          <w:rStyle w:val="Accentuation"/>
        </w:rPr>
        <w:t>Virion</w:t>
      </w:r>
      <w:r>
        <w:t xml:space="preserve"> forme extracellulaire du virus.</w:t>
      </w:r>
    </w:p>
    <w:p>
      <w:r>
        <w:rPr>
          <w:u w:val="single"/>
        </w:rPr>
        <w:t>Rmq :</w:t>
      </w:r>
      <w:r>
        <w:t xml:space="preserve"> Les plus petits virus découverts mesurent 20 nm. Ils sont plus petits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 les bactéries.</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t xml:space="preserve">Reconnaissance </w:t>
      </w:r>
    </w:p>
    <w:p>
      <w:pPr>
        <w:pStyle w:val="Titre3"/>
      </w:pPr>
      <w:r>
        <w:lastRenderedPageBreak/>
        <w:t>La réplication</w:t>
      </w:r>
    </w:p>
    <w:p>
      <w:r>
        <w:t>Une fois que le virus est entré dans la cellule, il détourne les composants de son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nouveaux virus.</w:t>
            </w:r>
          </w:p>
        </w:tc>
      </w:tr>
    </w:tbl>
    <w:p>
      <w:r>
        <w:t xml:space="preserve">Certains virus sont capables d’insérer leur ADN dans le génome de la cellule hôte qui modifie l’utilisation générale des gènes. Lorsque la cellule se divisera, l’ADN viral sera alors transmis aux cellules filles. Ce phénomène peut conduire à </w:t>
      </w:r>
      <w:r>
        <w:rPr>
          <w:highlight w:val="yellow"/>
        </w:rPr>
        <w:t>la présence virale</w:t>
      </w:r>
      <w:r>
        <w:t xml:space="preserve">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être donner.</w:t>
      </w:r>
    </w:p>
    <w:p>
      <w:r>
        <w:rPr>
          <w:rStyle w:val="Accentuation"/>
        </w:rPr>
        <w:t>Transposon</w:t>
      </w:r>
      <w:r>
        <w:t xml:space="preserve"> segment mobile du génome.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futur d’une cellule.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pour éviter que les virus sortant ne viennent réinfecter la cellule.</w:t>
      </w:r>
    </w:p>
    <w:p>
      <w:pPr>
        <w:pStyle w:val="Titre3"/>
      </w:pPr>
      <w:r>
        <w:t>La toxicité des virus</w:t>
      </w:r>
    </w:p>
    <w:p>
      <w:r>
        <w:t>La toxicité d’un virus pour l’organisme infecté peut être dû à :</w:t>
      </w:r>
    </w:p>
    <w:p>
      <w:pPr>
        <w:pStyle w:val="Paragraphedeliste"/>
        <w:numPr>
          <w:ilvl w:val="0"/>
          <w:numId w:val="1"/>
        </w:numPr>
      </w:pPr>
      <w:r>
        <w:t>À la fabrication par le génome viral d’enzymes qui conduisent à la libération d’enzymes hydrolytiques contenues dans les lysosomes.</w:t>
      </w:r>
    </w:p>
    <w:p>
      <w:pPr>
        <w:pStyle w:val="Paragraphedeliste"/>
        <w:numPr>
          <w:ilvl w:val="0"/>
          <w:numId w:val="1"/>
        </w:numPr>
      </w:pPr>
      <w:r>
        <w:t>La synthèse de molécules toxiques.</w:t>
      </w:r>
    </w:p>
    <w:p>
      <w:pPr>
        <w:pStyle w:val="Paragraphedeliste"/>
        <w:numPr>
          <w:ilvl w:val="0"/>
          <w:numId w:val="1"/>
        </w:numPr>
      </w:pPr>
      <w:r>
        <w:t>La toxicité des composants virales comme l’enveloppe protéique.</w:t>
      </w:r>
    </w:p>
    <w:p>
      <w:r>
        <w:t>Les dégâts à long terme de l’infection d’un virus dépendent du type de cellules infectées. Par exemple, les cellules nerveuses qui persistent durant toute la vie de l’individu ne seront pas remplacées.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 xml:space="preserve">Le taux de mutation des virus est extrêmement plus élevé que chez les êtres vivants à cause de l’absence de mécanismes de vérification du génome. Dés qu’un mutant résistant apparaît, </w:t>
      </w:r>
      <w:r>
        <w:t xml:space="preserve">il sera favorisé par </w:t>
      </w:r>
      <w:r>
        <w:t>la</w:t>
      </w:r>
      <w:r>
        <w:t xml:space="preserve"> sélection naturel</w:t>
      </w:r>
      <w:r>
        <w:t xml:space="preserve"> et tendra à envahir la population.</w:t>
      </w:r>
    </w:p>
    <w:p>
      <w:r>
        <w:lastRenderedPageBreak/>
        <w:t>Les activités humaines à travers la mondialisation ont facilité la circulation des virus :</w:t>
      </w:r>
    </w:p>
    <w:p>
      <w:pPr>
        <w:pStyle w:val="Paragraphedeliste"/>
        <w:numPr>
          <w:ilvl w:val="0"/>
          <w:numId w:val="2"/>
        </w:numPr>
      </w:pPr>
      <w:r>
        <w:t>Multiplié les brassages de population.</w:t>
      </w:r>
    </w:p>
    <w:p>
      <w:pPr>
        <w:pStyle w:val="Paragraphedeliste"/>
        <w:numPr>
          <w:ilvl w:val="0"/>
          <w:numId w:val="2"/>
        </w:numPr>
      </w:pPr>
      <w:r>
        <w:t>Popularisé certaines pratiques qui favorisent les cas de transmission (l’utilisation de seringues pour s’injecter de la drogue, de pratiques sexuelles).</w:t>
      </w:r>
    </w:p>
    <w:p>
      <w:pPr>
        <w:pStyle w:val="Paragraphedeliste"/>
        <w:numPr>
          <w:ilvl w:val="0"/>
          <w:numId w:val="2"/>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rPr>
          <w:rStyle w:val="Accentuation"/>
        </w:rPr>
        <w:t>Effecteurs</w:t>
      </w:r>
      <w:r>
        <w:t xml:space="preserve"> molécules émises par les bactéries. Elle perce la membrane </w:t>
      </w:r>
    </w:p>
    <w:p>
      <w:r>
        <w:t xml:space="preserve">Capable d’injecter via une seringue moléculaire </w:t>
      </w:r>
    </w:p>
    <w:p>
      <w:r>
        <w:t>Exemple : induire une polymérisation du cytosquelette</w:t>
      </w:r>
    </w:p>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r>
        <w:t>La recherche de nouvelles espèces de procaryotes se fait par métagénomique. Cette méthode consiste à séquencer tous les ADN contenues dans un échantillon de sol.</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La paroi est souvent recouverte d’une couche appelée capsule composée de polysaccharides ou de protéines. Elle permet de prévenir de la déshydratation et se protéger des systèmes immunitaires d’hôtes potentiels.</w:t>
      </w:r>
    </w:p>
    <w:p>
      <w:r>
        <w:rPr>
          <w:rStyle w:val="Accentuation"/>
        </w:rPr>
        <w:t>Septum</w:t>
      </w:r>
      <w:r>
        <w:t xml:space="preserve"> paroi bactérienne.</w:t>
      </w:r>
    </w:p>
    <w:p>
      <w:r>
        <w:t xml:space="preserve">La paroi est composée de peptidoglycanes, un polymère de saccharoses monosaccharides relié à de courtes chaines polypeptidiques. Sa composition diffère entre :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La plupart des Archées découverts sont des organismes extrémophiles c’est-à-dire capable de vivre dans des milieux extrêmes. On ne trouve pas d’agents pathogènes chez les Archées.</w:t>
      </w:r>
    </w:p>
    <w:p>
      <w:pPr>
        <w:pStyle w:val="Titre3"/>
      </w:pPr>
      <w:r>
        <w:t>Structure des Bactéries</w:t>
      </w:r>
    </w:p>
    <w:p>
      <w:r>
        <w:t>Les Bactéries sont composées à entre 80 et 90% d’eau. Leur paroi est soit de type :</w:t>
      </w:r>
    </w:p>
    <w:tbl>
      <w:tblPr>
        <w:tblStyle w:val="Grilledetableauclaire"/>
        <w:tblW w:w="0" w:type="auto"/>
        <w:tblLook w:val="0400" w:firstRow="0" w:lastRow="0" w:firstColumn="0" w:lastColumn="0" w:noHBand="0" w:noVBand="1"/>
      </w:tblPr>
      <w:tblGrid>
        <w:gridCol w:w="3667"/>
        <w:gridCol w:w="3668"/>
      </w:tblGrid>
      <w:tr>
        <w:tc>
          <w:tcPr>
            <w:tcW w:w="3667" w:type="dxa"/>
          </w:tcPr>
          <w:p>
            <w:r>
              <w:t>Gram positive</w:t>
            </w:r>
          </w:p>
        </w:tc>
        <w:tc>
          <w:tcPr>
            <w:tcW w:w="3668" w:type="dxa"/>
          </w:tcPr>
          <w:p>
            <w:r>
              <w:t>Gram négative</w:t>
            </w:r>
          </w:p>
        </w:tc>
      </w:tr>
      <w:tr>
        <w:tc>
          <w:tcPr>
            <w:tcW w:w="3667" w:type="dxa"/>
          </w:tcPr>
          <w:p>
            <w:r>
              <w:t xml:space="preserve">deux membranes externes qui entourent une paroi. L'espace intermembranaire s’appelle le périplasme. </w:t>
            </w:r>
          </w:p>
        </w:tc>
        <w:tc>
          <w:tcPr>
            <w:tcW w:w="3668" w:type="dxa"/>
          </w:tcPr>
          <w:p>
            <w:r>
              <w:t>membrane plasmique entouré d’une paroi.</w:t>
            </w:r>
          </w:p>
          <w:p/>
        </w:tc>
      </w:tr>
      <w:tr>
        <w:tc>
          <w:tcPr>
            <w:tcW w:w="3667" w:type="dxa"/>
          </w:tcPr>
          <w:p>
            <w:r>
              <w:t>qui contient une quantité importante de peptidoglycanes</w:t>
            </w:r>
          </w:p>
        </w:tc>
        <w:tc>
          <w:tcPr>
            <w:tcW w:w="3668" w:type="dxa"/>
          </w:tcPr>
          <w:p>
            <w:r>
              <w:t>contient quantité importante de lipopolysaccharides</w:t>
            </w:r>
          </w:p>
        </w:tc>
      </w:tr>
    </w:tbl>
    <w:p>
      <w:r>
        <w:lastRenderedPageBreak/>
        <w:t>Le type de gram de la bactérie peut être révélé par l’utilisation d’une coloration de Gram. Les Bactéries Gram + apparaissent en violet et – en rose. On parle de milieu chromogénique lorsque la coloration est associée au milieu.</w:t>
      </w:r>
    </w:p>
    <w:p>
      <w:r>
        <w:rPr>
          <w:u w:val="single"/>
        </w:rPr>
        <w:t>NB :</w:t>
      </w:r>
      <w:r>
        <w:t xml:space="preserve"> Les lipopolysaccharides sont généralement des molécules toxiques.</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l’avantage de ne pas interagir avec les cellules humaines et d’éviter les effets indésirables.</w:t>
      </w:r>
    </w:p>
    <w:p>
      <w:r>
        <w:t>Seule la membrane plasmique est imperméable. Pour entrer les molécules ont besoin d’utiliser des transporteurs.</w:t>
      </w:r>
    </w:p>
    <w:p>
      <w:r>
        <w:t>À l’intérieur de la bactérie se trouve :</w:t>
      </w:r>
    </w:p>
    <w:p>
      <w:pPr>
        <w:pStyle w:val="Paragraphedeliste"/>
        <w:numPr>
          <w:ilvl w:val="0"/>
          <w:numId w:val="6"/>
        </w:numPr>
      </w:pPr>
      <w:r>
        <w:t>Des inclusions qui sont souvent du stockage de réserve.</w:t>
      </w:r>
    </w:p>
    <w:p>
      <w:pPr>
        <w:pStyle w:val="Paragraphedeliste"/>
        <w:numPr>
          <w:ilvl w:val="0"/>
          <w:numId w:val="6"/>
        </w:numPr>
      </w:pPr>
      <w:r>
        <w:t>ADN Chromosome circulaire plasmide. Les gènes qui codent pour des protéine impliqué d’une même fonction métaboliques sont réunis au même endroit et contrôler par un seul promoteur. L’ADN bactérien contient en moyenne 50% de paires de bases de type C-G.</w:t>
      </w:r>
    </w:p>
    <w:p>
      <w:pPr>
        <w:pStyle w:val="Titre3"/>
      </w:pPr>
      <w:r>
        <w:t>Forme des Bactéries</w:t>
      </w:r>
    </w:p>
    <w:p>
      <w:r>
        <w:t>Les formes de Bactéries les plus répandues sont :</w:t>
      </w:r>
    </w:p>
    <w:p>
      <w:pPr>
        <w:pStyle w:val="Paragraphedeliste"/>
        <w:numPr>
          <w:ilvl w:val="0"/>
          <w:numId w:val="7"/>
        </w:numPr>
      </w:pPr>
      <w:r>
        <w:t>Sphérique (cocci)</w:t>
      </w:r>
    </w:p>
    <w:p>
      <w:pPr>
        <w:pStyle w:val="Paragraphedeliste"/>
        <w:numPr>
          <w:ilvl w:val="0"/>
          <w:numId w:val="7"/>
        </w:numPr>
      </w:pPr>
      <w:r>
        <w:t>Bâtonnet (bacille)</w:t>
      </w:r>
    </w:p>
    <w:p>
      <w:pPr>
        <w:pStyle w:val="Paragraphedeliste"/>
        <w:numPr>
          <w:ilvl w:val="0"/>
          <w:numId w:val="7"/>
        </w:numPr>
      </w:pPr>
      <w:r>
        <w:t>À prosthèque en forme étoile avec des prolongements qui augmentent la surface de contact avec le milieu.</w:t>
      </w:r>
    </w:p>
    <w:p>
      <w:pPr>
        <w:pStyle w:val="Paragraphedeliste"/>
        <w:numPr>
          <w:ilvl w:val="0"/>
          <w:numId w:val="7"/>
        </w:numPr>
      </w:pPr>
      <w:r>
        <w:t>Hélicoïdale càd en forme de spirille, virgule, long filament, ou tirebouchon qui facilite les déplacements dans les fluides.</w:t>
      </w:r>
    </w:p>
    <w:p>
      <w:r>
        <w:t>Certains Bactéries possèdent des fimbriae, des filaments fins et courts qu’ils utilisent pour s’agréger comme dans le cas des biofilms et pour adhérer à la surface de leur milieu.</w:t>
      </w:r>
    </w:p>
    <w:p>
      <w:pPr>
        <w:rPr>
          <w:highlight w:val="yellow"/>
        </w:rPr>
      </w:pPr>
      <w:r>
        <w:rPr>
          <w:rStyle w:val="Accentuation"/>
        </w:rPr>
        <w:t>Pili</w:t>
      </w:r>
      <w:r>
        <w:t xml:space="preserve"> appendice servant au transfert de gènes entre les Bactéries.</w:t>
      </w:r>
      <w:r>
        <w:rPr>
          <w:highlight w:val="yellow"/>
        </w:rPr>
        <w:t xml:space="preserve"> </w:t>
      </w:r>
    </w:p>
    <w:p>
      <w:pPr>
        <w:pStyle w:val="Titre3"/>
      </w:pPr>
      <w:r>
        <w:t>Les transporteurs</w:t>
      </w:r>
    </w:p>
    <w:p>
      <w:r>
        <w:t>Les principaux transporteurs des Bactéries sont :</w:t>
      </w:r>
    </w:p>
    <w:p>
      <w:pPr>
        <w:pStyle w:val="Paragraphedeliste"/>
        <w:numPr>
          <w:ilvl w:val="0"/>
          <w:numId w:val="8"/>
        </w:numPr>
      </w:pPr>
      <w:r>
        <w:t>Perméase. Elles sont synthétisées lorsque la cellule en a besoin.</w:t>
      </w:r>
    </w:p>
    <w:p>
      <w:pPr>
        <w:pStyle w:val="Paragraphedeliste"/>
        <w:numPr>
          <w:ilvl w:val="0"/>
          <w:numId w:val="8"/>
        </w:numPr>
      </w:pPr>
      <w:r>
        <w:t>Transporteurs ABC. Elles sont formées de deux parties à savoir un molécule qui récupère le substrat et une autre qui transloque le complexe. Ensuite le substrat est relâché et la partie affine est repart.</w:t>
      </w:r>
    </w:p>
    <w:p>
      <w:pPr>
        <w:pStyle w:val="Paragraphedeliste"/>
        <w:numPr>
          <w:ilvl w:val="0"/>
          <w:numId w:val="8"/>
        </w:numPr>
      </w:pPr>
      <w:r>
        <w:t>Système PTS sucre s</w:t>
      </w:r>
      <w:r>
        <w:t>pécifique aux procaryotes spécifique aux sucres.</w:t>
      </w:r>
      <w:r>
        <w:t xml:space="preserve"> Ils forment un s</w:t>
      </w:r>
      <w:r>
        <w:t>ystème « dynamique</w:t>
      </w:r>
      <w:r>
        <w:t> »</w:t>
      </w:r>
      <w:r>
        <w:t xml:space="preserve"> adapte </w:t>
      </w:r>
      <w:r>
        <w:t xml:space="preserve">aux </w:t>
      </w:r>
      <w:r>
        <w:t xml:space="preserve">besoins </w:t>
      </w:r>
      <w:r>
        <w:t xml:space="preserve">de la bactérie </w:t>
      </w:r>
      <w:r>
        <w:t>et aux caractéristique</w:t>
      </w:r>
      <w:r>
        <w:t>s</w:t>
      </w:r>
      <w:r>
        <w:t xml:space="preserve"> du milieu.</w:t>
      </w:r>
    </w:p>
    <w:p>
      <w:pPr>
        <w:pStyle w:val="Paragraphedeliste"/>
        <w:numPr>
          <w:ilvl w:val="0"/>
          <w:numId w:val="8"/>
        </w:numPr>
      </w:pPr>
      <w:r>
        <w:t>Transporteur de fer (</w:t>
      </w:r>
      <w:r>
        <w:t>élément essentiel)</w:t>
      </w:r>
      <w:r>
        <w:t xml:space="preserve"> appelé</w:t>
      </w:r>
      <w:r>
        <w:t xml:space="preserve"> sidérophore antérobactine</w:t>
      </w:r>
      <w:r>
        <w:t xml:space="preserve">. Une </w:t>
      </w:r>
      <w:r>
        <w:t>molécule spécifique avec un forte affinité pour récupérer le fer (K=10</w:t>
      </w:r>
      <w:r>
        <w:rPr>
          <w:vertAlign w:val="superscript"/>
        </w:rPr>
        <w:t>-52</w:t>
      </w:r>
      <w:r>
        <w:t>M)</w:t>
      </w:r>
      <w:r>
        <w:t xml:space="preserve"> capte les atomes de fer du milieu avant de les transloquer.</w:t>
      </w:r>
    </w:p>
    <w:p>
      <w:r>
        <w:rPr>
          <w:u w:val="single"/>
        </w:rPr>
        <w:t>Rmq :</w:t>
      </w:r>
      <w:r>
        <w:t xml:space="preserve"> la paroi bactérienne ne gêne pas le passage.</w:t>
      </w:r>
    </w:p>
    <w:p>
      <w:r>
        <w:rPr>
          <w:u w:val="single"/>
        </w:rPr>
        <w:t>Rmq :</w:t>
      </w:r>
      <w:r>
        <w:t xml:space="preserve"> Plusieurs fonctions bloquent les antibiotique 1 mode d’expulsion de la bactérie de manière efficace.</w:t>
      </w:r>
    </w:p>
    <w:p>
      <w:r>
        <w:t xml:space="preserve">Les transporteurs ABC sont </w:t>
      </w:r>
      <w:r>
        <w:t>formé</w:t>
      </w:r>
      <w:r>
        <w:t>s</w:t>
      </w:r>
      <w:r>
        <w:t xml:space="preserve"> de trois protéines affines</w:t>
      </w:r>
      <w:r>
        <w:t> :</w:t>
      </w:r>
    </w:p>
    <w:p>
      <w:pPr>
        <w:pStyle w:val="Paragraphedeliste"/>
        <w:numPr>
          <w:ilvl w:val="0"/>
          <w:numId w:val="9"/>
        </w:numPr>
      </w:pPr>
      <w:r>
        <w:t>Chez les Gram + dans le périplasme Gram +. Il est formé par un Groupe liposoluble qui s’accroche à la membrane plasmique.</w:t>
      </w:r>
    </w:p>
    <w:p>
      <w:pPr>
        <w:pStyle w:val="Paragraphedeliste"/>
        <w:numPr>
          <w:ilvl w:val="0"/>
          <w:numId w:val="9"/>
        </w:numPr>
      </w:pPr>
      <w:r>
        <w:t>Chez les Gram – membrane externe des porines qui diffusent dans la membrane plasmique affine prend en charge le substrat affine va au transporteur.</w:t>
      </w:r>
    </w:p>
    <w:p>
      <w:pPr>
        <w:pStyle w:val="Titre3"/>
      </w:pPr>
      <w:r>
        <w:lastRenderedPageBreak/>
        <w:t xml:space="preserve">Mobilité </w:t>
      </w:r>
    </w:p>
    <w:p>
      <w:r>
        <w:t>Les Procaryotes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 xml:space="preserve">La structure des flagelles est différente de celle des Archées et des Eucaryotes. Elle est composée de deux anneaux enchâssés dans la membrane et la paroi cellulaire. Elle est formée d’un moteur qui créer un mouvement rotatoire en hydrolysant de l’ATP qui se propage au filament situé à l’extrémité du flagelle. Le flagelle était à l’origine un appareil qui sécrète des macromolécules. </w:t>
      </w:r>
    </w:p>
    <w:p>
      <w:r>
        <w:rPr>
          <w:rStyle w:val="Accentuation"/>
        </w:rPr>
        <w:t>Exaptation</w:t>
      </w:r>
      <w:r>
        <w:t xml:space="preserve"> processus par lequel un caractère a perdu sa fonction originelle.</w:t>
      </w:r>
    </w:p>
    <w:p>
      <w:pPr>
        <w:pStyle w:val="Titre2"/>
      </w:pPr>
      <w:r>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pPr>
        <w:pStyle w:val="Titre2"/>
      </w:pPr>
      <w:r>
        <w:t>La reproduction</w:t>
      </w:r>
    </w:p>
    <w:p>
      <w:r>
        <w:t>La reproduction des procaryotes se fait par scissiparité (ou fission binaire). La durée entre chaque division peut être très courte en milieu favorable. Elle peut descendre jusqu’à 20 minutes chez certaines espèces.</w:t>
      </w:r>
    </w:p>
    <w:p>
      <w:r>
        <w:t>Elle peut être accompagnée par d’autres types de reproduction comme :</w:t>
      </w:r>
    </w:p>
    <w:tbl>
      <w:tblPr>
        <w:tblStyle w:val="Grilledetableauclaire"/>
        <w:tblW w:w="0" w:type="auto"/>
        <w:tblLook w:val="0400" w:firstRow="0" w:lastRow="0" w:firstColumn="0" w:lastColumn="0" w:noHBand="0" w:noVBand="1"/>
      </w:tblPr>
      <w:tblGrid>
        <w:gridCol w:w="3667"/>
        <w:gridCol w:w="3668"/>
      </w:tblGrid>
      <w:tr>
        <w:tc>
          <w:tcPr>
            <w:tcW w:w="3667" w:type="dxa"/>
          </w:tcPr>
          <w:p>
            <w:r>
              <w:t>Bourgeonnement (rare)</w:t>
            </w:r>
          </w:p>
        </w:tc>
        <w:tc>
          <w:tcPr>
            <w:tcW w:w="3668" w:type="dxa"/>
          </w:tcPr>
          <w:p>
            <w:r>
              <w:t>Fragmentation</w:t>
            </w:r>
          </w:p>
        </w:tc>
      </w:tr>
    </w:tbl>
    <w:p>
      <w:r>
        <w:rPr>
          <w:u w:val="single"/>
        </w:rPr>
        <w:t>Rmq :</w:t>
      </w:r>
      <w:r>
        <w:t xml:space="preserve"> Il ne faut pas recongeler les aliments car cela favorise la prolifération bactérienne et augmente les risques d’intoxication alimentaire. La première </w:t>
      </w:r>
      <w:r>
        <w:t xml:space="preserve">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3"/>
      </w:pPr>
      <w:r>
        <w:t>Les endospores</w:t>
      </w:r>
    </w:p>
    <w:p>
      <w:r>
        <w:t>Certaines espèces peuvent produire des endospores, une forme résistante de cellules. Le processus de fabrication prend en moyenne 10h et se déroule en quatre étapes :</w:t>
      </w:r>
    </w:p>
    <w:p>
      <w:pPr>
        <w:pStyle w:val="Paragraphedeliste"/>
        <w:numPr>
          <w:ilvl w:val="0"/>
          <w:numId w:val="5"/>
        </w:numPr>
      </w:pPr>
      <w:r>
        <w:t>La copie du chromosome</w:t>
      </w:r>
    </w:p>
    <w:p>
      <w:pPr>
        <w:pStyle w:val="Paragraphedeliste"/>
        <w:numPr>
          <w:ilvl w:val="0"/>
          <w:numId w:val="5"/>
        </w:numPr>
      </w:pPr>
      <w:r>
        <w:t>La fabrication autour d’une couche avec une structure robuste.</w:t>
      </w:r>
    </w:p>
    <w:p>
      <w:pPr>
        <w:pStyle w:val="Paragraphedeliste"/>
        <w:numPr>
          <w:ilvl w:val="0"/>
          <w:numId w:val="5"/>
        </w:numPr>
      </w:pPr>
      <w:r>
        <w:t>L’endospore se déshydrate et arrête son métabolisme.</w:t>
      </w:r>
    </w:p>
    <w:p>
      <w:pPr>
        <w:pStyle w:val="Paragraphedeliste"/>
        <w:numPr>
          <w:ilvl w:val="0"/>
          <w:numId w:val="5"/>
        </w:numPr>
      </w:pPr>
      <w:r>
        <w:t>La cellule originelle meurt et se désintègre libérant l’endospore.</w:t>
      </w:r>
    </w:p>
    <w:p>
      <w:r>
        <w:t>Les endospores sont extrêmement résistantes. Par exemple, ils peuvent survivre durant plusieurs heures à de l’eau bouillante et rester inactifs plusieurs siècles voir pour certain plusieurs millions d’années. Lorsque les conditions sont favorables, ils se réhydratent et les activités métaboliques reprennent.</w:t>
      </w:r>
    </w:p>
    <w:p>
      <w:pPr>
        <w:pStyle w:val="Titre2"/>
      </w:pPr>
      <w:r>
        <w:t>Transfert horizontaux de matériel génétique</w:t>
      </w:r>
    </w:p>
    <w:p>
      <w:r>
        <w:t>Reproduction para génétique transfert partiel d’ADN entre deux bactéries.</w:t>
      </w:r>
    </w:p>
    <w:p>
      <w:r>
        <w:t>Il existe trois types de reproduction para génétique :</w:t>
      </w:r>
    </w:p>
    <w:p>
      <w:pPr>
        <w:pStyle w:val="Paragraphedeliste"/>
        <w:numPr>
          <w:ilvl w:val="0"/>
          <w:numId w:val="3"/>
        </w:numPr>
      </w:pPr>
      <w:r>
        <w:t xml:space="preserve">Décès de la cellule libère des </w:t>
      </w:r>
    </w:p>
    <w:p>
      <w:pPr>
        <w:pStyle w:val="Paragraphedeliste"/>
        <w:numPr>
          <w:ilvl w:val="0"/>
          <w:numId w:val="3"/>
        </w:numPr>
      </w:pPr>
      <w:r>
        <w:t>Conjugaison. Un pont de conjugaison</w:t>
      </w:r>
    </w:p>
    <w:p>
      <w:pPr>
        <w:pStyle w:val="Paragraphedeliste"/>
        <w:numPr>
          <w:ilvl w:val="0"/>
          <w:numId w:val="3"/>
        </w:numPr>
      </w:pPr>
      <w:r>
        <w:t>Transduction. Le transfert a lieu par des bactériophages (virus bactériens).</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lastRenderedPageBreak/>
        <w:t>Transfert horizontal</w:t>
      </w:r>
      <w:r>
        <w:t xml:space="preserve"> transfert de gènes entre des espèces différentes.</w:t>
      </w:r>
    </w:p>
    <w:p>
      <w:r>
        <w:t>La conjugaison 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Titre2"/>
      </w:pPr>
      <w:r>
        <w:t>Nutrition</w:t>
      </w:r>
    </w:p>
    <w:p>
      <w:r>
        <w:t>On classe les procaryotes en fonction de leur mode de nutrition :</w:t>
      </w:r>
    </w:p>
    <w:p>
      <w:pPr>
        <w:pStyle w:val="Paragraphedeliste"/>
        <w:numPr>
          <w:ilvl w:val="0"/>
          <w:numId w:val="4"/>
        </w:numPr>
      </w:pPr>
      <w:r>
        <w:t>De la source d’énergie</w:t>
      </w:r>
    </w:p>
    <w:tbl>
      <w:tblPr>
        <w:tblStyle w:val="Grilledetableauclaire"/>
        <w:tblW w:w="0" w:type="auto"/>
        <w:tblLook w:val="0400" w:firstRow="0" w:lastRow="0" w:firstColumn="0" w:lastColumn="0" w:noHBand="0" w:noVBand="1"/>
      </w:tblPr>
      <w:tblGrid>
        <w:gridCol w:w="3667"/>
        <w:gridCol w:w="3668"/>
      </w:tblGrid>
      <w:tr>
        <w:tc>
          <w:tcPr>
            <w:tcW w:w="3667" w:type="dxa"/>
          </w:tcPr>
          <w:p>
            <w:r>
              <w:t>Phototrophe</w:t>
            </w:r>
          </w:p>
        </w:tc>
        <w:tc>
          <w:tcPr>
            <w:tcW w:w="3668" w:type="dxa"/>
          </w:tcPr>
          <w:p>
            <w:r>
              <w:t>Chimiotrophe</w:t>
            </w:r>
          </w:p>
        </w:tc>
      </w:tr>
    </w:tbl>
    <w:p>
      <w:pPr>
        <w:pStyle w:val="Paragraphedeliste"/>
        <w:numPr>
          <w:ilvl w:val="0"/>
          <w:numId w:val="4"/>
        </w:numPr>
      </w:pPr>
      <w:r>
        <w:t>De la source de carbone</w:t>
      </w:r>
    </w:p>
    <w:tbl>
      <w:tblPr>
        <w:tblStyle w:val="Grilledetableauclaire"/>
        <w:tblW w:w="0" w:type="auto"/>
        <w:tblLook w:val="0400" w:firstRow="0" w:lastRow="0" w:firstColumn="0" w:lastColumn="0" w:noHBand="0" w:noVBand="1"/>
      </w:tblPr>
      <w:tblGrid>
        <w:gridCol w:w="3667"/>
        <w:gridCol w:w="3668"/>
      </w:tblGrid>
      <w:tr>
        <w:tc>
          <w:tcPr>
            <w:tcW w:w="3667" w:type="dxa"/>
          </w:tcPr>
          <w:p>
            <w:r>
              <w:t>Autotrophe (CO</w:t>
            </w:r>
            <w:r>
              <w:rPr>
                <w:vertAlign w:val="subscript"/>
              </w:rPr>
              <w:t>2</w:t>
            </w:r>
            <w:r>
              <w:t>)</w:t>
            </w:r>
          </w:p>
        </w:tc>
        <w:tc>
          <w:tcPr>
            <w:tcW w:w="3668" w:type="dxa"/>
          </w:tcPr>
          <w:p>
            <w:r>
              <w:t>Hétérotrophe (matière organique)</w:t>
            </w:r>
          </w:p>
        </w:tc>
      </w:tr>
    </w:tbl>
    <w:p>
      <w:pPr>
        <w:pStyle w:val="Paragraphedeliste"/>
        <w:numPr>
          <w:ilvl w:val="0"/>
          <w:numId w:val="4"/>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r>
        <w:t>Les procaryotes chimio hétérotrophes agissent comme décomposeurs. Ils rendent assimilable de nombreuses molécules par les autres êtres vivants.</w:t>
      </w:r>
    </w:p>
    <w:p>
      <w:r>
        <w:rPr>
          <w:u w:val="single"/>
        </w:rPr>
        <w:t>Rmq :</w:t>
      </w:r>
      <w:r>
        <w:t xml:space="preserve"> La paroi empêche l’entrer des nutriments par endocytose.</w:t>
      </w:r>
    </w:p>
    <w:p>
      <w:r>
        <w:rPr>
          <w:rStyle w:val="Accentuation"/>
        </w:rPr>
        <w:t>Auxotrophe (opposition à prototrophe)</w:t>
      </w:r>
      <w:r>
        <w:t xml:space="preserve"> organisme incapable de synthétiser un aa.</w:t>
      </w:r>
    </w:p>
    <w:p>
      <w:pPr>
        <w:pStyle w:val="Titre3"/>
      </w:pPr>
      <w:r>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pPr>
        <w:pStyle w:val="Titre2"/>
      </w:pPr>
      <w:r>
        <w:t>La croissance bactérienne</w:t>
      </w:r>
    </w:p>
    <w:p>
      <w:r>
        <w:t>La croissance des microorganismes dépend du milieux artificiels utilisés, elle sera :</w:t>
      </w:r>
    </w:p>
    <w:tbl>
      <w:tblPr>
        <w:tblStyle w:val="Grilledetableauclaire"/>
        <w:tblW w:w="0" w:type="auto"/>
        <w:tblLook w:val="0400" w:firstRow="0" w:lastRow="0" w:firstColumn="0" w:lastColumn="0" w:noHBand="0" w:noVBand="1"/>
      </w:tblPr>
      <w:tblGrid>
        <w:gridCol w:w="3667"/>
        <w:gridCol w:w="3668"/>
      </w:tblGrid>
      <w:tr>
        <w:tc>
          <w:tcPr>
            <w:tcW w:w="3667" w:type="dxa"/>
          </w:tcPr>
          <w:p>
            <w:r>
              <w:t>Discontinue en milieu fermé</w:t>
            </w:r>
          </w:p>
        </w:tc>
        <w:tc>
          <w:tcPr>
            <w:tcW w:w="3668" w:type="dxa"/>
          </w:tcPr>
          <w:p>
            <w:r>
              <w:t>Continue en milieu ouvert</w:t>
            </w:r>
          </w:p>
        </w:tc>
      </w:tr>
    </w:tbl>
    <w:p>
      <w:r>
        <w:rPr>
          <w:rStyle w:val="Accentuation"/>
        </w:rPr>
        <w:t>Titre</w:t>
      </w:r>
      <w:r>
        <w:t xml:space="preserve"> concentration cellulaire. Elle a pour unité le nombre de cellules par mL.</w:t>
      </w:r>
    </w:p>
    <w:p>
      <w:r>
        <w:t>Généralement, l’étude de la croissance bactérienne cherche à déterminer la différence de vitesse de croissance entre plusieurs milieux.</w:t>
      </w:r>
    </w:p>
    <w:p>
      <w:r>
        <w:t xml:space="preserve">Il existe deux méthodes pour déterminer le titre : </w:t>
      </w:r>
    </w:p>
    <w:tbl>
      <w:tblPr>
        <w:tblStyle w:val="Grilledetableauclaire"/>
        <w:tblW w:w="0" w:type="auto"/>
        <w:tblLook w:val="0400" w:firstRow="0" w:lastRow="0" w:firstColumn="0" w:lastColumn="0" w:noHBand="0" w:noVBand="1"/>
      </w:tblPr>
      <w:tblGrid>
        <w:gridCol w:w="3256"/>
        <w:gridCol w:w="4079"/>
      </w:tblGrid>
      <w:tr>
        <w:tc>
          <w:tcPr>
            <w:tcW w:w="3256" w:type="dxa"/>
          </w:tcPr>
          <w:p>
            <w:r>
              <w:t>Par l’absorbance (généralement à 600nm)</w:t>
            </w:r>
          </w:p>
        </w:tc>
        <w:tc>
          <w:tcPr>
            <w:tcW w:w="4079" w:type="dxa"/>
          </w:tcPr>
          <w:p>
            <w:r>
              <w:t>Par dénombrement sur gélose nu</w:t>
            </w:r>
          </w:p>
        </w:tc>
      </w:tr>
    </w:tbl>
    <w:p>
      <w:r>
        <w:rPr>
          <w:u w:val="single"/>
        </w:rPr>
        <w:t>Rmq :</w:t>
      </w:r>
      <w:r>
        <w:t xml:space="preserve"> Le dénombrement sur gélose est une méthode plus précise mais elle détecte uniquement les Bactéries vivantes.</w:t>
      </w:r>
    </w:p>
    <w:p>
      <w:r>
        <w:t>La croissance bactérienne peut être découpée en plusieurs phases de croissance :</w:t>
      </w:r>
    </w:p>
    <w:tbl>
      <w:tblPr>
        <w:tblStyle w:val="Grilledetableauclaire"/>
        <w:tblW w:w="0" w:type="auto"/>
        <w:tblLook w:val="0400" w:firstRow="0" w:lastRow="0" w:firstColumn="0" w:lastColumn="0" w:noHBand="0" w:noVBand="1"/>
      </w:tblPr>
      <w:tblGrid>
        <w:gridCol w:w="1256"/>
        <w:gridCol w:w="1559"/>
        <w:gridCol w:w="1523"/>
        <w:gridCol w:w="1586"/>
        <w:gridCol w:w="1411"/>
      </w:tblGrid>
      <w:tr>
        <w:tc>
          <w:tcPr>
            <w:tcW w:w="1413" w:type="dxa"/>
          </w:tcPr>
          <w:p>
            <w:pPr>
              <w:rPr>
                <w:bCs/>
              </w:rPr>
            </w:pPr>
            <w:r>
              <w:rPr>
                <w:bCs/>
              </w:rPr>
              <w:t xml:space="preserve">Latence </w:t>
            </w:r>
          </w:p>
        </w:tc>
        <w:tc>
          <w:tcPr>
            <w:tcW w:w="1634" w:type="dxa"/>
          </w:tcPr>
          <w:p>
            <w:pPr>
              <w:rPr>
                <w:bCs/>
              </w:rPr>
            </w:pPr>
            <w:r>
              <w:rPr>
                <w:bCs/>
              </w:rPr>
              <w:t>Accélération</w:t>
            </w:r>
          </w:p>
        </w:tc>
        <w:tc>
          <w:tcPr>
            <w:tcW w:w="1608" w:type="dxa"/>
          </w:tcPr>
          <w:p>
            <w:pPr>
              <w:rPr>
                <w:bCs/>
              </w:rPr>
            </w:pPr>
            <w:r>
              <w:rPr>
                <w:bCs/>
              </w:rPr>
              <w:t>Exponentiel</w:t>
            </w:r>
          </w:p>
        </w:tc>
        <w:tc>
          <w:tcPr>
            <w:tcW w:w="1654" w:type="dxa"/>
          </w:tcPr>
          <w:p>
            <w:pPr>
              <w:rPr>
                <w:bCs/>
              </w:rPr>
            </w:pPr>
            <w:r>
              <w:rPr>
                <w:bCs/>
              </w:rPr>
              <w:t>Décélération</w:t>
            </w:r>
          </w:p>
        </w:tc>
        <w:tc>
          <w:tcPr>
            <w:tcW w:w="1026" w:type="dxa"/>
          </w:tcPr>
          <w:p>
            <w:pPr>
              <w:rPr>
                <w:bCs/>
              </w:rPr>
            </w:pPr>
            <w:r>
              <w:rPr>
                <w:bCs/>
              </w:rPr>
              <w:t>Stationnaire</w:t>
            </w:r>
          </w:p>
        </w:tc>
      </w:tr>
    </w:tbl>
    <w:p>
      <w:r>
        <w:rPr>
          <w:u w:val="single"/>
        </w:rPr>
        <w:t>Rmq :</w:t>
      </w:r>
      <w:r>
        <w:t xml:space="preserve"> Tous les phases n’ont pas nécessairement lieu.</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t>Pour linéariser la croissance on utilise le log.</w:t>
      </w:r>
    </w:p>
    <w:p>
      <w:r>
        <w:rPr>
          <w:color w:val="FF0000"/>
        </w:rPr>
        <w:lastRenderedPageBreak/>
        <w:t xml:space="preserve">Attention </w:t>
      </w:r>
      <w:r>
        <w:t xml:space="preserve">Les paramètres de la fonction sont à déterminer uniquement pour la phase exponentielle de croissance. </w:t>
      </w:r>
    </w:p>
    <w:p>
      <w:pPr>
        <w:rPr>
          <w:rFonts w:eastAsiaTheme="minorEastAsia"/>
        </w:rPr>
      </w:pPr>
      <w:r>
        <w:t>La biomasse (mg/L) masse à t</w:t>
      </w:r>
      <w:r>
        <w:rPr>
          <w:vertAlign w:val="subscript"/>
        </w:rPr>
        <w:t>0</w:t>
      </w:r>
      <w:r>
        <w:t xml:space="preserve">.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pPr>
        <w:pStyle w:val="Titre2"/>
      </w:pPr>
      <w:r>
        <w:t>Coopération métabolique</w:t>
      </w:r>
    </w:p>
    <w:p>
      <w:r>
        <w:t>Pour coopérer, les cellules sécrètent des molécules de signalisation qui attirent les cellules voisines. Elles forment alors des structures comme des filaments ou des biofilms avec des organisation complexes qui permettent aux nutriments atteindre les cellules intérieures et aux déchets métaboliques être expulsés.</w:t>
      </w:r>
    </w:p>
    <w:p>
      <w:pPr>
        <w:pStyle w:val="Titre2"/>
      </w:pPr>
      <w:r>
        <w:t>Les bactéries et les hommes</w:t>
      </w:r>
    </w:p>
    <w:p>
      <w:r>
        <w:t>Notre intestin contient entre 500 et 1000 espèces de bactéries. Certaines sont capables d’émettre des signaux chimiques qui activent les gènes qui fabriquent les vaisseaux sanguins.</w:t>
      </w:r>
    </w:p>
    <w:p>
      <w:r>
        <w:t>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Endotoxine qui constitue la paroi notamment les lipposaccharides des bactéries à Gram négatif</w:t>
            </w:r>
          </w:p>
        </w:tc>
      </w:tr>
    </w:tbl>
    <w:p>
      <w:r>
        <w:t>Les Bactéries ont de multiples utilités. Elles servent notamment dans :</w:t>
      </w:r>
    </w:p>
    <w:p>
      <w:pPr>
        <w:pStyle w:val="Paragraphedeliste"/>
        <w:numPr>
          <w:ilvl w:val="0"/>
          <w:numId w:val="4"/>
        </w:numPr>
      </w:pPr>
      <w:r>
        <w:t>Fabrication de matériaux et d’aliments.</w:t>
      </w:r>
    </w:p>
    <w:p>
      <w:pPr>
        <w:pStyle w:val="Paragraphedeliste"/>
        <w:numPr>
          <w:ilvl w:val="0"/>
          <w:numId w:val="4"/>
        </w:numPr>
      </w:pPr>
      <w:r>
        <w:t>Biorestauration càd élimination de polluants.</w:t>
      </w:r>
    </w:p>
    <w:p>
      <w:pPr>
        <w:pStyle w:val="Paragraphedeliste"/>
        <w:numPr>
          <w:ilvl w:val="0"/>
          <w:numId w:val="4"/>
        </w:numPr>
      </w:pPr>
      <w:r>
        <w:t>Produire des médicaments, des carburants.</w:t>
      </w:r>
    </w:p>
    <w:p>
      <w:r>
        <w:t>Différences entre les grands groupes de cellules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83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834" w:type="dxa"/>
          </w:tcPr>
          <w:p>
            <w:pPr>
              <w:cnfStyle w:val="100000000000" w:firstRow="1" w:lastRow="0" w:firstColumn="0" w:lastColumn="0" w:oddVBand="0" w:evenVBand="0" w:oddHBand="0" w:evenHBand="0" w:firstRowFirstColumn="0" w:firstRowLastColumn="0" w:lastRowFirstColumn="0" w:lastRowLastColumn="0"/>
            </w:pPr>
            <w:r>
              <w:t>Archées</w:t>
            </w:r>
          </w:p>
        </w:tc>
        <w:tc>
          <w:tcPr>
            <w:tcW w:w="1834"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1833" w:type="dxa"/>
          </w:tcPr>
          <w:p>
            <w:r>
              <w:t>Enveloppe nucléaire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Organites membraneux</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1833" w:type="dxa"/>
          </w:tcPr>
          <w:p>
            <w:r>
              <w:t>Peptidoglycane dans la paroi cell</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c>
          <w:tcPr>
            <w:tcW w:w="1834"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1833" w:type="dxa"/>
          </w:tcPr>
          <w:p>
            <w:r>
              <w:t>Lipides membranaires</w:t>
            </w:r>
          </w:p>
        </w:tc>
        <w:tc>
          <w:tcPr>
            <w:tcW w:w="183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834"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834"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1833" w:type="dxa"/>
          </w:tcPr>
          <w:p>
            <w:r>
              <w:t>ARN polymérase</w:t>
            </w:r>
          </w:p>
        </w:tc>
        <w:tc>
          <w:tcPr>
            <w:tcW w:w="1834" w:type="dxa"/>
          </w:tcPr>
          <w:p>
            <w:pPr>
              <w:cnfStyle w:val="000000000000" w:firstRow="0" w:lastRow="0" w:firstColumn="0" w:lastColumn="0" w:oddVBand="0" w:evenVBand="0" w:oddHBand="0" w:evenHBand="0" w:firstRowFirstColumn="0" w:firstRowLastColumn="0" w:lastRowFirstColumn="0" w:lastRowLastColumn="0"/>
            </w:pPr>
            <w:r>
              <w:t>Un type</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834"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1833" w:type="dxa"/>
          </w:tcPr>
          <w:p>
            <w:r>
              <w:t>Premier acide aminé dans la synth des protéines</w:t>
            </w:r>
          </w:p>
        </w:tc>
        <w:tc>
          <w:tcPr>
            <w:tcW w:w="1834" w:type="dxa"/>
          </w:tcPr>
          <w:p>
            <w:pPr>
              <w:cnfStyle w:val="000000000000" w:firstRow="0" w:lastRow="0" w:firstColumn="0" w:lastColumn="0" w:oddVBand="0" w:evenVBand="0" w:oddHBand="0" w:evenHBand="0" w:firstRowFirstColumn="0" w:firstRowLastColumn="0" w:lastRowFirstColumn="0" w:lastRowLastColumn="0"/>
            </w:pPr>
            <w:r>
              <w:t>Formyl-méthionine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834"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1833" w:type="dxa"/>
          </w:tcPr>
          <w:p>
            <w:r>
              <w:t>Introns dans les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834"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Pr>
        <w:pStyle w:val="Titre2"/>
      </w:pPr>
      <w:r>
        <w:t>Méthodes d’études des bactéries</w:t>
      </w:r>
    </w:p>
    <w:p>
      <w:r>
        <w:t>Convention de nommage (nomenclature) : Genre espèces souche</w:t>
      </w:r>
    </w:p>
    <w:p>
      <w:r>
        <w:t>Organisme modèle : Escherichia colis</w:t>
      </w:r>
    </w:p>
    <w:p>
      <w:r>
        <w:t>Isoler une espèces : Utilisation de milieu le plus restrictif qui ne permettent que la survie de l’espèce étudiée.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5C18"/>
    <w:multiLevelType w:val="hybridMultilevel"/>
    <w:tmpl w:val="AA04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4E642D"/>
    <w:multiLevelType w:val="hybridMultilevel"/>
    <w:tmpl w:val="D5EA1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B35E68"/>
    <w:multiLevelType w:val="hybridMultilevel"/>
    <w:tmpl w:val="04DE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07259"/>
    <w:multiLevelType w:val="hybridMultilevel"/>
    <w:tmpl w:val="1D047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8"/>
  </w:num>
  <w:num w:numId="6">
    <w:abstractNumId w:val="1"/>
  </w:num>
  <w:num w:numId="7">
    <w:abstractNumId w:val="2"/>
  </w:num>
  <w:num w:numId="8">
    <w:abstractNumId w:val="7"/>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7</Pages>
  <Words>2858</Words>
  <Characters>15719</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29</cp:revision>
  <cp:lastPrinted>2021-02-13T18:38:00Z</cp:lastPrinted>
  <dcterms:created xsi:type="dcterms:W3CDTF">2021-06-15T04:50:00Z</dcterms:created>
  <dcterms:modified xsi:type="dcterms:W3CDTF">2022-03-25T16:35:00Z</dcterms:modified>
</cp:coreProperties>
</file>