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Bactéries 50% de paires de bases de type CG.</w:t>
      </w:r>
    </w:p>
    <w:p>
      <w:r>
        <w:t>Nommenclature Genre espèces souche</w:t>
      </w:r>
    </w:p>
    <w:p>
      <w:r>
        <w:t>Les différences entre les Procaryotes et les Eucaryotes :</w:t>
      </w:r>
    </w:p>
    <w:p>
      <w:r>
        <w:t>La reproduction chez les Bactéries</w:t>
      </w:r>
    </w:p>
    <w:p>
      <w:r>
        <w:t>Reproduction paragénétique transfert partiel d’ADN entre deux bactéries.</w:t>
      </w:r>
    </w:p>
    <w:p>
      <w:r>
        <w:t>Il existe trois types de reproduction paragénétique :</w:t>
      </w:r>
    </w:p>
    <w:p>
      <w:pPr>
        <w:pStyle w:val="Paragraphedeliste"/>
        <w:numPr>
          <w:ilvl w:val="0"/>
          <w:numId w:val="46"/>
        </w:numPr>
      </w:pPr>
      <w:r>
        <w:t xml:space="preserve">Déces de la cellule libère des </w:t>
      </w:r>
    </w:p>
    <w:p>
      <w:pPr>
        <w:pStyle w:val="Paragraphedeliste"/>
        <w:numPr>
          <w:ilvl w:val="0"/>
          <w:numId w:val="46"/>
        </w:numPr>
      </w:pPr>
      <w:r>
        <w:t>Conjuguaison. Un pont de conjuguaison</w:t>
      </w:r>
    </w:p>
    <w:p>
      <w:pPr>
        <w:pStyle w:val="Paragraphedeliste"/>
        <w:numPr>
          <w:ilvl w:val="0"/>
          <w:numId w:val="46"/>
        </w:numPr>
      </w:pPr>
      <w:r>
        <w:t>Transduction. Le transfert a lieu par l’intermédiaire de phages (virus bactériens).</w:t>
      </w:r>
    </w:p>
    <w:p>
      <w:r>
        <w:t>Microorganisme organisme vivant invisible à l’œil mais qui peut être observé au microscrope.</w:t>
      </w:r>
    </w:p>
    <w:p>
      <w:r>
        <w:t>Agent infectieux organisme capable d’engendrer des lésions ou des maladies.</w:t>
      </w:r>
    </w:p>
    <w:p>
      <w:r>
        <w:t>-Taille d’un virus d’env 0,1µm (en comparaison : bactérie 1µm, cell animale 10µm et cell végétale 100µm</w:t>
      </w:r>
    </w:p>
    <w:p>
      <w:pPr>
        <w:pStyle w:val="Titre1"/>
      </w:pPr>
      <w:r>
        <w:t>Les Virus</w:t>
      </w:r>
    </w:p>
    <w:p>
      <w:r>
        <w:t>Les Virus sont une forme de cellules rudimentaire incapable de produire et de réaliser des activités métaboliques seul. Ils ont besoins de détourner une cellule pour se répliquer. Un virus isolé est inerte.</w:t>
      </w:r>
    </w:p>
    <w:p>
      <w:r>
        <w:t xml:space="preserve">Les virus seraient apparus après les cellules les premières cellules à partir des débris cellulaires qui se seraient combinés de manière fortuite.  </w:t>
      </w:r>
    </w:p>
    <w:p>
      <w:r>
        <w:t xml:space="preserve">C’est par l’intermédiaire des virus que d’importantes découvertes ont été faires sur la compréhension des mécanismes moléculaires et sur la </w:t>
      </w:r>
      <w:r>
        <w:t>synthèse des protéines et ils ont permis la mise au point de technologie application médicale.</w:t>
      </w:r>
    </w:p>
    <w:p>
      <w:pPr>
        <w:pStyle w:val="Titre2"/>
      </w:pPr>
      <w:r>
        <w:t>Physiologie des Virus</w:t>
      </w:r>
    </w:p>
    <w:p>
      <w:r>
        <w:t>Les Virus sont généralement constitués d’une ou plusieurs séquences d’acide nucléique (ARN ou ADN) entouré d’une coque protéine et parfois recouverte d’une membrane.</w:t>
      </w:r>
    </w:p>
    <w:p>
      <w:r>
        <w:rPr>
          <w:rStyle w:val="Accentuation"/>
        </w:rPr>
        <w:t>Capside</w:t>
      </w:r>
      <w:r>
        <w:t xml:space="preserve"> structure de protéines qui entoure et protège le génome viral.</w:t>
      </w:r>
    </w:p>
    <w:p>
      <w:r>
        <w:rPr>
          <w:rStyle w:val="Accentuation"/>
        </w:rPr>
        <w:t>Cpasone</w:t>
      </w:r>
      <w:r>
        <w:t xml:space="preserve"> protéines qui constituent la capside. Chaque virus n’en possède qu’un nombre de types très limité.</w:t>
      </w:r>
    </w:p>
    <w:p>
      <w:r>
        <w:rPr>
          <w:rStyle w:val="Accentuation"/>
        </w:rPr>
        <w:t>Prions</w:t>
      </w:r>
      <w:r>
        <w:t xml:space="preserve"> protéines infectieuse.</w:t>
      </w:r>
    </w:p>
    <w:p>
      <w:r>
        <w:rPr>
          <w:rStyle w:val="Accentuation"/>
        </w:rPr>
        <w:t>Virion</w:t>
      </w:r>
      <w:r>
        <w:t xml:space="preserve"> forme extracellulaire du virus.</w:t>
      </w:r>
    </w:p>
    <w:p>
      <w:r>
        <w:rPr>
          <w:u w:val="single"/>
        </w:rPr>
        <w:t>Rmq :</w:t>
      </w:r>
      <w:r>
        <w:t xml:space="preserve"> Les plus petits virus découverts mesurent 20 nm plus petite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de l’ARN entouré d’une capside, elle-même entourée d’une enveloppe virale dotée de glycoprotéines qui facilitent la liaison avec les cellules de l’hôte.</w:t>
      </w:r>
    </w:p>
    <w:p>
      <w:r>
        <w:rPr>
          <w:rStyle w:val="Accentuation"/>
        </w:rPr>
        <w:t>Bactériophage</w:t>
      </w:r>
      <w:r>
        <w:t xml:space="preserve"> virus qui infectent bactérien.</w:t>
      </w:r>
    </w:p>
    <w:p>
      <w:r>
        <w:rPr>
          <w:rStyle w:val="Accentuation"/>
        </w:rPr>
        <w:t>Spectre d’hôtes</w:t>
      </w:r>
      <w:r>
        <w:t xml:space="preserve"> ensemble des cellules qu’un virus est capable d’infecter.</w:t>
      </w:r>
    </w:p>
    <w:p>
      <w:pPr>
        <w:pStyle w:val="Titre2"/>
      </w:pPr>
      <w:r>
        <w:t>L’activité virale</w:t>
      </w:r>
    </w:p>
    <w:p>
      <w:r>
        <w:t>Pour se répliquer, un virus procède en deux phases :</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3"/>
      </w:pPr>
      <w:r>
        <w:lastRenderedPageBreak/>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r>
        <w:t xml:space="preserve">Reconnaissance </w:t>
      </w:r>
    </w:p>
    <w:p/>
    <w:p>
      <w:pPr>
        <w:pStyle w:val="Titre3"/>
      </w:pPr>
      <w:r>
        <w:t>La réplication</w:t>
      </w:r>
    </w:p>
    <w:p>
      <w:r>
        <w:t>Une fois que le virus est entré dans la cellule, il détourne les composants de la cellule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 virus.</w:t>
            </w:r>
          </w:p>
        </w:tc>
      </w:tr>
    </w:tbl>
    <w:p>
      <w:r>
        <w:t>Certains virus sont capables d’insérer leur ADN dans le génome de la cellule hôte qui modifie l’utilisation générale des gènes par la bactérie. Lorsque la cellule se divisera, l’ADN viral sera alors transmis aux cellules filles. Ce phénomène peut conduire le et sera présent dans un grand nombre cellules.</w:t>
      </w:r>
    </w:p>
    <w:p>
      <w:r>
        <w:rPr>
          <w:rStyle w:val="Accentuation"/>
        </w:rPr>
        <w:t>Prophage</w:t>
      </w:r>
      <w:r>
        <w:t xml:space="preserve"> séquence d’ADN viral insérée dans le génome d’une cellule bactérienne par un virus.</w:t>
      </w:r>
    </w:p>
    <w:p>
      <w:r>
        <w:t>Dans certains cas, le virus apporte une partie des composants dont il a besoin pour se répliquer notamment de l’ADN ou l’ARN polymérase pour pouvoir répliquer le génome viral directement dans le cytosol.</w:t>
      </w:r>
    </w:p>
    <w:p>
      <w:r>
        <w:t>Les rétrovirus à ARN sont capables de réaliser une transcription inverse c’est qu’ils traduire leur ARN en ADN.</w:t>
      </w:r>
    </w:p>
    <w:p>
      <w:r>
        <w:rPr>
          <w:rStyle w:val="Accentuation"/>
        </w:rPr>
        <w:t>Plasmide</w:t>
      </w:r>
      <w:r>
        <w:t xml:space="preserve"> ADN circulaire qui peut se répliquer indépendamment de la cellule et dans certains cas, passer d’une à une autre.</w:t>
      </w:r>
    </w:p>
    <w:p>
      <w:r>
        <w:rPr>
          <w:rStyle w:val="Accentuation"/>
        </w:rPr>
        <w:t>Transposon</w:t>
      </w:r>
      <w:r>
        <w:t xml:space="preserve"> segment mobile du génome mobile.</w:t>
      </w:r>
    </w:p>
    <w:p>
      <w:pPr>
        <w:pStyle w:val="Titre3"/>
      </w:pPr>
      <w:r>
        <w:t>La sortie de la cellule hôte</w:t>
      </w:r>
    </w:p>
    <w:p>
      <w:r>
        <w:t xml:space="preserve">Une fois produit, les composants viraux s’assemblent spontanément et sorte de la cellule par bourgeonnement parfois en conservant l’enveloppe plasmique pour faciliter l’infection d’un futur cellulaire.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r>
        <w:t>Certains virus codent pour des protéines qui éliminent les sites de reconnaissance pour éviter que les viurs sortant ne viennent réinfecter la cellule.</w:t>
      </w:r>
    </w:p>
    <w:p>
      <w:pPr>
        <w:pStyle w:val="Titre3"/>
      </w:pPr>
      <w:r>
        <w:t>La toxicité des virus</w:t>
      </w:r>
    </w:p>
    <w:p>
      <w:r>
        <w:t>La toxicité d’un virus pour l’organisme infecté peut être dû à :</w:t>
      </w:r>
    </w:p>
    <w:p>
      <w:pPr>
        <w:pStyle w:val="Paragraphedeliste"/>
        <w:numPr>
          <w:ilvl w:val="0"/>
          <w:numId w:val="42"/>
        </w:numPr>
      </w:pPr>
      <w:r>
        <w:t>À la fabrication par le génome viral d’enzymes qui libère les enzymes hydrolytiques contenus dans les lysosomes.</w:t>
      </w:r>
    </w:p>
    <w:p>
      <w:pPr>
        <w:pStyle w:val="Paragraphedeliste"/>
        <w:numPr>
          <w:ilvl w:val="0"/>
          <w:numId w:val="42"/>
        </w:numPr>
      </w:pPr>
      <w:r>
        <w:t>La synthèse de molécules toxiques</w:t>
      </w:r>
    </w:p>
    <w:p>
      <w:pPr>
        <w:pStyle w:val="Paragraphedeliste"/>
        <w:numPr>
          <w:ilvl w:val="0"/>
          <w:numId w:val="42"/>
        </w:numPr>
      </w:pPr>
      <w:r>
        <w:t>La toxicité des composants virales comme l’enveloppe protéique.</w:t>
      </w:r>
    </w:p>
    <w:p>
      <w:r>
        <w:t>Les dégâts à long terme de l’infection d’un virus dépendent du type de cellules infectées. Par exemple, les cellules nerveuses qui persiste durant toute la vie de l’individu ne sont pas ne seront pas remplacé. Les conséquences de l’infection virale peuvent être irréversible.</w:t>
      </w:r>
    </w:p>
    <w:tbl>
      <w:tblPr>
        <w:tblStyle w:val="Grilledetableauclaire"/>
        <w:tblW w:w="0" w:type="auto"/>
        <w:tblLook w:val="04A0" w:firstRow="1" w:lastRow="0" w:firstColumn="1" w:lastColumn="0" w:noHBand="0" w:noVBand="1"/>
      </w:tblPr>
      <w:tblGrid>
        <w:gridCol w:w="2129"/>
        <w:gridCol w:w="1739"/>
        <w:gridCol w:w="1889"/>
        <w:gridCol w:w="15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pPr>
              <w:pStyle w:val="Titre2"/>
              <w:outlineLvl w:val="1"/>
            </w:pPr>
          </w:p>
        </w:tc>
        <w:tc>
          <w:tcPr>
            <w:tcW w:w="1869" w:type="dxa"/>
          </w:tcPr>
          <w:p>
            <w:pPr>
              <w:pStyle w:val="Titre2"/>
              <w:outlineLvl w:val="1"/>
              <w:cnfStyle w:val="100000000000" w:firstRow="1" w:lastRow="0" w:firstColumn="0" w:lastColumn="0" w:oddVBand="0" w:evenVBand="0" w:oddHBand="0" w:evenHBand="0" w:firstRowFirstColumn="0" w:firstRowLastColumn="0" w:lastRowFirstColumn="0" w:lastRowLastColumn="0"/>
            </w:pPr>
            <w:r>
              <w:t>VIH</w:t>
            </w:r>
          </w:p>
        </w:tc>
        <w:tc>
          <w:tcPr>
            <w:tcW w:w="1991" w:type="dxa"/>
          </w:tcPr>
          <w:p>
            <w:pPr>
              <w:pStyle w:val="Titre2"/>
              <w:outlineLvl w:val="1"/>
              <w:cnfStyle w:val="100000000000" w:firstRow="1" w:lastRow="0" w:firstColumn="0" w:lastColumn="0" w:oddVBand="0" w:evenVBand="0" w:oddHBand="0" w:evenHBand="0" w:firstRowFirstColumn="0" w:firstRowLastColumn="0" w:lastRowFirstColumn="0" w:lastRowLastColumn="0"/>
            </w:pPr>
            <w:r>
              <w:t>Grippe</w:t>
            </w:r>
          </w:p>
        </w:tc>
        <w:tc>
          <w:tcPr>
            <w:tcW w:w="1737" w:type="dxa"/>
          </w:tcPr>
          <w:p>
            <w:pPr>
              <w:pStyle w:val="Titre2"/>
              <w:outlineLvl w:val="1"/>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738" w:type="dxa"/>
          </w:tcPr>
          <w:p>
            <w:pPr>
              <w:pStyle w:val="Titre2"/>
              <w:outlineLvl w:val="1"/>
            </w:pPr>
            <w:r>
              <w:t>Reconnaissance</w:t>
            </w:r>
          </w:p>
        </w:tc>
        <w:tc>
          <w:tcPr>
            <w:tcW w:w="1869"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991"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737"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738" w:type="dxa"/>
          </w:tcPr>
          <w:p>
            <w:pPr>
              <w:pStyle w:val="Titre2"/>
              <w:outlineLvl w:val="1"/>
            </w:pPr>
          </w:p>
        </w:tc>
        <w:tc>
          <w:tcPr>
            <w:tcW w:w="1869"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991"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737"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738" w:type="dxa"/>
          </w:tcPr>
          <w:p>
            <w:pPr>
              <w:pStyle w:val="Titre2"/>
              <w:outlineLvl w:val="1"/>
            </w:pPr>
          </w:p>
        </w:tc>
        <w:tc>
          <w:tcPr>
            <w:tcW w:w="1869"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991"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737"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r>
    </w:tbl>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t>Évolution des virus</w:t>
      </w:r>
    </w:p>
    <w:p>
      <w:r>
        <w:t>Le phénomène de coévolution entre les virus et les êtres vivants sont extrêmement forts car dès qu’un mutant résistant apparaît, il sera favorisé par le phénomène de sélection naturel. Ors inversement, si le génome viral possède un taux de mutation exceptionnellement élevé à cause de l’absence de mécanismes de vérification.</w:t>
      </w:r>
    </w:p>
    <w:p>
      <w:r>
        <w:t>Les activités humaines à travers la mondialisation ont aussi facilité la circulation des virus :</w:t>
      </w:r>
    </w:p>
    <w:p>
      <w:pPr>
        <w:pStyle w:val="Paragraphedeliste"/>
        <w:numPr>
          <w:ilvl w:val="0"/>
          <w:numId w:val="43"/>
        </w:numPr>
      </w:pPr>
      <w:r>
        <w:t>Multiplié les brassages de population.</w:t>
      </w:r>
    </w:p>
    <w:p>
      <w:pPr>
        <w:pStyle w:val="Paragraphedeliste"/>
        <w:numPr>
          <w:ilvl w:val="0"/>
          <w:numId w:val="43"/>
        </w:numPr>
      </w:pPr>
      <w:r>
        <w:t>Popularisé certaines pratiques qui favorisent les cas de transmission (l’utilisation de seringues pour s’injecter de la drogue, de pratiques sexuelles).</w:t>
      </w:r>
    </w:p>
    <w:p>
      <w:pPr>
        <w:pStyle w:val="Paragraphedeliste"/>
        <w:numPr>
          <w:ilvl w:val="0"/>
          <w:numId w:val="43"/>
        </w:numPr>
      </w:pPr>
      <w:r>
        <w:t xml:space="preserve">À augmenter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exempter d’effets indésirables.</w:t>
      </w:r>
    </w:p>
    <w:p>
      <w:pPr>
        <w:pStyle w:val="Titre1"/>
      </w:pPr>
      <w:r>
        <w:t>Bactéries</w:t>
      </w:r>
    </w:p>
    <w:p>
      <w:r>
        <w:rPr>
          <w:rStyle w:val="Accentuation"/>
        </w:rPr>
        <w:t>Effecteurs</w:t>
      </w:r>
      <w:r>
        <w:t xml:space="preserve"> molécules émises par les bactéries. Elle perce la membrane </w:t>
      </w:r>
    </w:p>
    <w:p>
      <w:r>
        <w:t xml:space="preserve">Capable d’injecter via une seringue moléculaire </w:t>
      </w:r>
    </w:p>
    <w:p>
      <w:r>
        <w:rPr>
          <w:rStyle w:val="Accentuation"/>
        </w:rPr>
        <w:t>Septum</w:t>
      </w:r>
      <w:r>
        <w:t xml:space="preserve"> paroi bactérienne.</w:t>
      </w:r>
    </w:p>
    <w:p>
      <w:r>
        <w:t>Exemple : induire une polyémrisation du cytosquelette</w:t>
      </w:r>
    </w:p>
    <w:p>
      <w:r>
        <w:t xml:space="preserve">Nutrition bactérienne </w:t>
      </w:r>
    </w:p>
    <w:p>
      <w:r>
        <w:t>Source d’énergie consituatns</w:t>
      </w:r>
    </w:p>
    <w:p>
      <w:r>
        <w:t>Sources d’énergie phototrophe chimiotrophe</w:t>
      </w:r>
    </w:p>
    <w:p>
      <w:r>
        <w:t>Carbone autotrope hétérotrope</w:t>
      </w:r>
    </w:p>
    <w:p>
      <w:r>
        <w:t>Constitué entre 80 et 90% d’eau</w:t>
      </w:r>
    </w:p>
    <w:p>
      <w:r>
        <w:t>Utilisation de milieu le plus restrictif qui ne permettent que la survie de l’espèce étudiée.</w:t>
      </w:r>
    </w:p>
    <w:p>
      <w:r>
        <w:t>Milieu chromogénique coloration en fonction du type de bactèrie</w:t>
      </w:r>
    </w:p>
    <w:p>
      <w:pPr>
        <w:pStyle w:val="Titre2"/>
      </w:pPr>
      <w:r>
        <w:t>La croissance bactérienne</w:t>
      </w:r>
    </w:p>
    <w:p>
      <w:r>
        <w:t>La croissance des microorganismes dépend du milieux artificiels utilisés, elle sera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Discontinue en milieu fermé</w:t>
            </w:r>
          </w:p>
        </w:tc>
        <w:tc>
          <w:tcPr>
            <w:tcW w:w="3668" w:type="dxa"/>
          </w:tcPr>
          <w:p>
            <w:pPr>
              <w:cnfStyle w:val="100000000000" w:firstRow="1" w:lastRow="0" w:firstColumn="0" w:lastColumn="0" w:oddVBand="0" w:evenVBand="0" w:oddHBand="0" w:evenHBand="0" w:firstRowFirstColumn="0" w:firstRowLastColumn="0" w:lastRowFirstColumn="0" w:lastRowLastColumn="0"/>
            </w:pPr>
            <w:r>
              <w:t>Continue en milieu ouvert</w:t>
            </w:r>
          </w:p>
        </w:tc>
      </w:tr>
    </w:tbl>
    <w:p>
      <w:r>
        <w:rPr>
          <w:rStyle w:val="Accentuation"/>
        </w:rPr>
        <w:t>Titre</w:t>
      </w:r>
      <w:r>
        <w:t xml:space="preserve"> concentration cellulaire. Elle a pour unité le nombre de cellules par mL.</w:t>
      </w:r>
    </w:p>
    <w:p>
      <w:r>
        <w:lastRenderedPageBreak/>
        <w:t>Généralement, l’étude de la croissance bactérienne cherche à déterminer la différence de vitesse de croissance entre plusieurs milieux.</w:t>
      </w:r>
    </w:p>
    <w:p>
      <w:r>
        <w:t xml:space="preserve">Il existe deux méthodes pour déterminer le titre : </w:t>
      </w:r>
    </w:p>
    <w:tbl>
      <w:tblPr>
        <w:tblStyle w:val="Grilledetableauclaire"/>
        <w:tblW w:w="0" w:type="auto"/>
        <w:tblLook w:val="04A0" w:firstRow="1" w:lastRow="0" w:firstColumn="1" w:lastColumn="0" w:noHBand="0" w:noVBand="1"/>
      </w:tblPr>
      <w:tblGrid>
        <w:gridCol w:w="3256"/>
        <w:gridCol w:w="407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
              <w:t>Par l’absorbance</w:t>
            </w:r>
          </w:p>
        </w:tc>
        <w:tc>
          <w:tcPr>
            <w:tcW w:w="4079" w:type="dxa"/>
          </w:tcPr>
          <w:p>
            <w:pPr>
              <w:cnfStyle w:val="100000000000" w:firstRow="1" w:lastRow="0" w:firstColumn="0" w:lastColumn="0" w:oddVBand="0" w:evenVBand="0" w:oddHBand="0" w:evenHBand="0" w:firstRowFirstColumn="0" w:firstRowLastColumn="0" w:lastRowFirstColumn="0" w:lastRowLastColumn="0"/>
            </w:pPr>
            <w:r>
              <w:t>Par dénombrenement sur gelose nu</w:t>
            </w:r>
          </w:p>
        </w:tc>
      </w:tr>
    </w:tbl>
    <w:p>
      <w:r>
        <w:t>Rmq : Le dénombrement sur gelose est une méthode plus précise mais elle détecte uniquement les Bactéries vivantes.</w:t>
      </w:r>
    </w:p>
    <w:p>
      <w:r>
        <w:t>Préculture</w:t>
      </w:r>
    </w:p>
    <w:p>
      <w:r>
        <w:t>Phase de croissance :</w:t>
      </w:r>
    </w:p>
    <w:p>
      <w:pPr>
        <w:pStyle w:val="Paragraphedeliste"/>
        <w:numPr>
          <w:ilvl w:val="0"/>
          <w:numId w:val="47"/>
        </w:numPr>
      </w:pPr>
      <w:r>
        <w:t xml:space="preserve">Latence </w:t>
      </w:r>
    </w:p>
    <w:p>
      <w:pPr>
        <w:pStyle w:val="Paragraphedeliste"/>
        <w:numPr>
          <w:ilvl w:val="0"/>
          <w:numId w:val="47"/>
        </w:numPr>
      </w:pPr>
      <w:r>
        <w:t>Acélération</w:t>
      </w:r>
    </w:p>
    <w:p>
      <w:pPr>
        <w:pStyle w:val="Paragraphedeliste"/>
        <w:numPr>
          <w:ilvl w:val="0"/>
          <w:numId w:val="47"/>
        </w:numPr>
      </w:pPr>
      <w:r>
        <w:t> ????</w:t>
      </w:r>
    </w:p>
    <w:p>
      <w:pPr>
        <w:pStyle w:val="Titre3"/>
      </w:pPr>
      <w:r>
        <w:t>Méthodes de détermination du titre</w:t>
      </w:r>
    </w:p>
    <w:p>
      <w:r>
        <w:t>La longueur d’ondes a utilisé est généralement de 600nm.</w:t>
      </w:r>
    </w:p>
    <w:p>
      <w:r>
        <w:t>Rappel : le calcul des concentrations n’est valable que pour une DO comprise entre 0.1 et 1. Si le seuil est dépasser, il faut réaliser une dilution supplémentaire.</w:t>
      </w:r>
    </w:p>
    <w:p>
      <w:pPr>
        <w:pStyle w:val="Titre3"/>
      </w:pPr>
      <w:r>
        <w:t>Modélisation de la croissance bactérienne</w:t>
      </w:r>
    </w:p>
    <w:p>
      <w:r>
        <w:rPr>
          <w:rStyle w:val="Accentuation"/>
        </w:rPr>
        <w:t>Inoculum</w:t>
      </w:r>
      <w:r>
        <w:t xml:space="preserve"> quantité de bactéries au début de l’expérience.</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b/>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μt</m:t>
                    </m:r>
                  </m:sup>
                </m:sSup>
              </m:oMath>
            </m:oMathPara>
          </w:p>
          <w:p>
            <m:oMathPara>
              <m:oMath>
                <m:r>
                  <m:rPr>
                    <m:sty m:val="bi"/>
                  </m:rPr>
                  <w:rPr>
                    <w:rFonts w:ascii="Cambria Math" w:hAnsi="Cambria Math"/>
                  </w:rPr>
                  <m:t>μ=</m:t>
                </m:r>
                <m:f>
                  <m:fPr>
                    <m:ctrlPr>
                      <w:rPr>
                        <w:rFonts w:ascii="Cambria Math" w:hAnsi="Cambria Math"/>
                        <w:i/>
                      </w:rPr>
                    </m:ctrlPr>
                  </m:fPr>
                  <m:num>
                    <m:r>
                      <m:rPr>
                        <m:sty m:val="bi"/>
                      </m:rPr>
                      <w:rPr>
                        <w:rFonts w:ascii="Cambria Math" w:hAnsi="Cambria Math"/>
                      </w:rPr>
                      <m:t>n</m:t>
                    </m:r>
                  </m:num>
                  <m:den>
                    <m:r>
                      <m:rPr>
                        <m:sty m:val="bi"/>
                      </m:rPr>
                      <w:rPr>
                        <w:rFonts w:ascii="Cambria Math" w:hAnsi="Cambria Math"/>
                      </w:rPr>
                      <m:t>t</m:t>
                    </m:r>
                  </m:den>
                </m:f>
              </m:oMath>
            </m:oMathPara>
          </w:p>
        </w:tc>
        <w:tc>
          <w:tcPr>
            <w:tcW w:w="3668" w:type="dxa"/>
          </w:tcPr>
          <w:p>
            <w:pPr>
              <w:rPr>
                <w:rFonts w:eastAsiaTheme="minorEastAsia"/>
                <w:b/>
              </w:rPr>
            </w:pPr>
            <m:oMath>
              <m:r>
                <m:rPr>
                  <m:sty m:val="bi"/>
                </m:rPr>
                <w:rPr>
                  <w:rFonts w:ascii="Cambria Math" w:hAnsi="Cambria Math"/>
                </w:rPr>
                <m:t>n</m:t>
              </m:r>
            </m:oMath>
            <w:r>
              <w:rPr>
                <w:rFonts w:eastAsiaTheme="minorEastAsia"/>
              </w:rPr>
              <w:t xml:space="preserve"> nombre de générations</w:t>
            </w:r>
          </w:p>
          <w:p>
            <w:pPr>
              <w:rPr>
                <w:rFonts w:eastAsiaTheme="minorEastAsia"/>
                <w:b/>
              </w:rPr>
            </w:pPr>
            <m:oMath>
              <m:r>
                <m:rPr>
                  <m:sty m:val="bi"/>
                </m:rPr>
                <w:rPr>
                  <w:rFonts w:ascii="Cambria Math" w:hAnsi="Cambria Math"/>
                </w:rPr>
                <m:t>M</m:t>
              </m:r>
            </m:oMath>
            <w:r>
              <w:rPr>
                <w:rFonts w:eastAsiaTheme="minorEastAsia"/>
              </w:rPr>
              <w:t xml:space="preserve"> biomasse</w:t>
            </w:r>
          </w:p>
          <w:p>
            <w:pPr>
              <w:rPr>
                <w:rFonts w:eastAsiaTheme="minorEastAsia"/>
                <w:b/>
              </w:rPr>
            </w:pPr>
            <m:oMath>
              <m:r>
                <m:rPr>
                  <m:sty m:val="bi"/>
                </m:rPr>
                <w:rPr>
                  <w:rFonts w:ascii="Cambria Math" w:eastAsiaTheme="minorEastAsia" w:hAnsi="Cambria Math"/>
                </w:rPr>
                <m:t>μ</m:t>
              </m:r>
            </m:oMath>
            <w:r>
              <w:rPr>
                <w:rFonts w:eastAsiaTheme="minorEastAsia"/>
              </w:rPr>
              <w:t xml:space="preserve"> vitesse de croissance (h</w:t>
            </w:r>
            <w:r>
              <w:rPr>
                <w:rFonts w:eastAsiaTheme="minorEastAsia"/>
                <w:vertAlign w:val="superscript"/>
              </w:rPr>
              <w:t>-1</w:t>
            </w:r>
            <w:r>
              <w:rPr>
                <w:rFonts w:eastAsiaTheme="minorEastAsia"/>
              </w:rPr>
              <w:t>)</w:t>
            </w:r>
          </w:p>
          <w:p>
            <w:pPr>
              <w:rPr>
                <w:rFonts w:eastAsiaTheme="minorEastAsia"/>
                <w:b/>
              </w:rPr>
            </w:pPr>
            <m:oMath>
              <m:r>
                <m:rPr>
                  <m:sty m:val="bi"/>
                </m:rPr>
                <w:rPr>
                  <w:rFonts w:ascii="Cambria Math" w:eastAsiaTheme="minorEastAsia" w:hAnsi="Cambria Math"/>
                </w:rPr>
                <m:t>g</m:t>
              </m:r>
            </m:oMath>
            <w:r>
              <w:rPr>
                <w:rFonts w:eastAsiaTheme="minorEastAsia"/>
              </w:rPr>
              <w:t xml:space="preserve"> temps de génération</w:t>
            </w:r>
          </w:p>
          <w:p>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Pr>
                <w:rFonts w:eastAsiaTheme="minorEastAsia"/>
              </w:rPr>
              <w:t xml:space="preserve"> inoculum</w:t>
            </w:r>
          </w:p>
        </w:tc>
      </w:tr>
    </w:tbl>
    <w:p>
      <w:r>
        <w:t>Pour linéariser la croissance on utilise le log.</w:t>
      </w:r>
    </w:p>
    <w:p>
      <w:r>
        <w:t xml:space="preserve">Les paramètres de la fonction ne doivent être déterminé que pour la phase exponentielle de croissance. Elle est  </w:t>
      </w:r>
    </w:p>
    <w:p>
      <w:pPr>
        <w:rPr>
          <w:rFonts w:eastAsiaTheme="minorEastAsia"/>
        </w:rPr>
      </w:pPr>
      <w:r>
        <w:t xml:space="preserve">La biomasse (mg/L) masse à t0. Elle est égale à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p>
    <w:p>
      <w:pPr>
        <w:rPr>
          <w:rFonts w:eastAsiaTheme="minorEastAsia"/>
        </w:rPr>
      </w:pPr>
      <w:r>
        <w:rPr>
          <w:rFonts w:eastAsiaTheme="minorEastAsia"/>
        </w:rPr>
        <w:t xml:space="preserve">Rendement de croissance :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masse  de micro-organismes mg/L</m:t>
            </m:r>
          </m:num>
          <m:den>
            <m:r>
              <w:rPr>
                <w:rFonts w:ascii="Cambria Math" w:eastAsiaTheme="minorEastAsia" w:hAnsi="Cambria Math"/>
              </w:rPr>
              <m:t>masse de substrat consommé g/L</m:t>
            </m:r>
          </m:den>
        </m:f>
      </m:oMath>
    </w:p>
    <w:p>
      <w:r>
        <w:t>Entré des nutriments (pas d’endocytose possible chez les Bactéries).</w:t>
      </w:r>
    </w:p>
    <w:p>
      <w:r>
        <w:t>Gram – deux membranes externe qui entoure une paroi. L'espace intermembranaire s’appelle le périplasme.</w:t>
      </w:r>
    </w:p>
    <w:p>
      <w:r>
        <w:t>Gram + Une membrane plasmique entouré d’une paroi.</w:t>
      </w:r>
    </w:p>
    <w:p>
      <w:r>
        <w:t>Seule la membrane plasmique est imperméable. Pour entrer les molécules ont besoin d’utiliser des transporteurs.</w:t>
      </w:r>
    </w:p>
    <w:p>
      <w:r>
        <w:t>Perméase</w:t>
      </w:r>
    </w:p>
    <w:p>
      <w:r>
        <w:t>Transport ABC 3 composantes protéines affines chez les Gram dans le périplasme.</w:t>
      </w:r>
    </w:p>
    <w:p>
      <w:r>
        <w:t>Gram + Groupe liposoluble qui s’accroche à la membrane plasmique</w:t>
      </w:r>
    </w:p>
    <w:p>
      <w:r>
        <w:t>Rmq : la paroi ne gène pas le passage. Elle a un rôle de matient de ma forme de la bactérie.</w:t>
      </w:r>
    </w:p>
    <w:p>
      <w:r>
        <w:t>Gram – membrane externe des porines qui diffusent dans la membrane plasmique affine pren en charge le substrat affine va au transporteur.</w:t>
      </w:r>
    </w:p>
    <w:p>
      <w:r>
        <w:t>Plusieurs fonctions bloquent les antibiotique 1 mode d’expulsion de la bactéire de manière efficace.</w:t>
      </w:r>
    </w:p>
    <w:p>
      <w:r>
        <w:t xml:space="preserve">Force protomotrice pas de chaines de la respiration sur la membrane plasmique crée un potentilel en général à l’extérieur il provoque l’entrée de K+ </w:t>
      </w:r>
    </w:p>
    <w:p>
      <w:r>
        <w:t>+ cotrasnport entré de H+ et d’autre molécule (type symport transport II)</w:t>
      </w:r>
    </w:p>
    <w:p>
      <w:r>
        <w:t>Régulation post traductionnel ectiviation et désactivation rapide présence par défaut.</w:t>
      </w:r>
    </w:p>
    <w:p>
      <w:r>
        <w:lastRenderedPageBreak/>
        <w:t>Système PTS spécifique aux procaryotes spécifique aux sucres.</w:t>
      </w:r>
      <w:r>
        <w:br/>
        <w:t>Système « dynamiqueé la bactérie adpate à ses besoins et aux caractéristique du milieu.</w:t>
      </w:r>
    </w:p>
    <w:p>
      <w:r>
        <w:t>Transport du fer (élément essentiel) sidérophore entérobactine molécule spécifique avec un forte affinité pour récuperer le fer (K=1^-52M)</w:t>
      </w:r>
    </w:p>
    <w:p>
      <w:r>
        <w:t>Gram + violet  - rose</w:t>
      </w:r>
    </w:p>
    <w:p>
      <w:r>
        <w:t>Formes des bactéries</w:t>
      </w:r>
    </w:p>
    <w:p>
      <w:r>
        <w:t>B unicellulaire sont de formes sphérique</w:t>
      </w:r>
    </w:p>
    <w:p>
      <w:r>
        <w:t>Coque</w:t>
      </w:r>
    </w:p>
    <w:p>
      <w:r>
        <w:t>Diplostreptotétrade</w:t>
      </w:r>
    </w:p>
    <w:p>
      <w:r>
        <w:t>Batonnet ou bacille</w:t>
      </w:r>
    </w:p>
    <w:p>
      <w:r>
        <w:t>À prothèque (forme étoile)</w:t>
      </w:r>
    </w:p>
    <w:p>
      <w:r>
        <w:t>Prolongement qui augmentent la surface d’échanges</w:t>
      </w:r>
    </w:p>
    <w:p>
      <w:r>
        <w:t xml:space="preserve">Hélicoidale déplace facilement dans les fluides </w:t>
      </w:r>
    </w:p>
    <w:p>
      <w:r>
        <w:t>Division bactérienne</w:t>
      </w:r>
    </w:p>
    <w:p>
      <w:r>
        <w:t xml:space="preserve">La division bactérienne est le seul type de reproduction des bactéries </w:t>
      </w:r>
    </w:p>
    <w:p>
      <w:r>
        <w:t>Division binnaire</w:t>
      </w:r>
    </w:p>
    <w:p>
      <w:r>
        <w:t>Bourgeinnement (rare)</w:t>
      </w:r>
    </w:p>
    <w:p>
      <w:r>
        <w:t>Fragmentation</w:t>
      </w:r>
    </w:p>
    <w:p>
      <w:r>
        <w:t xml:space="preserve">Structure </w:t>
      </w:r>
    </w:p>
    <w:p>
      <w:r>
        <w:t>Inclusion</w:t>
      </w:r>
    </w:p>
    <w:p>
      <w:r>
        <w:t>Stockage de réserve</w:t>
      </w:r>
    </w:p>
    <w:p>
      <w:r>
        <w:t xml:space="preserve">ADN Chromosome circulaire plasmide </w:t>
      </w:r>
    </w:p>
    <w:p>
      <w:r>
        <w:t>ADN eschericha colis</w:t>
      </w:r>
    </w:p>
    <w:p>
      <w:r>
        <w:t>Protéine même fonctionnel sont regroupées au même endroit et leur synhtèse est contrôle par un seul promoteur. Transcription en une fois opéron. Fonctionnment essntiel chromosone</w:t>
      </w:r>
    </w:p>
    <w:p>
      <w:r>
        <w:t>Les substance de réserves.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Microbiologie, bactériologie, virologie et génétique bactérienne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82B6965"/>
    <w:multiLevelType w:val="hybridMultilevel"/>
    <w:tmpl w:val="3CAC2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A3B501B"/>
    <w:multiLevelType w:val="hybridMultilevel"/>
    <w:tmpl w:val="DBCE1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5E6E6A71"/>
    <w:multiLevelType w:val="hybridMultilevel"/>
    <w:tmpl w:val="7ACC5F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5A101C"/>
    <w:multiLevelType w:val="hybridMultilevel"/>
    <w:tmpl w:val="7758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2"/>
  </w:num>
  <w:num w:numId="2">
    <w:abstractNumId w:val="28"/>
  </w:num>
  <w:num w:numId="3">
    <w:abstractNumId w:val="12"/>
  </w:num>
  <w:num w:numId="4">
    <w:abstractNumId w:val="2"/>
  </w:num>
  <w:num w:numId="5">
    <w:abstractNumId w:val="9"/>
  </w:num>
  <w:num w:numId="6">
    <w:abstractNumId w:val="7"/>
  </w:num>
  <w:num w:numId="7">
    <w:abstractNumId w:val="13"/>
  </w:num>
  <w:num w:numId="8">
    <w:abstractNumId w:val="22"/>
  </w:num>
  <w:num w:numId="9">
    <w:abstractNumId w:val="34"/>
  </w:num>
  <w:num w:numId="10">
    <w:abstractNumId w:val="16"/>
  </w:num>
  <w:num w:numId="11">
    <w:abstractNumId w:val="18"/>
  </w:num>
  <w:num w:numId="12">
    <w:abstractNumId w:val="4"/>
  </w:num>
  <w:num w:numId="13">
    <w:abstractNumId w:val="39"/>
  </w:num>
  <w:num w:numId="14">
    <w:abstractNumId w:val="21"/>
  </w:num>
  <w:num w:numId="15">
    <w:abstractNumId w:val="25"/>
  </w:num>
  <w:num w:numId="16">
    <w:abstractNumId w:val="42"/>
  </w:num>
  <w:num w:numId="17">
    <w:abstractNumId w:val="5"/>
  </w:num>
  <w:num w:numId="18">
    <w:abstractNumId w:val="8"/>
  </w:num>
  <w:num w:numId="19">
    <w:abstractNumId w:val="24"/>
  </w:num>
  <w:num w:numId="20">
    <w:abstractNumId w:val="38"/>
  </w:num>
  <w:num w:numId="21">
    <w:abstractNumId w:val="20"/>
  </w:num>
  <w:num w:numId="22">
    <w:abstractNumId w:val="26"/>
  </w:num>
  <w:num w:numId="23">
    <w:abstractNumId w:val="45"/>
  </w:num>
  <w:num w:numId="24">
    <w:abstractNumId w:val="41"/>
  </w:num>
  <w:num w:numId="25">
    <w:abstractNumId w:val="44"/>
  </w:num>
  <w:num w:numId="26">
    <w:abstractNumId w:val="6"/>
  </w:num>
  <w:num w:numId="27">
    <w:abstractNumId w:val="1"/>
  </w:num>
  <w:num w:numId="28">
    <w:abstractNumId w:val="36"/>
  </w:num>
  <w:num w:numId="29">
    <w:abstractNumId w:val="14"/>
  </w:num>
  <w:num w:numId="30">
    <w:abstractNumId w:val="40"/>
  </w:num>
  <w:num w:numId="31">
    <w:abstractNumId w:val="23"/>
  </w:num>
  <w:num w:numId="32">
    <w:abstractNumId w:val="3"/>
  </w:num>
  <w:num w:numId="33">
    <w:abstractNumId w:val="37"/>
  </w:num>
  <w:num w:numId="34">
    <w:abstractNumId w:val="11"/>
  </w:num>
  <w:num w:numId="35">
    <w:abstractNumId w:val="29"/>
  </w:num>
  <w:num w:numId="36">
    <w:abstractNumId w:val="43"/>
  </w:num>
  <w:num w:numId="37">
    <w:abstractNumId w:val="15"/>
  </w:num>
  <w:num w:numId="38">
    <w:abstractNumId w:val="0"/>
  </w:num>
  <w:num w:numId="39">
    <w:abstractNumId w:val="46"/>
  </w:num>
  <w:num w:numId="40">
    <w:abstractNumId w:val="19"/>
  </w:num>
  <w:num w:numId="41">
    <w:abstractNumId w:val="17"/>
  </w:num>
  <w:num w:numId="42">
    <w:abstractNumId w:val="27"/>
  </w:num>
  <w:num w:numId="43">
    <w:abstractNumId w:val="31"/>
  </w:num>
  <w:num w:numId="44">
    <w:abstractNumId w:val="30"/>
  </w:num>
  <w:num w:numId="45">
    <w:abstractNumId w:val="10"/>
  </w:num>
  <w:num w:numId="46">
    <w:abstractNumId w:val="35"/>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Pages>
  <Words>1672</Words>
  <Characters>9196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19</cp:revision>
  <cp:lastPrinted>2021-02-13T18:38:00Z</cp:lastPrinted>
  <dcterms:created xsi:type="dcterms:W3CDTF">2021-06-15T04:50:00Z</dcterms:created>
  <dcterms:modified xsi:type="dcterms:W3CDTF">2022-02-26T21:11:00Z</dcterms:modified>
</cp:coreProperties>
</file>