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C’est par l’intermédiaire des virus que d’importantes découvertes ont été faires sur la compréhension des mécanismes moléculaires et sur la 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pPr>
        <w:pStyle w:val="Titre3"/>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lastRenderedPageBreak/>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 xml:space="preserve">Les dégâts à long terme de l’infection d’un virus dépendent du type de cellules infectées. Par exemple, les cellules nerveuses qui persiste durant </w:t>
      </w:r>
      <w:r>
        <w:t>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6"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0"/>
  </w:num>
  <w:num w:numId="2">
    <w:abstractNumId w:val="27"/>
  </w:num>
  <w:num w:numId="3">
    <w:abstractNumId w:val="11"/>
  </w:num>
  <w:num w:numId="4">
    <w:abstractNumId w:val="2"/>
  </w:num>
  <w:num w:numId="5">
    <w:abstractNumId w:val="9"/>
  </w:num>
  <w:num w:numId="6">
    <w:abstractNumId w:val="7"/>
  </w:num>
  <w:num w:numId="7">
    <w:abstractNumId w:val="12"/>
  </w:num>
  <w:num w:numId="8">
    <w:abstractNumId w:val="21"/>
  </w:num>
  <w:num w:numId="9">
    <w:abstractNumId w:val="31"/>
  </w:num>
  <w:num w:numId="10">
    <w:abstractNumId w:val="15"/>
  </w:num>
  <w:num w:numId="11">
    <w:abstractNumId w:val="17"/>
  </w:num>
  <w:num w:numId="12">
    <w:abstractNumId w:val="4"/>
  </w:num>
  <w:num w:numId="13">
    <w:abstractNumId w:val="35"/>
  </w:num>
  <w:num w:numId="14">
    <w:abstractNumId w:val="20"/>
  </w:num>
  <w:num w:numId="15">
    <w:abstractNumId w:val="24"/>
  </w:num>
  <w:num w:numId="16">
    <w:abstractNumId w:val="38"/>
  </w:num>
  <w:num w:numId="17">
    <w:abstractNumId w:val="5"/>
  </w:num>
  <w:num w:numId="18">
    <w:abstractNumId w:val="8"/>
  </w:num>
  <w:num w:numId="19">
    <w:abstractNumId w:val="23"/>
  </w:num>
  <w:num w:numId="20">
    <w:abstractNumId w:val="34"/>
  </w:num>
  <w:num w:numId="21">
    <w:abstractNumId w:val="19"/>
  </w:num>
  <w:num w:numId="22">
    <w:abstractNumId w:val="25"/>
  </w:num>
  <w:num w:numId="23">
    <w:abstractNumId w:val="41"/>
  </w:num>
  <w:num w:numId="24">
    <w:abstractNumId w:val="37"/>
  </w:num>
  <w:num w:numId="25">
    <w:abstractNumId w:val="40"/>
  </w:num>
  <w:num w:numId="26">
    <w:abstractNumId w:val="6"/>
  </w:num>
  <w:num w:numId="27">
    <w:abstractNumId w:val="1"/>
  </w:num>
  <w:num w:numId="28">
    <w:abstractNumId w:val="32"/>
  </w:num>
  <w:num w:numId="29">
    <w:abstractNumId w:val="13"/>
  </w:num>
  <w:num w:numId="30">
    <w:abstractNumId w:val="36"/>
  </w:num>
  <w:num w:numId="31">
    <w:abstractNumId w:val="22"/>
  </w:num>
  <w:num w:numId="32">
    <w:abstractNumId w:val="3"/>
  </w:num>
  <w:num w:numId="33">
    <w:abstractNumId w:val="33"/>
  </w:num>
  <w:num w:numId="34">
    <w:abstractNumId w:val="10"/>
  </w:num>
  <w:num w:numId="35">
    <w:abstractNumId w:val="28"/>
  </w:num>
  <w:num w:numId="36">
    <w:abstractNumId w:val="39"/>
  </w:num>
  <w:num w:numId="37">
    <w:abstractNumId w:val="14"/>
  </w:num>
  <w:num w:numId="38">
    <w:abstractNumId w:val="0"/>
  </w:num>
  <w:num w:numId="39">
    <w:abstractNumId w:val="42"/>
  </w:num>
  <w:num w:numId="40">
    <w:abstractNumId w:val="18"/>
  </w:num>
  <w:num w:numId="41">
    <w:abstractNumId w:val="16"/>
  </w:num>
  <w:num w:numId="42">
    <w:abstractNumId w:val="2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10</cp:revision>
  <cp:lastPrinted>2021-02-13T18:38:00Z</cp:lastPrinted>
  <dcterms:created xsi:type="dcterms:W3CDTF">2021-06-15T04:50:00Z</dcterms:created>
  <dcterms:modified xsi:type="dcterms:W3CDTF">2021-07-01T19:22:00Z</dcterms:modified>
</cp:coreProperties>
</file>