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Bactéries 50% de paires de bases de type CG.</w:t>
      </w:r>
    </w:p>
    <w:p>
      <w:r>
        <w:t>Nommenclature Genre espèces souche</w:t>
      </w:r>
    </w:p>
    <w:p>
      <w:r>
        <w:t>Les différences entre les Procaryotes et les Eucaryotes :</w:t>
      </w:r>
    </w:p>
    <w:p>
      <w:r>
        <w:t>La reproduction chez les Bactéries</w:t>
      </w:r>
    </w:p>
    <w:p>
      <w:r>
        <w:t>Reproduction paragénétique transfert partiel d’ADN entre deux bactéries.</w:t>
      </w:r>
    </w:p>
    <w:p>
      <w:r>
        <w:t>Il existe trois types de reproduction paragénétique :</w:t>
      </w:r>
    </w:p>
    <w:p>
      <w:pPr>
        <w:pStyle w:val="Paragraphedeliste"/>
        <w:numPr>
          <w:ilvl w:val="0"/>
          <w:numId w:val="46"/>
        </w:numPr>
      </w:pPr>
      <w:r>
        <w:t xml:space="preserve">Déces de la cellule libère des </w:t>
      </w:r>
    </w:p>
    <w:p>
      <w:pPr>
        <w:pStyle w:val="Paragraphedeliste"/>
        <w:numPr>
          <w:ilvl w:val="0"/>
          <w:numId w:val="46"/>
        </w:numPr>
      </w:pPr>
      <w:r>
        <w:t>Conjuguaison. Un pont de conjuguaison</w:t>
      </w:r>
    </w:p>
    <w:p>
      <w:pPr>
        <w:pStyle w:val="Paragraphedeliste"/>
        <w:numPr>
          <w:ilvl w:val="0"/>
          <w:numId w:val="46"/>
        </w:numPr>
      </w:pPr>
      <w:r>
        <w:t>Transduction. Le transfert a lieu par l’intermédiaire de phages (virus bactériens).</w:t>
      </w:r>
    </w:p>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C’est par l’intermédiaire des virus que d’importantes découvertes ont été faires sur la compréhension des mécanismes moléculaires et sur la 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pPr>
        <w:pStyle w:val="Titre3"/>
      </w:pPr>
      <w:r>
        <w:lastRenderedPageBreak/>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lastRenderedPageBreak/>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rPr>
          <w:rStyle w:val="Accentuation"/>
        </w:rPr>
        <w:t>Effecteurs</w:t>
      </w:r>
      <w:r>
        <w:t xml:space="preserve"> molécules émises par les bactéries. Elle perce la membrane </w:t>
      </w:r>
    </w:p>
    <w:p>
      <w:r>
        <w:t xml:space="preserve">Capable d’injecter via une seringue moléculaire </w:t>
      </w:r>
    </w:p>
    <w:p>
      <w:r>
        <w:rPr>
          <w:rStyle w:val="Accentuation"/>
        </w:rPr>
        <w:t>Septum</w:t>
      </w:r>
      <w:r>
        <w:t xml:space="preserve"> paroi bactérienne.</w:t>
      </w:r>
    </w:p>
    <w:p>
      <w:r>
        <w:t>Exemple : induire une polyémrisation du cytosquelette</w:t>
      </w:r>
    </w:p>
    <w:p>
      <w:r>
        <w:t xml:space="preserve">Nutrition bactérienne </w:t>
      </w:r>
    </w:p>
    <w:p>
      <w:r>
        <w:t>Source d’énergie consituatns</w:t>
      </w:r>
    </w:p>
    <w:p>
      <w:r>
        <w:t>Sources d’énergie phototrophe chimiotrophe</w:t>
      </w:r>
    </w:p>
    <w:p>
      <w:r>
        <w:t>Carbone autotrope hétérotrope</w:t>
      </w:r>
    </w:p>
    <w:p>
      <w:r>
        <w:t>Constitué entre 80 et 90% d’eau</w:t>
      </w:r>
    </w:p>
    <w:p>
      <w:r>
        <w:t>Utilisation de milieu le plus restrictif qui ne permettent que la survie de l’espèce étudiée.</w:t>
      </w:r>
    </w:p>
    <w:p>
      <w:r>
        <w:t>Milieu chromogénique coloration en fonction du type de bactèrie</w:t>
      </w:r>
    </w:p>
    <w:p>
      <w:pPr>
        <w:pStyle w:val="Titre2"/>
      </w:pPr>
      <w:r>
        <w:t>La croissance bactérienne</w:t>
      </w:r>
    </w:p>
    <w:p>
      <w:r>
        <w:t>La croissance des microorganismes dépend du milieux artificiels utilisés, elle sera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Discontinue en milieu fermé</w:t>
            </w:r>
          </w:p>
        </w:tc>
        <w:tc>
          <w:tcPr>
            <w:tcW w:w="3668" w:type="dxa"/>
          </w:tcPr>
          <w:p>
            <w:pPr>
              <w:cnfStyle w:val="100000000000" w:firstRow="1" w:lastRow="0" w:firstColumn="0" w:lastColumn="0" w:oddVBand="0" w:evenVBand="0" w:oddHBand="0" w:evenHBand="0" w:firstRowFirstColumn="0" w:firstRowLastColumn="0" w:lastRowFirstColumn="0" w:lastRowLastColumn="0"/>
            </w:pPr>
            <w:r>
              <w:t>Continue en milieu ouvert</w:t>
            </w:r>
          </w:p>
        </w:tc>
      </w:tr>
    </w:tbl>
    <w:p>
      <w:r>
        <w:rPr>
          <w:rStyle w:val="Accentuation"/>
        </w:rPr>
        <w:t>Titre</w:t>
      </w:r>
      <w:r>
        <w:t xml:space="preserve"> concentration cellulaire. Elle a pour unité le nombre de cellules par mL.</w:t>
      </w:r>
    </w:p>
    <w:p>
      <w:r>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A0" w:firstRow="1" w:lastRow="0" w:firstColumn="1"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
              <w:t>Par l’absorbance</w:t>
            </w:r>
          </w:p>
        </w:tc>
        <w:tc>
          <w:tcPr>
            <w:tcW w:w="4079" w:type="dxa"/>
          </w:tcPr>
          <w:p>
            <w:pPr>
              <w:cnfStyle w:val="100000000000" w:firstRow="1" w:lastRow="0" w:firstColumn="0" w:lastColumn="0" w:oddVBand="0" w:evenVBand="0" w:oddHBand="0" w:evenHBand="0" w:firstRowFirstColumn="0" w:firstRowLastColumn="0" w:lastRowFirstColumn="0" w:lastRowLastColumn="0"/>
            </w:pPr>
            <w:r>
              <w:t>Par dénombrenement sur gelose nu</w:t>
            </w:r>
          </w:p>
        </w:tc>
      </w:tr>
    </w:tbl>
    <w:p>
      <w:r>
        <w:t>Rmq : Le dénombrement sur gelose est une méthode plus précise mais elle détecte uniquement les Bactéries vivantes.</w:t>
      </w:r>
    </w:p>
    <w:p>
      <w:r>
        <w:t>Préculture</w:t>
      </w:r>
    </w:p>
    <w:p>
      <w:r>
        <w:t>Phase de croissance :</w:t>
      </w:r>
    </w:p>
    <w:p>
      <w:pPr>
        <w:pStyle w:val="Paragraphedeliste"/>
        <w:numPr>
          <w:ilvl w:val="0"/>
          <w:numId w:val="47"/>
        </w:numPr>
      </w:pPr>
      <w:r>
        <w:t xml:space="preserve">Latence </w:t>
      </w:r>
    </w:p>
    <w:p>
      <w:pPr>
        <w:pStyle w:val="Paragraphedeliste"/>
        <w:numPr>
          <w:ilvl w:val="0"/>
          <w:numId w:val="47"/>
        </w:numPr>
      </w:pPr>
      <w:r>
        <w:t>Acélération</w:t>
      </w:r>
    </w:p>
    <w:p>
      <w:pPr>
        <w:pStyle w:val="Paragraphedeliste"/>
        <w:numPr>
          <w:ilvl w:val="0"/>
          <w:numId w:val="47"/>
        </w:numPr>
      </w:pPr>
      <w:r>
        <w:t> ????</w:t>
      </w:r>
    </w:p>
    <w:p>
      <w:pPr>
        <w:pStyle w:val="Titre3"/>
      </w:pPr>
      <w:r>
        <w:t>Méthodes de détermination du titre</w:t>
      </w:r>
    </w:p>
    <w:p>
      <w:r>
        <w:t>La longueur d’ondes a utilisé est généralement de 600nm.</w:t>
      </w:r>
    </w:p>
    <w:p>
      <w:r>
        <w:t>Rappel : le calcul des concentrations n’est valable que pour une DO comprise entre 0.1 et 1. Si le seuil est dépasser, il faut réaliser une dilution supplémentaire.</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Theme="minorEastAsia"/>
                <w:b w:val="0"/>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n</m:t>
              </m:r>
            </m:oMath>
            <w:r>
              <w:rPr>
                <w:rFonts w:eastAsiaTheme="minorEastAsia"/>
              </w:rPr>
              <w:t xml:space="preserve"> nombre de générations</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M</m:t>
              </m:r>
            </m:oMath>
            <w:r>
              <w:rPr>
                <w:rFonts w:eastAsiaTheme="minorEastAsia"/>
              </w:rPr>
              <w:t xml:space="preserve"> biomasse</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eastAsiaTheme="minorEastAsia" w:hAnsi="Cambria Math"/>
                </w:rPr>
                <m:t>g</m:t>
              </m:r>
            </m:oMath>
            <w:r>
              <w:rPr>
                <w:rFonts w:eastAsiaTheme="minorEastAsia"/>
              </w:rPr>
              <w:t xml:space="preserve"> temps de génération</w:t>
            </w:r>
          </w:p>
          <w:p>
            <w:pPr>
              <w:cnfStyle w:val="100000000000" w:firstRow="1" w:lastRow="0" w:firstColumn="0" w:lastColumn="0" w:oddVBand="0" w:evenVBand="0" w:oddHBand="0" w:evenHBand="0" w:firstRowFirstColumn="0" w:firstRowLastColumn="0" w:lastRowFirstColumn="0" w:lastRowLastColumn="0"/>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t>Pour linéariser la croissance on utilise le log.</w:t>
      </w:r>
    </w:p>
    <w:p>
      <w:r>
        <w:t xml:space="preserve">Les paramètres de la fonction ne doivent être déterminé que pour la phase exponentielle de croissance. Elle est  </w:t>
      </w:r>
    </w:p>
    <w:p>
      <w:pPr>
        <w:rPr>
          <w:rFonts w:eastAsiaTheme="minorEastAsia"/>
        </w:rPr>
      </w:pPr>
      <w:r>
        <w:t xml:space="preserve">La biomasse (mg/L) masse à t0.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2B6965"/>
    <w:multiLevelType w:val="hybridMultilevel"/>
    <w:tmpl w:val="3CAC2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3B501B"/>
    <w:multiLevelType w:val="hybridMultilevel"/>
    <w:tmpl w:val="DBCE1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5E6E6A71"/>
    <w:multiLevelType w:val="hybridMultilevel"/>
    <w:tmpl w:val="7ACC5F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8"/>
  </w:num>
  <w:num w:numId="3">
    <w:abstractNumId w:val="12"/>
  </w:num>
  <w:num w:numId="4">
    <w:abstractNumId w:val="2"/>
  </w:num>
  <w:num w:numId="5">
    <w:abstractNumId w:val="9"/>
  </w:num>
  <w:num w:numId="6">
    <w:abstractNumId w:val="7"/>
  </w:num>
  <w:num w:numId="7">
    <w:abstractNumId w:val="13"/>
  </w:num>
  <w:num w:numId="8">
    <w:abstractNumId w:val="22"/>
  </w:num>
  <w:num w:numId="9">
    <w:abstractNumId w:val="34"/>
  </w:num>
  <w:num w:numId="10">
    <w:abstractNumId w:val="16"/>
  </w:num>
  <w:num w:numId="11">
    <w:abstractNumId w:val="18"/>
  </w:num>
  <w:num w:numId="12">
    <w:abstractNumId w:val="4"/>
  </w:num>
  <w:num w:numId="13">
    <w:abstractNumId w:val="39"/>
  </w:num>
  <w:num w:numId="14">
    <w:abstractNumId w:val="21"/>
  </w:num>
  <w:num w:numId="15">
    <w:abstractNumId w:val="25"/>
  </w:num>
  <w:num w:numId="16">
    <w:abstractNumId w:val="42"/>
  </w:num>
  <w:num w:numId="17">
    <w:abstractNumId w:val="5"/>
  </w:num>
  <w:num w:numId="18">
    <w:abstractNumId w:val="8"/>
  </w:num>
  <w:num w:numId="19">
    <w:abstractNumId w:val="24"/>
  </w:num>
  <w:num w:numId="20">
    <w:abstractNumId w:val="38"/>
  </w:num>
  <w:num w:numId="21">
    <w:abstractNumId w:val="20"/>
  </w:num>
  <w:num w:numId="22">
    <w:abstractNumId w:val="26"/>
  </w:num>
  <w:num w:numId="23">
    <w:abstractNumId w:val="45"/>
  </w:num>
  <w:num w:numId="24">
    <w:abstractNumId w:val="41"/>
  </w:num>
  <w:num w:numId="25">
    <w:abstractNumId w:val="44"/>
  </w:num>
  <w:num w:numId="26">
    <w:abstractNumId w:val="6"/>
  </w:num>
  <w:num w:numId="27">
    <w:abstractNumId w:val="1"/>
  </w:num>
  <w:num w:numId="28">
    <w:abstractNumId w:val="36"/>
  </w:num>
  <w:num w:numId="29">
    <w:abstractNumId w:val="14"/>
  </w:num>
  <w:num w:numId="30">
    <w:abstractNumId w:val="40"/>
  </w:num>
  <w:num w:numId="31">
    <w:abstractNumId w:val="23"/>
  </w:num>
  <w:num w:numId="32">
    <w:abstractNumId w:val="3"/>
  </w:num>
  <w:num w:numId="33">
    <w:abstractNumId w:val="37"/>
  </w:num>
  <w:num w:numId="34">
    <w:abstractNumId w:val="11"/>
  </w:num>
  <w:num w:numId="35">
    <w:abstractNumId w:val="29"/>
  </w:num>
  <w:num w:numId="36">
    <w:abstractNumId w:val="43"/>
  </w:num>
  <w:num w:numId="37">
    <w:abstractNumId w:val="15"/>
  </w:num>
  <w:num w:numId="38">
    <w:abstractNumId w:val="0"/>
  </w:num>
  <w:num w:numId="39">
    <w:abstractNumId w:val="46"/>
  </w:num>
  <w:num w:numId="40">
    <w:abstractNumId w:val="19"/>
  </w:num>
  <w:num w:numId="41">
    <w:abstractNumId w:val="17"/>
  </w:num>
  <w:num w:numId="42">
    <w:abstractNumId w:val="27"/>
  </w:num>
  <w:num w:numId="43">
    <w:abstractNumId w:val="31"/>
  </w:num>
  <w:num w:numId="44">
    <w:abstractNumId w:val="30"/>
  </w:num>
  <w:num w:numId="45">
    <w:abstractNumId w:val="10"/>
  </w:num>
  <w:num w:numId="46">
    <w:abstractNumId w:val="3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1252</Words>
  <Characters>6890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cp:revision>
  <cp:lastPrinted>2021-02-13T18:38:00Z</cp:lastPrinted>
  <dcterms:created xsi:type="dcterms:W3CDTF">2021-06-15T04:50:00Z</dcterms:created>
  <dcterms:modified xsi:type="dcterms:W3CDTF">2022-02-02T17:19:00Z</dcterms:modified>
</cp:coreProperties>
</file>