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L’ ADN et l’ARN peuvent être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Ciruclaire</w:t>
            </w:r>
          </w:p>
        </w:tc>
        <w:tc>
          <w:tcPr>
            <w:tcW w:w="2445" w:type="dxa"/>
          </w:tcPr>
          <w:p>
            <w:r>
              <w:t>Linéaire</w:t>
            </w:r>
          </w:p>
        </w:tc>
        <w:tc>
          <w:tcPr>
            <w:tcW w:w="2445" w:type="dxa"/>
          </w:tcPr>
          <w:p>
            <w:r>
              <w:t>Segmenté</w:t>
            </w:r>
          </w:p>
        </w:tc>
      </w:tr>
    </w:tbl>
    <w:p>
      <w:r>
        <w:t>En fonction du nombre de brin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monocaténaire</w:t>
            </w:r>
          </w:p>
        </w:tc>
        <w:tc>
          <w:tcPr>
            <w:tcW w:w="3668" w:type="dxa"/>
          </w:tcPr>
          <w:p>
            <w:r>
              <w:t>bicaténaire</w:t>
            </w:r>
          </w:p>
        </w:tc>
      </w:tr>
    </w:tbl>
    <w:p>
      <w:r>
        <w:rPr>
          <w:u w:val="single"/>
        </w:rPr>
        <w:t>Rmq :</w:t>
      </w:r>
      <w:r>
        <w:t xml:space="preserve"> tous les combinaisons d’ARN et d’ADN sont possible chez les Virus.</w:t>
      </w:r>
    </w:p>
    <w:p>
      <w:r>
        <w:t>Comparaison de l’ADN entre les procaryotes et les Eucaryotes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Type de cellules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Bactéries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Eucaryotes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Type d’ADN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circulaire, bicaténaire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Linéaire, bicaténaire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Nbre de chromosomes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Plusieurs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ADN annexe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Plasmides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>
      <w:r>
        <w:rPr>
          <w:u w:val="single"/>
        </w:rPr>
        <w:t>Rmq :</w:t>
      </w:r>
      <w:r>
        <w:t xml:space="preserve"> L’ADN des mitochondries et des chloroplastes a la même structure que celui des Bactéries.</w:t>
      </w:r>
    </w:p>
    <w:p>
      <w:pPr>
        <w:pStyle w:val="Titre2"/>
      </w:pPr>
      <w:r>
        <w:t xml:space="preserve">Structure de l’ADN </w:t>
      </w:r>
    </w:p>
    <w:p>
      <w:r>
        <w:t>Un nucléotide est composé de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263"/>
        <w:gridCol w:w="2627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r>
              <w:t>Un ou plusieurs phosphates</w:t>
            </w:r>
          </w:p>
        </w:tc>
        <w:tc>
          <w:tcPr>
            <w:tcW w:w="262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 pentose (sucre)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Une base azoté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/>
        </w:tc>
        <w:tc>
          <w:tcPr>
            <w:tcW w:w="26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Ribose (ARN)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Désoxyribose (ADN)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Bases pyrimidiques</w:t>
            </w:r>
          </w:p>
          <w:p>
            <w:pPr>
              <w:pStyle w:val="Paragraphedeliste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Cytosine </w:t>
            </w:r>
          </w:p>
          <w:p>
            <w:pPr>
              <w:pStyle w:val="Paragraphedeliste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Uracile</w:t>
            </w:r>
          </w:p>
          <w:p>
            <w:pPr>
              <w:pStyle w:val="Paragraphedeliste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Thymine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Bases puriques :</w:t>
            </w:r>
          </w:p>
          <w:p>
            <w:pPr>
              <w:pStyle w:val="Paragraphedeliste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Adenine</w:t>
            </w:r>
          </w:p>
          <w:p>
            <w:pPr>
              <w:pStyle w:val="Paragraphedeliste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Guanine</w:t>
            </w:r>
          </w:p>
        </w:tc>
      </w:tr>
    </w:tbl>
    <w:p>
      <w:r>
        <w:rPr>
          <w:u w:val="single"/>
        </w:rPr>
        <w:t>Rmq :</w:t>
      </w:r>
      <w:r>
        <w:t xml:space="preserve"> Le désocyribose est un ribose ayant perdu un groupement OH sur le carbone 2.</w:t>
      </w:r>
    </w:p>
    <w:p>
      <w:pPr>
        <w:pStyle w:val="Titre3"/>
      </w:pPr>
      <w:r>
        <w:t>Conformation de l’ADN</w:t>
      </w:r>
    </w:p>
    <w:p>
      <w:r>
        <w:t>Chez les Bactéries, le chromosome peut avoir deux conformations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relachées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superenroulée</w:t>
            </w:r>
          </w:p>
        </w:tc>
      </w:tr>
    </w:tbl>
    <w:p>
      <w:r>
        <w:t xml:space="preserve">Chez les Eucaryotes, l’ADN est accompagné de protéines qui permettent sa compaction dans la cellule. Ils forment un complexe qui prend la forme d’un chromosome appelé ADN génomique. L’ADN est : </w:t>
      </w:r>
    </w:p>
    <w:p>
      <w:pPr>
        <w:pStyle w:val="Paragraphedeliste"/>
        <w:numPr>
          <w:ilvl w:val="0"/>
          <w:numId w:val="45"/>
        </w:numPr>
      </w:pPr>
      <w:r>
        <w:t>L’ADN est enroulé autour d’histone de façon répétivie qui forme une alternance entre d’un solénoïde et d’un nucléosome.</w:t>
      </w:r>
    </w:p>
    <w:p>
      <w:pPr>
        <w:pStyle w:val="Paragraphedeliste"/>
        <w:numPr>
          <w:ilvl w:val="0"/>
          <w:numId w:val="45"/>
        </w:numPr>
      </w:pPr>
      <w:r>
        <w:t>Boucles de chromatine • Rosettes de boucles</w:t>
      </w:r>
    </w:p>
    <w:p>
      <w:r>
        <w:t>L’ARN est soumis à un apparément spontanné et local de type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3"/>
        <w:gridCol w:w="1834"/>
        <w:gridCol w:w="1834"/>
        <w:gridCol w:w="1834"/>
      </w:tblGrid>
      <w:tr>
        <w:tc>
          <w:tcPr>
            <w:tcW w:w="1833" w:type="dxa"/>
          </w:tcPr>
          <w:p>
            <w:r>
              <w:t>Linéaire</w:t>
            </w:r>
          </w:p>
        </w:tc>
        <w:tc>
          <w:tcPr>
            <w:tcW w:w="1834" w:type="dxa"/>
          </w:tcPr>
          <w:p>
            <w:r>
              <w:t>Pseudo nœud</w:t>
            </w:r>
          </w:p>
        </w:tc>
        <w:tc>
          <w:tcPr>
            <w:tcW w:w="1834" w:type="dxa"/>
          </w:tcPr>
          <w:p>
            <w:r>
              <w:t>Épingle à cheveux</w:t>
            </w:r>
          </w:p>
        </w:tc>
        <w:tc>
          <w:tcPr>
            <w:tcW w:w="1834" w:type="dxa"/>
          </w:tcPr>
          <w:p>
            <w:r>
              <w:t>Tire-boucle</w:t>
            </w:r>
          </w:p>
        </w:tc>
      </w:tr>
    </w:tbl>
    <w:p>
      <w:r>
        <w:t>A partir de son ADN, une cellule produit quatre types d’ARN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696"/>
        <w:gridCol w:w="1701"/>
        <w:gridCol w:w="1701"/>
        <w:gridCol w:w="2237"/>
      </w:tblGrid>
      <w:tr>
        <w:tc>
          <w:tcPr>
            <w:tcW w:w="1696" w:type="dxa"/>
          </w:tcPr>
          <w:p>
            <w:pPr>
              <w:rPr>
                <w:b/>
              </w:rPr>
            </w:pPr>
            <w:r>
              <w:t>T de transfert</w:t>
            </w:r>
          </w:p>
        </w:tc>
        <w:tc>
          <w:tcPr>
            <w:tcW w:w="1701" w:type="dxa"/>
          </w:tcPr>
          <w:p>
            <w:pPr>
              <w:rPr>
                <w:b/>
              </w:rPr>
            </w:pPr>
            <w:r>
              <w:t>R ribosomaux</w:t>
            </w:r>
          </w:p>
        </w:tc>
        <w:tc>
          <w:tcPr>
            <w:tcW w:w="1701" w:type="dxa"/>
          </w:tcPr>
          <w:p>
            <w:r>
              <w:t>M messager</w:t>
            </w:r>
          </w:p>
        </w:tc>
        <w:tc>
          <w:tcPr>
            <w:tcW w:w="2237" w:type="dxa"/>
          </w:tcPr>
          <w:p>
            <w:pPr>
              <w:rPr>
                <w:b/>
              </w:rPr>
            </w:pPr>
            <w:r>
              <w:t>sn pour petits nucléaires</w:t>
            </w:r>
          </w:p>
        </w:tc>
      </w:tr>
    </w:tbl>
    <w:p>
      <w:pPr>
        <w:pStyle w:val="Titre3"/>
      </w:pPr>
      <w:r>
        <w:t xml:space="preserve">Informations générales à connaitre </w:t>
      </w:r>
    </w:p>
    <w:p>
      <w:r>
        <w:t>Un tour d’hélide d’ADN est formé par 10 bases d’ADN et mesure 3.4nm de hauteur.</w:t>
      </w:r>
    </w:p>
    <w:p>
      <w:r>
        <w:t>Masse moléaire des nucléotides (g.mol</w:t>
      </w:r>
      <w:r>
        <w:rPr>
          <w:vertAlign w:val="superscript"/>
        </w:rPr>
        <w:t>-1</w:t>
      </w:r>
      <w:r>
        <w:t>)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ARN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Monophosphate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340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Triphostate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490</w:t>
            </w:r>
          </w:p>
        </w:tc>
      </w:tr>
    </w:tbl>
    <w:p>
      <w:pPr>
        <w:pStyle w:val="Titre1"/>
      </w:pPr>
      <w:r>
        <w:t>Manipulation de l’ADN</w:t>
      </w:r>
    </w:p>
    <w:p>
      <w:r>
        <w:t>Vocabulaire</w:t>
      </w:r>
    </w:p>
    <w:p>
      <w:r>
        <w:t>Ne pas utiliser le terme tache. On parlera de</w:t>
      </w:r>
    </w:p>
    <w:p>
      <w:r>
        <w:t>Bande ou spot.</w:t>
      </w:r>
    </w:p>
    <w:p>
      <w:r>
        <w:t>Pour pouvoir étudier les effets d’une séquence d’ADN, il faut :</w:t>
      </w:r>
    </w:p>
    <w:p>
      <w:pPr>
        <w:pStyle w:val="Paragraphedeliste"/>
        <w:numPr>
          <w:ilvl w:val="0"/>
          <w:numId w:val="48"/>
        </w:numPr>
      </w:pPr>
      <w:r>
        <w:t>isoler la séquence d’interet.</w:t>
      </w:r>
    </w:p>
    <w:p>
      <w:pPr>
        <w:pStyle w:val="Paragraphedeliste"/>
        <w:numPr>
          <w:ilvl w:val="0"/>
          <w:numId w:val="48"/>
        </w:numPr>
      </w:pPr>
      <w:r>
        <w:lastRenderedPageBreak/>
        <w:t>L’insérer dans un autre organisme.</w:t>
      </w:r>
    </w:p>
    <w:p>
      <w:pPr>
        <w:pStyle w:val="Paragraphedeliste"/>
        <w:numPr>
          <w:ilvl w:val="0"/>
          <w:numId w:val="48"/>
        </w:numPr>
      </w:pPr>
      <w:r>
        <w:t>Vérifier la présence de la séquence et sa réplication.</w:t>
      </w:r>
    </w:p>
    <w:p>
      <w:r>
        <w:t>L’objectif du cours étant d’être capable d’élaborer un protocole pour étudier une séquence d’ADN particulière.</w:t>
      </w:r>
    </w:p>
    <w:p>
      <w:r>
        <w:t>La manipulation de l’ADN fait intervenir deux types d’enzymes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Couper (nucléase)</w:t>
            </w:r>
          </w:p>
        </w:tc>
        <w:tc>
          <w:tcPr>
            <w:tcW w:w="3668" w:type="dxa"/>
          </w:tcPr>
          <w:p>
            <w:r>
              <w:t>Lier (ligase)</w:t>
            </w:r>
          </w:p>
        </w:tc>
      </w:tr>
    </w:tbl>
    <w:p>
      <w:pPr>
        <w:pStyle w:val="Titre2"/>
      </w:pPr>
      <w:r>
        <w:t>Extraire l’ADN d’une cellule</w:t>
      </w:r>
    </w:p>
    <w:p>
      <w:r>
        <w:t xml:space="preserve">Pour pouvoir récupérer l’ADN d’une cellule, il faut procéder à : </w:t>
      </w:r>
    </w:p>
    <w:p>
      <w:pPr>
        <w:pStyle w:val="Paragraphedeliste"/>
        <w:numPr>
          <w:ilvl w:val="0"/>
          <w:numId w:val="42"/>
        </w:numPr>
      </w:pPr>
      <w:r>
        <w:t>La libération de l’ADN des cellules en utilisant des détergents et des protéinases.</w:t>
      </w:r>
    </w:p>
    <w:p>
      <w:pPr>
        <w:pStyle w:val="Paragraphedeliste"/>
        <w:numPr>
          <w:ilvl w:val="0"/>
          <w:numId w:val="42"/>
        </w:numPr>
      </w:pPr>
      <w:r>
        <w:t>La purification de l’ADN génomique avec du phénol ou du chloroforme pour éliminer les protéines associées à l’ADN</w:t>
      </w:r>
    </w:p>
    <w:p>
      <w:pPr>
        <w:pStyle w:val="Paragraphedeliste"/>
        <w:numPr>
          <w:ilvl w:val="0"/>
          <w:numId w:val="42"/>
        </w:numPr>
      </w:pPr>
      <w:r>
        <w:t>Précipité l’ADN pour concentrer de l’ADN. La précipiation a lieu en utilisant de l’ethanol ou de l’isopropanol.</w:t>
      </w:r>
    </w:p>
    <w:p>
      <w:pPr>
        <w:pStyle w:val="Titre2"/>
      </w:pPr>
      <w:r>
        <w:t>Extraire la séquence d’ADN d’intérêt</w:t>
      </w:r>
    </w:p>
    <w:p>
      <w:r>
        <w:t>Une séquence d’ADN peut être couper par l’utilisation d’enzymes soit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Endonucléase</w:t>
            </w:r>
          </w:p>
        </w:tc>
        <w:tc>
          <w:tcPr>
            <w:tcW w:w="3668" w:type="dxa"/>
          </w:tcPr>
          <w:p>
            <w:r>
              <w:t>exonucléase</w:t>
            </w:r>
          </w:p>
        </w:tc>
      </w:tr>
    </w:tbl>
    <w:p>
      <w:r>
        <w:t>L’ADN peut être coupé à un endroit particulier en utilisant une endonucléase appelé endonucléase de restriction. Elle reconnait une séquence spécifique et réalise une coupure de l’ADN.</w:t>
      </w:r>
    </w:p>
    <w:p>
      <w:r>
        <w:rPr>
          <w:u w:val="single"/>
        </w:rPr>
        <w:t>Rmq :</w:t>
      </w:r>
      <w:r>
        <w:t xml:space="preserve"> Contraitement aux autres endonucléases, les enzimes de restrictions coupent l’ADN au niveaude la zone de reconnaissance.</w:t>
      </w:r>
    </w:p>
    <w:p>
      <w:r>
        <w:rPr>
          <w:rStyle w:val="Accentuation"/>
        </w:rPr>
        <w:t>Enzyme de restriction</w:t>
      </w:r>
      <w:r>
        <w:t xml:space="preserve"> enzyme reconnaisse des séquences d’ADN et qui les supprimes produit par les bactèries. Elle fait partie des mécasnimes de défense des bactéries contre les virus.</w:t>
      </w:r>
    </w:p>
    <w:p>
      <w:r>
        <w:rPr>
          <w:rStyle w:val="Accentuation"/>
        </w:rPr>
        <w:t>Palindrome</w:t>
      </w:r>
      <w:r>
        <w:t xml:space="preserve"> séquence reconnue par l’endonucléase de restriction. Elle ne dépend pas du brin.</w:t>
      </w:r>
    </w:p>
    <w:p>
      <w:r>
        <w:rPr>
          <w:rStyle w:val="Accentuation"/>
        </w:rPr>
        <w:t>Site de clonage</w:t>
      </w:r>
      <w:r>
        <w:t xml:space="preserve"> site reconnu par l’enzyme de restritction.</w:t>
      </w:r>
    </w:p>
    <w:p>
      <w:r>
        <w:t>Les enzymes de restriction se composaient de deux sous unité (dimère). La coupe est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Franche, les deux brins sont coupés au même niveau</w:t>
            </w:r>
          </w:p>
        </w:tc>
        <w:tc>
          <w:tcPr>
            <w:tcW w:w="3668" w:type="dxa"/>
          </w:tcPr>
          <w:p>
            <w:r>
              <w:t xml:space="preserve">Cohésive, la séparation à lieu </w:t>
            </w:r>
          </w:p>
        </w:tc>
      </w:tr>
    </w:tbl>
    <w:p>
      <w:r>
        <w:t>Lorsque les extrémités sont cohésives, il faut préciser l’extrémité sortante 5’ ou 3’.</w:t>
      </w:r>
    </w:p>
    <w:p>
      <w:r>
        <w:rPr>
          <w:u w:val="single"/>
        </w:rPr>
        <w:t>Rmq :</w:t>
      </w:r>
      <w:r>
        <w:t xml:space="preserve"> Deux enzymes différentes peuvent produite des extrémités complémentaires.</w:t>
      </w:r>
    </w:p>
    <w:p>
      <w:r>
        <w:t>Extrémité franche couper au niveau du site de reconnaissance</w:t>
      </w:r>
    </w:p>
    <w:p>
      <w:r>
        <w:t>Exemple : Enzyme II (G/ATC) coupe au premier nucléotide du palindrome : G-ATC et CTA-G</w:t>
      </w:r>
    </w:p>
    <w:p>
      <w:pPr>
        <w:pStyle w:val="Titre2"/>
      </w:pPr>
      <w:r>
        <w:t>Lier l’ADN</w:t>
      </w:r>
    </w:p>
    <w:p>
      <w:r>
        <w:t>Une liaison entre deux extrémités d’ADN peut être créer une ligase. Elle a besoin d’hydrolyser de l’ATP pour fonctionner. Pour que deux extrémités puissent être liées, il faut qu’elles soient cohésines et complémentaires.</w:t>
      </w:r>
    </w:p>
    <w:p>
      <w:r>
        <w:t xml:space="preserve">Pour éviter que l’ADN ne se lie qu’entre les séquences désirées, il faut modifier les groupements phosphodiesters. Pour cela, deux enzymes peuvent être utilisée 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Supprimer (phosphatase)</w:t>
            </w:r>
          </w:p>
        </w:tc>
        <w:tc>
          <w:tcPr>
            <w:tcW w:w="3668" w:type="dxa"/>
          </w:tcPr>
          <w:p>
            <w:r>
              <w:t>Ajouter (polynucléotide kinase)</w:t>
            </w:r>
          </w:p>
        </w:tc>
      </w:tr>
    </w:tbl>
    <w:p>
      <w:pPr>
        <w:pStyle w:val="Titre3"/>
      </w:pPr>
      <w:r>
        <w:t>Modifier les extrémités de l’ADN</w:t>
      </w:r>
    </w:p>
    <w:p>
      <w:r>
        <w:t>L’extémité cohésive de brins d’ADN peut être modifier par l’utilisation de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Présence de dNTP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Absence de dNTP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ADN polymérase I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Complète 5’-3’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3’-5’ et 5’-3’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lastRenderedPageBreak/>
              <w:t xml:space="preserve">Enzyme Klenow  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Complète 5’-3’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5’-3’</w:t>
            </w:r>
          </w:p>
        </w:tc>
      </w:tr>
    </w:tbl>
    <w:p>
      <w:pPr>
        <w:pStyle w:val="Titre2"/>
      </w:pPr>
      <w:r>
        <w:t>Insérer la séquence d’ADN</w:t>
      </w:r>
    </w:p>
    <w:p>
      <w:r>
        <w:t>L’insertion de la séquence d’ADN nécessite deux étapes :</w:t>
      </w:r>
    </w:p>
    <w:p>
      <w:pPr>
        <w:pStyle w:val="Paragraphedeliste"/>
        <w:numPr>
          <w:ilvl w:val="0"/>
          <w:numId w:val="47"/>
        </w:numPr>
      </w:pPr>
      <w:r>
        <w:t>Fabrication et modification d’un plasmide. L</w:t>
      </w:r>
    </w:p>
    <w:p>
      <w:pPr>
        <w:pStyle w:val="Paragraphedeliste"/>
        <w:numPr>
          <w:ilvl w:val="0"/>
          <w:numId w:val="47"/>
        </w:numPr>
      </w:pPr>
      <w:r>
        <w:t>Insertion du plasmide dans une cellule.</w:t>
      </w:r>
    </w:p>
    <w:p>
      <w:pPr>
        <w:pStyle w:val="Titre3"/>
      </w:pPr>
      <w:r>
        <w:t>Les vecteurs (ou véhicule) de clonage</w:t>
      </w:r>
    </w:p>
    <w:p>
      <w:r>
        <w:t xml:space="preserve">Un vecteur de clonage est </w:t>
      </w:r>
    </w:p>
    <w:p>
      <w:r>
        <w:rPr>
          <w:rStyle w:val="Accentuation"/>
        </w:rPr>
        <w:t>Vecteur de clonage</w:t>
      </w:r>
      <w:r>
        <w:t xml:space="preserve"> plasmide ayant reçu une séquence d’ADN extérieure.</w:t>
      </w:r>
    </w:p>
    <w:p>
      <w:r>
        <w:t>transporter clonage</w:t>
      </w:r>
    </w:p>
    <w:p>
      <w:r>
        <w:t>Les vecteurs de clonage sont classés en fontion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Type de cellules</w:t>
            </w:r>
          </w:p>
        </w:tc>
        <w:tc>
          <w:tcPr>
            <w:tcW w:w="2445" w:type="dxa"/>
          </w:tcPr>
          <w:p>
            <w:r>
              <w:t>Du nombre de copies génétiques</w:t>
            </w:r>
          </w:p>
        </w:tc>
        <w:tc>
          <w:tcPr>
            <w:tcW w:w="2445" w:type="dxa"/>
          </w:tcPr>
          <w:p>
            <w:r>
              <w:t>La taille maximale de l’insertion</w:t>
            </w:r>
          </w:p>
        </w:tc>
      </w:tr>
    </w:tbl>
    <w:p>
      <w:r>
        <w:t>Exemple de vecteurs de clonage : phage, plasmide.</w:t>
      </w:r>
    </w:p>
    <w:p>
      <w:r>
        <w:rPr>
          <w:u w:val="single"/>
        </w:rPr>
        <w:t>NB :</w:t>
      </w:r>
      <w:r>
        <w:t xml:space="preserve"> Le cours se limite à la présentation des plasmides. Ils sont capables d’accueillir des insertions ayant de maximum 10Kb</w:t>
      </w:r>
    </w:p>
    <w:p>
      <w:pPr>
        <w:pStyle w:val="Titre2"/>
      </w:pPr>
      <w:r>
        <w:t>Déterminer les cellules ayant reçu la séquence</w:t>
      </w:r>
    </w:p>
    <w:p>
      <w:r>
        <w:t xml:space="preserve">Toutes les cellules n’ont pas reçu le </w:t>
      </w:r>
    </w:p>
    <w:p>
      <w:r>
        <w:t>Réplication autonome grâce à un site d’originie de réplication</w:t>
      </w:r>
    </w:p>
    <w:p>
      <w:r>
        <w:t>Un site de clonage zone d’intégration</w:t>
      </w:r>
    </w:p>
    <w:p>
      <w:r>
        <w:t>Caractère sélectif expression par la cellules qui possèdent le vecteur.</w:t>
      </w:r>
    </w:p>
    <w:p>
      <w:r>
        <w:t>Caractère sélectif lutte antibiotique décès des autres cellules</w:t>
      </w:r>
    </w:p>
    <w:p>
      <w:r>
        <w:t>1 ouverture du vecteur</w:t>
      </w:r>
    </w:p>
    <w:p>
      <w:r>
        <w:t>Déphosphorilation empêche la ligase de 3’ refermer la boucle</w:t>
      </w:r>
    </w:p>
    <w:p>
      <w:r>
        <w:t>Ligase + ATP plus brin</w:t>
      </w:r>
    </w:p>
    <w:p>
      <w:r>
        <w:t>4 connction des groupements par les enzymes de réparations</w:t>
      </w:r>
    </w:p>
    <w:p>
      <w:r>
        <w:t xml:space="preserve">Réplication du vecteur </w:t>
      </w:r>
    </w:p>
    <w:p>
      <w:r>
        <w:t xml:space="preserve">5 transormation du procaryote </w:t>
      </w:r>
    </w:p>
    <w:p>
      <w:r>
        <w:t>Introduction du vecteur recombinant</w:t>
      </w:r>
    </w:p>
    <w:p>
      <w:r>
        <w:t>T</w:t>
      </w:r>
    </w:p>
    <w:p>
      <w:r>
        <w:t xml:space="preserve">Multiplcation des copies </w:t>
      </w:r>
    </w:p>
    <w:p>
      <w:r>
        <w:rPr>
          <w:rStyle w:val="Accentuation"/>
        </w:rPr>
        <w:t>Transmutation</w:t>
      </w:r>
      <w:r>
        <w:t xml:space="preserve"> application d’un choc termique ou électrique pour rendre instable la membrane et permettre l’entrée du vecteur dans la bactérie.</w:t>
      </w:r>
    </w:p>
    <w:p>
      <w:r>
        <w:t>TeR 1 annulé lorsqu’il y a une in</w:t>
      </w:r>
    </w:p>
    <w:p>
      <w:r>
        <w:t>AmpR annulé résistance</w:t>
      </w:r>
    </w:p>
    <w:p>
      <w:r>
        <w:t>Élimintation via Ampr</w:t>
      </w:r>
    </w:p>
    <w:p>
      <w:r>
        <w:t>Émalioration</w:t>
      </w:r>
    </w:p>
    <w:p>
      <w:r>
        <w:t>Role du polylinker ou site multiple de clonage</w:t>
      </w:r>
    </w:p>
    <w:p>
      <w:r>
        <w:t>Choix du site de restriction dans le polylinker unique pour n’avoir qu’une seule ouverture.</w:t>
      </w:r>
    </w:p>
    <w:p>
      <w:r>
        <w:t xml:space="preserve">Permet le clonage orienté </w:t>
      </w:r>
    </w:p>
    <w:p>
      <w:r>
        <w:t>Séquence codante qui est celle d’intérêt</w:t>
      </w:r>
    </w:p>
    <w:p>
      <w:r>
        <w:t>Clonage orienté (opposition a non orienté)</w:t>
      </w:r>
    </w:p>
    <w:p>
      <w:r>
        <w:t>1 seul sens d’orientation pour que le promoteur engendre la production les deux sites de restrictions sont différents.</w:t>
      </w:r>
    </w:p>
    <w:p>
      <w:pPr>
        <w:pStyle w:val="Titre3"/>
      </w:pPr>
      <w:r>
        <w:t>Réplication des cellules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MGG</w:t>
    </w:r>
    <w:r>
      <w:ptab w:relativeTo="margin" w:alignment="center" w:leader="none"/>
    </w:r>
    <w:r>
      <w:t>Génie génétique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48.75pt;height:23.2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CC054E"/>
    <w:multiLevelType w:val="hybridMultilevel"/>
    <w:tmpl w:val="5734EF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4853EB"/>
    <w:multiLevelType w:val="hybridMultilevel"/>
    <w:tmpl w:val="D9F87FF8"/>
    <w:lvl w:ilvl="0" w:tplc="040C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F90782"/>
    <w:multiLevelType w:val="hybridMultilevel"/>
    <w:tmpl w:val="4BFED5A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2B15B0"/>
    <w:multiLevelType w:val="hybridMultilevel"/>
    <w:tmpl w:val="6C80ED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025A49"/>
    <w:multiLevelType w:val="hybridMultilevel"/>
    <w:tmpl w:val="F0E044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575C8B"/>
    <w:multiLevelType w:val="hybridMultilevel"/>
    <w:tmpl w:val="FCBA16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090310E"/>
    <w:multiLevelType w:val="hybridMultilevel"/>
    <w:tmpl w:val="44C21B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2"/>
  </w:num>
  <w:num w:numId="3">
    <w:abstractNumId w:val="12"/>
  </w:num>
  <w:num w:numId="4">
    <w:abstractNumId w:val="2"/>
  </w:num>
  <w:num w:numId="5">
    <w:abstractNumId w:val="9"/>
  </w:num>
  <w:num w:numId="6">
    <w:abstractNumId w:val="7"/>
  </w:num>
  <w:num w:numId="7">
    <w:abstractNumId w:val="13"/>
  </w:num>
  <w:num w:numId="8">
    <w:abstractNumId w:val="25"/>
  </w:num>
  <w:num w:numId="9">
    <w:abstractNumId w:val="36"/>
  </w:num>
  <w:num w:numId="10">
    <w:abstractNumId w:val="16"/>
  </w:num>
  <w:num w:numId="11">
    <w:abstractNumId w:val="21"/>
  </w:num>
  <w:num w:numId="12">
    <w:abstractNumId w:val="4"/>
  </w:num>
  <w:num w:numId="13">
    <w:abstractNumId w:val="40"/>
  </w:num>
  <w:num w:numId="14">
    <w:abstractNumId w:val="24"/>
  </w:num>
  <w:num w:numId="15">
    <w:abstractNumId w:val="29"/>
  </w:num>
  <w:num w:numId="16">
    <w:abstractNumId w:val="43"/>
  </w:num>
  <w:num w:numId="17">
    <w:abstractNumId w:val="5"/>
  </w:num>
  <w:num w:numId="18">
    <w:abstractNumId w:val="8"/>
  </w:num>
  <w:num w:numId="19">
    <w:abstractNumId w:val="28"/>
  </w:num>
  <w:num w:numId="20">
    <w:abstractNumId w:val="39"/>
  </w:num>
  <w:num w:numId="21">
    <w:abstractNumId w:val="23"/>
  </w:num>
  <w:num w:numId="22">
    <w:abstractNumId w:val="30"/>
  </w:num>
  <w:num w:numId="23">
    <w:abstractNumId w:val="46"/>
  </w:num>
  <w:num w:numId="24">
    <w:abstractNumId w:val="42"/>
  </w:num>
  <w:num w:numId="25">
    <w:abstractNumId w:val="45"/>
  </w:num>
  <w:num w:numId="26">
    <w:abstractNumId w:val="6"/>
  </w:num>
  <w:num w:numId="27">
    <w:abstractNumId w:val="1"/>
  </w:num>
  <w:num w:numId="28">
    <w:abstractNumId w:val="37"/>
  </w:num>
  <w:num w:numId="29">
    <w:abstractNumId w:val="14"/>
  </w:num>
  <w:num w:numId="30">
    <w:abstractNumId w:val="41"/>
  </w:num>
  <w:num w:numId="31">
    <w:abstractNumId w:val="27"/>
  </w:num>
  <w:num w:numId="32">
    <w:abstractNumId w:val="3"/>
  </w:num>
  <w:num w:numId="33">
    <w:abstractNumId w:val="38"/>
  </w:num>
  <w:num w:numId="34">
    <w:abstractNumId w:val="11"/>
  </w:num>
  <w:num w:numId="35">
    <w:abstractNumId w:val="33"/>
  </w:num>
  <w:num w:numId="36">
    <w:abstractNumId w:val="44"/>
  </w:num>
  <w:num w:numId="37">
    <w:abstractNumId w:val="15"/>
  </w:num>
  <w:num w:numId="38">
    <w:abstractNumId w:val="0"/>
  </w:num>
  <w:num w:numId="39">
    <w:abstractNumId w:val="47"/>
  </w:num>
  <w:num w:numId="40">
    <w:abstractNumId w:val="22"/>
  </w:num>
  <w:num w:numId="41">
    <w:abstractNumId w:val="18"/>
  </w:num>
  <w:num w:numId="42">
    <w:abstractNumId w:val="31"/>
  </w:num>
  <w:num w:numId="43">
    <w:abstractNumId w:val="20"/>
  </w:num>
  <w:num w:numId="44">
    <w:abstractNumId w:val="19"/>
  </w:num>
  <w:num w:numId="45">
    <w:abstractNumId w:val="35"/>
  </w:num>
  <w:num w:numId="46">
    <w:abstractNumId w:val="10"/>
  </w:num>
  <w:num w:numId="47">
    <w:abstractNumId w:val="26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3</Pages>
  <Words>996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17</cp:revision>
  <cp:lastPrinted>2021-02-13T18:38:00Z</cp:lastPrinted>
  <dcterms:created xsi:type="dcterms:W3CDTF">2021-06-15T04:50:00Z</dcterms:created>
  <dcterms:modified xsi:type="dcterms:W3CDTF">2022-02-03T21:29:00Z</dcterms:modified>
</cp:coreProperties>
</file>