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rPr>
          <w:rStyle w:val="Accentuation"/>
        </w:rPr>
        <w:t>Élongation</w:t>
      </w:r>
      <w:r>
        <w:t xml:space="preserve"> progression du ribosome le long du brin d’ARNm</w:t>
      </w:r>
    </w:p>
    <w:p>
      <w:r>
        <w:t>Défini une séquence de nucléotides à partir de la chaine peptidique</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lastRenderedPageBreak/>
        <w:t>L’ARNt est associé par son extrémité Béta par une liaison covalente à l’acide aminé correspond à son anticodon pour former un complexe s’appelle aminoacyl-ARNt par aminoacyl-ARNt synthétase.</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Recrutement de la grande sous unité</w:t>
      </w:r>
    </w:p>
    <w:p>
      <w:pPr>
        <w:pStyle w:val="Paragraphedeliste"/>
        <w:numPr>
          <w:ilvl w:val="0"/>
          <w:numId w:val="18"/>
        </w:numPr>
      </w:pPr>
      <w:r>
        <w:t>Ajout des aa grâce à l’aminoacyl-ARNt.</w:t>
      </w:r>
    </w:p>
    <w:p>
      <w:pPr>
        <w:pStyle w:val="Paragraphedeliste"/>
        <w:numPr>
          <w:ilvl w:val="0"/>
          <w:numId w:val="18"/>
        </w:numPr>
      </w:pPr>
      <w:r>
        <w:t>Lors de l’apparition du codon stop. Le facteur de terminaison s’associe à l’ARNm et provoque la dissociation du ribosome.</w:t>
      </w:r>
    </w:p>
    <w:p>
      <w:r>
        <w:t>Il existe moins d’anticodons que de codons car pour plusieurs acides aminée. Un anticodon peut interagir avec plusieurs codons grâce soit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Ainsi il augmente l’efficacité de traduction.</w:t>
      </w:r>
    </w:p>
    <w:p>
      <w:r>
        <w:t>phase ouverte de lecture (ORF en anglais) séquence de codon traduite en acide aminé. Elle contient le codon initiateur et stop.</w:t>
      </w:r>
    </w:p>
    <w:p>
      <w:pPr>
        <w:pStyle w:val="Titre1"/>
      </w:pPr>
      <w:r>
        <w:t>Manipulation de l’ADN</w:t>
      </w:r>
    </w:p>
    <w:p>
      <w:r>
        <w:t xml:space="preserve">Objectif : </w:t>
      </w:r>
    </w:p>
    <w:p>
      <w:pPr>
        <w:pStyle w:val="Paragraphedeliste"/>
        <w:numPr>
          <w:ilvl w:val="0"/>
          <w:numId w:val="3"/>
        </w:numPr>
      </w:pPr>
      <w:r>
        <w:t xml:space="preserve">faire 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Les OGN sont interdit</w:t>
      </w:r>
      <w:r>
        <w:t>s</w:t>
      </w:r>
      <w:r>
        <w:t xml:space="preserve"> car il existe des risques probables pour la santé. Leur culture est interdite car les gènes d’OGN peuvent contaminer lors de fécondation avec des espèces non modifiées, par exemple lorsque les champs sont proches. </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le concentrer. La précipitation a lieu en utilisant de l’éthanol ou de l’isopropanol.</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30"/>
        </w:numPr>
      </w:pPr>
      <w:r>
        <w:t>En utilisant une</w:t>
      </w:r>
      <w:r>
        <w:t xml:space="preserve"> sonde d’hybridation avec la séquence étudiée.</w:t>
      </w:r>
    </w:p>
    <w:p>
      <w:pPr>
        <w:pStyle w:val="Paragraphedeliste"/>
        <w:numPr>
          <w:ilvl w:val="0"/>
          <w:numId w:val="30"/>
        </w:numPr>
      </w:pPr>
      <w:r>
        <w:t>Par s</w:t>
      </w:r>
      <w:r>
        <w:t xml:space="preserve">élection fonctionnelle </w:t>
      </w:r>
      <w:r>
        <w:t>Par l’indentification de la protéine d’intérêt. Tous les fragments sont insérés dans des</w:t>
      </w:r>
      <w:r>
        <w:t xml:space="preserve"> vecteur d’expression </w:t>
      </w:r>
      <w:r>
        <w:t>puis on identifie la</w:t>
      </w:r>
      <w:r>
        <w:t xml:space="preserve"> protéine d’intérêt.</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 xml:space="preserve">L’organisme modèle eucaryote utilisé est la </w:t>
      </w:r>
      <w:r>
        <w:t xml:space="preserve">levure </w:t>
      </w:r>
      <w:r>
        <w:t>offre l’</w:t>
      </w:r>
      <w:r>
        <w:t xml:space="preserve">avantage </w:t>
      </w:r>
      <w:r>
        <w:t xml:space="preserve">d’être </w:t>
      </w:r>
      <w:r>
        <w:t xml:space="preserve">facile à cultiver et </w:t>
      </w:r>
      <w:r>
        <w:t xml:space="preserve">qui possède une </w:t>
      </w:r>
      <w:r>
        <w:t>capacité rare chez les eucaryote</w:t>
      </w:r>
      <w:r>
        <w:t>s</w:t>
      </w:r>
      <w:r>
        <w:t xml:space="preserve"> </w:t>
      </w:r>
      <w:r>
        <w:t xml:space="preserve">de pouvoir utiliser les </w:t>
      </w:r>
      <w:r>
        <w:t>plasmides.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produire des extrémités complémentaires.</w:t>
      </w:r>
    </w:p>
    <w:p>
      <w:pPr>
        <w:rPr>
          <w:i/>
          <w:iCs/>
        </w:rPr>
      </w:pPr>
      <w:r>
        <w:rPr>
          <w:i/>
          <w:iCs/>
        </w:rPr>
        <w:t>Exemple : Enzyme II (G/ATC) coupe au premier nucléotide du palindrome : G-ATC et CTA-G.</w:t>
      </w:r>
    </w:p>
    <w:p>
      <w:pPr>
        <w:pStyle w:val="Titre3"/>
      </w:pPr>
      <w:r>
        <w:t>Extraire l’ADN de la chaine peptidique de cellules eucaryotes</w:t>
      </w:r>
    </w:p>
    <w:p>
      <w:r>
        <w:t xml:space="preserve">Chez les eucaryotes, l’épissage complique l’extraction du gène lorsque l’on souhaite le faire exprimer par une bactérie car ce processus est absent chez ces dernières. Il faut récupérer la séquence composée uniquement des exons. Pour cela, il faut :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codant et ADN polymérase le brin codé.</w:t>
      </w:r>
    </w:p>
    <w:p>
      <w:r>
        <w:rPr>
          <w:rStyle w:val="Accentuation"/>
        </w:rPr>
        <w:t>Attention</w:t>
      </w:r>
      <w:r>
        <w:t xml:space="preserve"> les modifications post-traductionnelles des protéines eucaryotes ne sont pas réalisable dans les Bactéries.</w:t>
      </w:r>
    </w:p>
    <w:p>
      <w:pPr>
        <w:pStyle w:val="Titre2"/>
      </w:pPr>
      <w:r>
        <w:lastRenderedPageBreak/>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t xml:space="preserve">Un site de multiclonage (appelé aussi </w:t>
      </w:r>
      <w:proofErr w:type="spellStart"/>
      <w:r>
        <w:t>polylinker</w:t>
      </w:r>
      <w:proofErr w:type="spellEnd"/>
      <w:r>
        <w:t>). Ce sont les zones d’intégration possible. Le site contient plusieurs sites de restriction uniques pour qu’une seule ouverture soit possible</w:t>
      </w:r>
    </w:p>
    <w:p>
      <w:r>
        <w:t xml:space="preserve">Très souvent, on ajoute : </w:t>
      </w:r>
    </w:p>
    <w:p>
      <w:pPr>
        <w:pStyle w:val="Paragraphedeliste"/>
        <w:numPr>
          <w:ilvl w:val="0"/>
          <w:numId w:val="26"/>
        </w:numPr>
      </w:pPr>
      <w:r>
        <w:t>Un agent de sélection</w:t>
      </w:r>
      <w:r>
        <w:rPr>
          <w:rFonts w:ascii="Arial" w:hAnsi="Arial" w:cs="Arial"/>
        </w:rPr>
        <w:t> </w:t>
      </w:r>
      <w:r>
        <w:t>caractère sélectif</w:t>
      </w:r>
    </w:p>
    <w:p>
      <w:pPr>
        <w:pStyle w:val="Paragraphedeliste"/>
        <w:numPr>
          <w:ilvl w:val="0"/>
          <w:numId w:val="26"/>
        </w:numPr>
      </w:pPr>
      <w:r>
        <w:t>(si on chercher à faire exprimer le gène) avoir un promoteur en amont pour permettre la transcription du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de : </w:t>
      </w:r>
    </w:p>
    <w:p>
      <w:pPr>
        <w:pStyle w:val="Paragraphedeliste"/>
        <w:numPr>
          <w:ilvl w:val="0"/>
          <w:numId w:val="22"/>
        </w:numPr>
      </w:pPr>
      <w:r>
        <w:t>Les sites de restriction des principales enzymes.</w:t>
      </w:r>
    </w:p>
    <w:p>
      <w:pPr>
        <w:pStyle w:val="Paragraphedeliste"/>
        <w:numPr>
          <w:ilvl w:val="0"/>
          <w:numId w:val="22"/>
        </w:numPr>
      </w:pPr>
      <w:r>
        <w:t xml:space="preserve">La séquence d’intérêt. </w:t>
      </w:r>
    </w:p>
    <w:p>
      <w:r>
        <w:t>Pour la réaliser, il faut mesurer la taille et le nombre de fragments générés par chaque enzyme de restriction. Ces informations sont déterminées par électrophorèse.</w:t>
      </w:r>
    </w:p>
    <w:p>
      <w:pPr>
        <w:pStyle w:val="Paragraphedeliste"/>
        <w:ind w:left="0"/>
      </w:pPr>
      <w:r>
        <w:rPr>
          <w:u w:val="single"/>
        </w:rPr>
        <w:t>Rmq :</w:t>
      </w:r>
      <w:r>
        <w:t xml:space="preserve"> Une bande peut contenir plusieurs fragments. Le nombre de fragments équivaut au nombre de sites +1.</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ou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par l’utilisation :</w:t>
      </w:r>
    </w:p>
    <w:p>
      <w:pPr>
        <w:pStyle w:val="Paragraphedeliste"/>
        <w:numPr>
          <w:ilvl w:val="0"/>
          <w:numId w:val="32"/>
        </w:numPr>
      </w:pPr>
      <w:r>
        <w:t>par électroporation</w:t>
      </w:r>
      <w:r>
        <w:t xml:space="preserve"> qui consiste à appliquer un champs électrique.</w:t>
      </w:r>
    </w:p>
    <w:p>
      <w:pPr>
        <w:pStyle w:val="Paragraphedeliste"/>
        <w:numPr>
          <w:ilvl w:val="0"/>
          <w:numId w:val="32"/>
        </w:numPr>
      </w:pPr>
      <w:r>
        <w:t>en bombardant</w:t>
      </w:r>
      <w:r>
        <w:t>.</w:t>
      </w:r>
    </w:p>
    <w:p>
      <w:pPr>
        <w:pStyle w:val="Paragraphedeliste"/>
        <w:numPr>
          <w:ilvl w:val="0"/>
          <w:numId w:val="32"/>
        </w:numPr>
      </w:pPr>
      <w:r>
        <w:t>par l’utilisation d’un autre organisme (virus)</w:t>
      </w:r>
      <w:r>
        <w:t>.</w:t>
      </w:r>
    </w:p>
    <w:p>
      <w:pPr>
        <w:pStyle w:val="Paragraphedeliste"/>
        <w:numPr>
          <w:ilvl w:val="0"/>
          <w:numId w:val="32"/>
        </w:numPr>
      </w:pPr>
      <w:r>
        <w:t>avec une aiguille</w:t>
      </w:r>
      <w:r>
        <w:t>.</w:t>
      </w:r>
    </w:p>
    <w:p>
      <w:pPr>
        <w:pStyle w:val="Paragraphedeliste"/>
        <w:numPr>
          <w:ilvl w:val="0"/>
          <w:numId w:val="32"/>
        </w:numPr>
      </w:pPr>
      <w:r>
        <w:t>un choc thermique.</w:t>
      </w:r>
    </w:p>
    <w:p>
      <w:pPr>
        <w:pStyle w:val="Paragraphedeliste"/>
        <w:numPr>
          <w:ilvl w:val="0"/>
          <w:numId w:val="32"/>
        </w:numPr>
      </w:pPr>
      <w:r>
        <w:t>De produits chimiques</w:t>
      </w:r>
      <w:r>
        <w:t>.</w:t>
      </w:r>
    </w:p>
    <w:p>
      <w:r>
        <w:rPr>
          <w:u w:val="single"/>
        </w:rPr>
        <w:t>NB :</w:t>
      </w:r>
      <w:r>
        <w:t xml:space="preserve"> Un seul plasmide peut entrer par bactérie.</w:t>
      </w:r>
    </w:p>
    <w:p>
      <w:r>
        <w:rPr>
          <w:rStyle w:val="Accentuation"/>
        </w:rPr>
        <w:lastRenderedPageBreak/>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n’ont pas reçu le vecteur recombinant.</w:t>
      </w:r>
    </w:p>
    <w:p>
      <w:r>
        <w:t>Les bactéries obtenues sont diluées suffisamment que l’on prélève la solution pour les déposer sur le gel, elles ne le sont qu’une par une. Elles sont ensuite cultivées.</w:t>
      </w:r>
    </w:p>
    <w:p>
      <w:r>
        <w:t>La d</w:t>
      </w:r>
      <w:r>
        <w:t>étection</w:t>
      </w:r>
      <w:r>
        <w:t xml:space="preserve"> peut se faire par :</w:t>
      </w:r>
    </w:p>
    <w:p>
      <w:pPr>
        <w:pStyle w:val="Paragraphedeliste"/>
        <w:numPr>
          <w:ilvl w:val="0"/>
          <w:numId w:val="33"/>
        </w:numPr>
      </w:pPr>
      <w:r>
        <w:t>par anticorps</w:t>
      </w:r>
      <w:r>
        <w:t xml:space="preserve">. </w:t>
      </w:r>
      <w:r>
        <w:t>On utilise un anticorps dirigé contre la protéine pour reconnaitre les colonies qui possèdent le vecteur recombinant.</w:t>
      </w:r>
    </w:p>
    <w:p>
      <w:pPr>
        <w:pStyle w:val="Paragraphedeliste"/>
        <w:numPr>
          <w:ilvl w:val="0"/>
          <w:numId w:val="33"/>
        </w:numPr>
      </w:pPr>
      <w:r>
        <w:t>par hybridation</w:t>
      </w:r>
      <w:r>
        <w:t xml:space="preserve"> en utilisant une sonde qui </w:t>
      </w:r>
      <w:r>
        <w:t>possède des atomes radioactifs ou fluorescents.</w:t>
      </w:r>
    </w:p>
    <w:p>
      <w:pPr>
        <w:pStyle w:val="Paragraphedeliste"/>
        <w:numPr>
          <w:ilvl w:val="0"/>
          <w:numId w:val="33"/>
        </w:numPr>
      </w:pPr>
      <w:r>
        <w:t>par gène inductible</w:t>
      </w:r>
      <w:r>
        <w:t>.</w:t>
      </w:r>
    </w:p>
    <w:p>
      <w:pPr>
        <w:pStyle w:val="Titre3"/>
      </w:pPr>
      <w:r>
        <w:t>Détection du vecteur par gène inductible</w:t>
      </w:r>
    </w:p>
    <w:p>
      <w:r>
        <w:rPr>
          <w:rStyle w:val="Accentuation"/>
        </w:rPr>
        <w:t>Caractère sélectif</w:t>
      </w:r>
      <w:r>
        <w:t xml:space="preserve"> caractère exprimé par la cellule servant à identifier son génotype. Il s’agit souvent d’une résistance à un antibiotique.</w:t>
      </w:r>
    </w:p>
    <w:p>
      <w:r>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inducteur qui lorsqu’il est coupé par le vecteur recombinante ne s’exprime plus de façon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Un inducteur IPTG qui produit une protéine produit transforme le galactose en un produit de couleur bleu.</w:t>
      </w:r>
    </w:p>
    <w:p>
      <w:pPr>
        <w:pStyle w:val="Paragraphedeliste"/>
        <w:numPr>
          <w:ilvl w:val="0"/>
          <w:numId w:val="23"/>
        </w:numPr>
        <w:rPr>
          <w:i/>
          <w:iCs/>
        </w:rPr>
      </w:pPr>
      <w:r>
        <w:rPr>
          <w:i/>
          <w:iCs/>
        </w:rPr>
        <w:t>Un caractère sélectif de résistance à la pénicilline.</w:t>
      </w:r>
    </w:p>
    <w:p>
      <w:pPr>
        <w:rPr>
          <w:i/>
          <w:iCs/>
        </w:rPr>
      </w:pPr>
      <w:r>
        <w:rPr>
          <w:i/>
          <w:iCs/>
        </w:rPr>
        <w:t>Si les Bactéries sont alors celle possédant :</w:t>
      </w:r>
    </w:p>
    <w:p>
      <w:pPr>
        <w:pStyle w:val="Paragraphedeliste"/>
        <w:numPr>
          <w:ilvl w:val="0"/>
          <w:numId w:val="11"/>
        </w:numPr>
        <w:rPr>
          <w:i/>
          <w:iCs/>
        </w:rPr>
      </w:pPr>
      <w:r>
        <w:rPr>
          <w:i/>
          <w:iCs/>
        </w:rPr>
        <w:t>sans plasmide meurent.</w:t>
      </w:r>
    </w:p>
    <w:p>
      <w:pPr>
        <w:pStyle w:val="Paragraphedeliste"/>
        <w:numPr>
          <w:ilvl w:val="0"/>
          <w:numId w:val="11"/>
        </w:numPr>
        <w:rPr>
          <w:i/>
          <w:iCs/>
        </w:rPr>
      </w:pPr>
      <w:r>
        <w:rPr>
          <w:i/>
          <w:iCs/>
        </w:rPr>
        <w:t>Avec le vecteur recombinant apparaissent blanches.</w:t>
      </w:r>
    </w:p>
    <w:p>
      <w:pPr>
        <w:pStyle w:val="Paragraphedeliste"/>
        <w:numPr>
          <w:ilvl w:val="0"/>
          <w:numId w:val="11"/>
        </w:numPr>
        <w:rPr>
          <w:i/>
          <w:iCs/>
        </w:rPr>
      </w:pPr>
      <w:r>
        <w:rPr>
          <w:i/>
          <w:iCs/>
        </w:rPr>
        <w:t>Avec le vecteur vide apparaissent bleu.</w:t>
      </w:r>
    </w:p>
    <w:p>
      <w:pPr>
        <w:pStyle w:val="Titre1"/>
      </w:pPr>
      <w:r>
        <w:t>Techniques complémentaires</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25"/>
        </w:numPr>
      </w:pPr>
      <w:r>
        <w:t>Dénaturer en chauffant. L’ADN est dénaturé en étant soumis à une température de 95°C.</w:t>
      </w:r>
    </w:p>
    <w:p>
      <w:pPr>
        <w:pStyle w:val="Paragraphedeliste"/>
        <w:numPr>
          <w:ilvl w:val="0"/>
          <w:numId w:val="25"/>
        </w:numPr>
      </w:pPr>
      <w:r>
        <w:t>Hybridation avec la sonde. Reformation des liaison d’hydrogène avec une amorce pour chaque brin par une baisse de la température. La sonde est ajoutée et l’hybridation est 2 à 5°.</w:t>
      </w:r>
    </w:p>
    <w:p>
      <w:pPr>
        <w:pStyle w:val="Paragraphedeliste"/>
        <w:numPr>
          <w:ilvl w:val="0"/>
          <w:numId w:val="25"/>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w:t>
      </w:r>
      <w:r>
        <w:t xml:space="preserve">empérature </w:t>
      </w:r>
      <w:r>
        <w:t xml:space="preserve">de </w:t>
      </w:r>
      <w:r>
        <w:t>72°C</w:t>
      </w:r>
      <w:r>
        <w:t xml:space="preserve"> et à la v</w:t>
      </w:r>
      <w:r>
        <w:t xml:space="preserve">itesse </w:t>
      </w:r>
      <w:r>
        <w:t>de</w:t>
      </w:r>
      <w:r>
        <w:t xml:space="preserve"> 1 Kb/min.</w:t>
      </w:r>
    </w:p>
    <w:p>
      <w:r>
        <w:rPr>
          <w:rStyle w:val="Accentuation"/>
        </w:rPr>
        <w:lastRenderedPageBreak/>
        <w:t>Sonde</w:t>
      </w:r>
      <w:r>
        <w:t xml:space="preserve"> séquence d’ADN courte et complémentaire du monobrin d’intérêt.</w:t>
      </w:r>
    </w:p>
    <w:p>
      <w:pPr>
        <w:pStyle w:val="Titre3"/>
        <w:rPr>
          <w:rStyle w:val="Accentuation"/>
          <w:color w:val="000000" w:themeColor="text1"/>
        </w:rPr>
      </w:pPr>
      <w:r>
        <w:t xml:space="preserve">Dénaturation de l’ADN </w:t>
      </w:r>
    </w:p>
    <w:p>
      <w:r>
        <w:t>La température de fusion est donnée par 2x(A+T) + 4x(G+C).</w:t>
      </w:r>
    </w:p>
    <w:p>
      <w:r>
        <w:rPr>
          <w:rStyle w:val="Accentuation"/>
        </w:rPr>
        <w:t>Stringence</w:t>
      </w:r>
      <w:r>
        <w:t xml:space="preserve"> ensemble des conditions de température, pH et de concentrations de ions permettant l’hybridation. Plus les conditions sont favorables à une hybridation plus sa valeur est élevée.</w:t>
      </w:r>
    </w:p>
    <w:p>
      <w:r>
        <w:t>L’utilisation de sels neutralisent les charges et baisse la stringence.</w:t>
      </w:r>
    </w:p>
    <w:p>
      <w:pPr>
        <w:pStyle w:val="Titre3"/>
      </w:pPr>
      <w:r>
        <w:t>PCR analyse jusqu’à l’épuisement du dNTP</w:t>
      </w:r>
    </w:p>
    <w:p>
      <w:r>
        <w:t>Cette technique permet d’estimer le nombre de matériel de départ (nombre de séquences initiales) ce qui peut être utile pour connaitre le niveau d’expression d’une protéine.</w:t>
      </w:r>
    </w:p>
    <w:p>
      <w:pPr>
        <w:pStyle w:val="Paragraphedeliste"/>
        <w:numPr>
          <w:ilvl w:val="0"/>
          <w:numId w:val="24"/>
        </w:numPr>
      </w:pPr>
      <w:r>
        <w:t>La quantité de nucléotides est fixé au départ.</w:t>
      </w:r>
    </w:p>
    <w:p>
      <w:pPr>
        <w:pStyle w:val="Paragraphedeliste"/>
        <w:numPr>
          <w:ilvl w:val="0"/>
          <w:numId w:val="24"/>
        </w:numPr>
      </w:pPr>
      <w:r>
        <w:t xml:space="preserve">Les cycles sont réalisés jusqu’à épuisement des nucléotides. </w:t>
      </w:r>
    </w:p>
    <w:p>
      <w:r>
        <w:t>Plus le matériel de départ étaient nombreux, plus la phase de réplication aura lieu prématurément.</w:t>
      </w:r>
    </w:p>
    <w:p>
      <w:pPr>
        <w:pStyle w:val="Titre2"/>
      </w:pPr>
      <w:r>
        <w:t>Séquençage : déterminer la séquence de nucléotides</w:t>
      </w:r>
    </w:p>
    <w:p>
      <w:r>
        <w:t>Pour déterminer la suite de nucléotides, on utilise la technique de terminaison. L’ADN est monobrin est polymérisé avec des nucléotides fluorescents. Le code de la séquence est lu grâce à un laser.</w:t>
      </w:r>
    </w:p>
    <w:p>
      <w:r>
        <w:t>Auparavant :</w:t>
      </w:r>
    </w:p>
    <w:p>
      <w:pPr>
        <w:pStyle w:val="Paragraphedeliste"/>
        <w:numPr>
          <w:ilvl w:val="0"/>
          <w:numId w:val="14"/>
        </w:numPr>
      </w:pPr>
      <w:r>
        <w:t>Séquençage chimique. Le brin d’ADN est clivé par des molécules qui clivent chaque base de manière spécifique séparer par petit fragment.</w:t>
      </w:r>
    </w:p>
    <w:p>
      <w:pPr>
        <w:pStyle w:val="Paragraphedeliste"/>
        <w:numPr>
          <w:ilvl w:val="0"/>
          <w:numId w:val="14"/>
        </w:numPr>
      </w:pPr>
      <w:r>
        <w:t xml:space="preserve">Copie de la séquence avec des nucléotides appelé </w:t>
      </w:r>
      <w:proofErr w:type="spellStart"/>
      <w:r>
        <w:t>ddbase</w:t>
      </w:r>
      <w:proofErr w:type="spellEnd"/>
      <w:r>
        <w:t xml:space="preserve"> avec un H à la place du groupement 3-OH ce qui empêche la liaison appelé terminateur de chaine. Le brin monocaténaire amorce puis le </w:t>
      </w:r>
      <w:r>
        <w:t xml:space="preserve">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Électrophorèse sur gel</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pPr>
        <w:pStyle w:val="Titre2"/>
      </w:pPr>
      <w:r>
        <w:t>Buvard</w:t>
      </w:r>
      <w:r>
        <w:t xml:space="preserve"> de </w:t>
      </w:r>
      <w:proofErr w:type="spellStart"/>
      <w:r>
        <w:t>Southern</w:t>
      </w:r>
      <w:proofErr w:type="spellEnd"/>
    </w:p>
    <w:p>
      <w:r>
        <w:t xml:space="preserve">Le buvard de </w:t>
      </w:r>
      <w:proofErr w:type="spellStart"/>
      <w:r>
        <w:t>Southern</w:t>
      </w:r>
      <w:proofErr w:type="spellEnd"/>
      <w:r>
        <w:t xml:space="preserve"> se déroule :</w:t>
      </w:r>
    </w:p>
    <w:p>
      <w:pPr>
        <w:pStyle w:val="Paragraphedeliste"/>
        <w:numPr>
          <w:ilvl w:val="0"/>
          <w:numId w:val="28"/>
        </w:numPr>
      </w:pPr>
      <w:r>
        <w:t>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r>
        <w:rPr>
          <w:rStyle w:val="Accentuation"/>
        </w:rPr>
        <w:t xml:space="preserve">Buvard de </w:t>
      </w:r>
      <w:proofErr w:type="spellStart"/>
      <w:r>
        <w:rPr>
          <w:rStyle w:val="Accentuation"/>
        </w:rPr>
        <w:t>Nothern</w:t>
      </w:r>
      <w:proofErr w:type="spellEnd"/>
      <w:r>
        <w:rPr>
          <w:rStyle w:val="Accentuation"/>
        </w:rPr>
        <w:t xml:space="preserve"> </w:t>
      </w:r>
      <w:r>
        <w:t>buvard avec ARN transcription inverse puis d’une amplification en chaine polymérase ou RT-PCR.</w:t>
      </w:r>
    </w:p>
    <w:p>
      <w:pPr>
        <w:pStyle w:val="Titre1"/>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29"/>
        </w:numPr>
      </w:pPr>
      <w:r>
        <w:t>D’organisme qui consiste à substituer le génome d’un organisme par un autre notamment celle d’un zygote (cellule œuf).</w:t>
      </w:r>
    </w:p>
    <w:p>
      <w:pPr>
        <w:pStyle w:val="Paragraphedeliste"/>
        <w:numPr>
          <w:ilvl w:val="0"/>
          <w:numId w:val="29"/>
        </w:numPr>
      </w:pPr>
      <w:r>
        <w:t>Moléculaire (introduction d’un morceau d’ADN dans un autre organisme).</w:t>
      </w:r>
    </w:p>
    <w:p>
      <w:pPr>
        <w:pStyle w:val="Paragraphedeliste"/>
        <w:numPr>
          <w:ilvl w:val="0"/>
          <w:numId w:val="29"/>
        </w:numPr>
      </w:pPr>
      <w:r>
        <w:t>Cellulaire lié à la reproduction par exemple chez les Bactéries.</w:t>
      </w:r>
    </w:p>
    <w:p>
      <w:r>
        <w:rPr>
          <w:rStyle w:val="Accentuation"/>
        </w:rPr>
        <w:lastRenderedPageBreak/>
        <w:t>Totipotente</w:t>
      </w:r>
      <w:r>
        <w:t xml:space="preserve"> cellule capable de se dédifférencier. La plupart des cellules végétales dispose de cette capacité contrairement aux cellules animales.</w:t>
      </w:r>
    </w:p>
    <w:p>
      <w:r>
        <w:t xml:space="preserve">Par exemple, les cellules </w:t>
      </w:r>
      <w:r>
        <w:t xml:space="preserve">de la moelle </w:t>
      </w:r>
      <w:r>
        <w:t xml:space="preserve">ne sont capables que de donner </w:t>
      </w:r>
      <w:r>
        <w:t>nombre limité de type</w:t>
      </w:r>
      <w:r>
        <w:t xml:space="preserve"> cellulaire</w:t>
      </w:r>
      <w:r>
        <w:t>.</w:t>
      </w:r>
    </w:p>
    <w:p>
      <w:pPr>
        <w:pStyle w:val="Titre3"/>
      </w:pPr>
      <w:r>
        <w:t>Clonage des Animaux</w:t>
      </w:r>
    </w:p>
    <w:p>
      <w:r>
        <w:t>Des recherches sur le clonage de cellules animales son menées notamment dans le but de développer des traitements par le clonage thérapeutique pour soigner des maladies. L’objectif est de produire</w:t>
      </w:r>
      <w:r>
        <w:t xml:space="preserve"> de</w:t>
      </w:r>
      <w:r>
        <w:t>s</w:t>
      </w:r>
      <w:r>
        <w:t xml:space="preserve"> cellules souches càd de</w:t>
      </w:r>
      <w:r>
        <w:t>s</w:t>
      </w:r>
      <w:r>
        <w:t xml:space="preserve"> cellules peu spécialis</w:t>
      </w:r>
      <w:r>
        <w:t>ées</w:t>
      </w:r>
      <w:r>
        <w:t xml:space="preserve"> capable</w:t>
      </w:r>
      <w:r>
        <w:t>s</w:t>
      </w:r>
      <w:r>
        <w:t xml:space="preserve"> de se diviser et de se différencier en d’autres types de cellules.</w:t>
      </w:r>
    </w:p>
    <w:p>
      <w:r>
        <w:t xml:space="preserve">Le clonage ne donne pas un individu identique à l’original. Cela a permis de démontrer que l’activation de certains gènes </w:t>
      </w:r>
      <w:r>
        <w:t>durant de développement embryonnaire</w:t>
      </w:r>
      <w:r>
        <w:t xml:space="preserve"> se produit aléatoirement. </w:t>
      </w:r>
    </w:p>
    <w:p>
      <w:r>
        <w:t>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w:t>
      </w:r>
      <w:r>
        <w:t xml:space="preserve"> Chez les Animaux, seules les cellules s</w:t>
      </w:r>
      <w:r>
        <w:t xml:space="preserve">ouche embryonnaire issue du blastocyte </w:t>
      </w:r>
      <w:r>
        <w:t xml:space="preserve">sont capables de donner </w:t>
      </w:r>
      <w:r>
        <w:t>toutes les types cellulaires</w:t>
      </w:r>
      <w:r>
        <w:t xml:space="preserve">. Des recherches sont menées pour rendre pluripotente les cellules appelées </w:t>
      </w:r>
      <w:r>
        <w:t>cellule</w:t>
      </w:r>
      <w:r>
        <w:t xml:space="preserve">s </w:t>
      </w:r>
      <w:r>
        <w:t>souche</w:t>
      </w:r>
      <w:r>
        <w:t>s</w:t>
      </w:r>
      <w:r>
        <w:t xml:space="preserve"> pluripotente</w:t>
      </w:r>
      <w:r>
        <w:t>s</w:t>
      </w:r>
      <w:r>
        <w:t xml:space="preserve"> induite</w:t>
      </w:r>
      <w:r>
        <w:t>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17"/>
  </w:num>
  <w:num w:numId="2" w16cid:durableId="2066830513">
    <w:abstractNumId w:val="14"/>
  </w:num>
  <w:num w:numId="3" w16cid:durableId="2016764046">
    <w:abstractNumId w:val="13"/>
  </w:num>
  <w:num w:numId="4" w16cid:durableId="1010983616">
    <w:abstractNumId w:val="21"/>
  </w:num>
  <w:num w:numId="5" w16cid:durableId="2027705804">
    <w:abstractNumId w:val="15"/>
  </w:num>
  <w:num w:numId="6" w16cid:durableId="1816753131">
    <w:abstractNumId w:val="12"/>
  </w:num>
  <w:num w:numId="7" w16cid:durableId="1246838842">
    <w:abstractNumId w:val="1"/>
  </w:num>
  <w:num w:numId="8" w16cid:durableId="1029260918">
    <w:abstractNumId w:val="22"/>
  </w:num>
  <w:num w:numId="9" w16cid:durableId="685325500">
    <w:abstractNumId w:val="28"/>
  </w:num>
  <w:num w:numId="10" w16cid:durableId="158228569">
    <w:abstractNumId w:val="16"/>
  </w:num>
  <w:num w:numId="11" w16cid:durableId="1554468663">
    <w:abstractNumId w:val="20"/>
  </w:num>
  <w:num w:numId="12" w16cid:durableId="918290692">
    <w:abstractNumId w:val="27"/>
  </w:num>
  <w:num w:numId="13" w16cid:durableId="986084812">
    <w:abstractNumId w:val="30"/>
  </w:num>
  <w:num w:numId="14" w16cid:durableId="591671848">
    <w:abstractNumId w:val="26"/>
  </w:num>
  <w:num w:numId="15" w16cid:durableId="362246736">
    <w:abstractNumId w:val="3"/>
  </w:num>
  <w:num w:numId="16" w16cid:durableId="2042585951">
    <w:abstractNumId w:val="29"/>
  </w:num>
  <w:num w:numId="17" w16cid:durableId="305742702">
    <w:abstractNumId w:val="19"/>
  </w:num>
  <w:num w:numId="18" w16cid:durableId="1504658668">
    <w:abstractNumId w:val="11"/>
  </w:num>
  <w:num w:numId="19" w16cid:durableId="1265769917">
    <w:abstractNumId w:val="25"/>
  </w:num>
  <w:num w:numId="20" w16cid:durableId="595528227">
    <w:abstractNumId w:val="4"/>
  </w:num>
  <w:num w:numId="21" w16cid:durableId="1192764805">
    <w:abstractNumId w:val="32"/>
  </w:num>
  <w:num w:numId="22" w16cid:durableId="1172640385">
    <w:abstractNumId w:val="31"/>
  </w:num>
  <w:num w:numId="23" w16cid:durableId="1594899513">
    <w:abstractNumId w:val="6"/>
  </w:num>
  <w:num w:numId="24" w16cid:durableId="479661174">
    <w:abstractNumId w:val="23"/>
  </w:num>
  <w:num w:numId="25" w16cid:durableId="744449974">
    <w:abstractNumId w:val="9"/>
  </w:num>
  <w:num w:numId="26" w16cid:durableId="664742890">
    <w:abstractNumId w:val="7"/>
  </w:num>
  <w:num w:numId="27" w16cid:durableId="267466620">
    <w:abstractNumId w:val="5"/>
  </w:num>
  <w:num w:numId="28" w16cid:durableId="1640451280">
    <w:abstractNumId w:val="8"/>
  </w:num>
  <w:num w:numId="29" w16cid:durableId="424694822">
    <w:abstractNumId w:val="2"/>
  </w:num>
  <w:num w:numId="30" w16cid:durableId="1574202204">
    <w:abstractNumId w:val="24"/>
  </w:num>
  <w:num w:numId="31" w16cid:durableId="131992363">
    <w:abstractNumId w:val="10"/>
  </w:num>
  <w:num w:numId="32" w16cid:durableId="1996955236">
    <w:abstractNumId w:val="0"/>
  </w:num>
  <w:num w:numId="33" w16cid:durableId="174622202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7</Pages>
  <Words>2658</Words>
  <Characters>14621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50</cp:revision>
  <cp:lastPrinted>2021-02-13T18:38:00Z</cp:lastPrinted>
  <dcterms:created xsi:type="dcterms:W3CDTF">2021-06-15T04:50:00Z</dcterms:created>
  <dcterms:modified xsi:type="dcterms:W3CDTF">2022-04-28T14:14:00Z</dcterms:modified>
</cp:coreProperties>
</file>