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et de l’eau sous forme de NADPH et de l’ATP pour les besoins de la plante et la fixation du carbone.</w:t>
      </w:r>
    </w:p>
    <w:p>
      <w:pPr>
        <w:pStyle w:val="Paragraphedeliste"/>
        <w:numPr>
          <w:ilvl w:val="0"/>
          <w:numId w:val="17"/>
        </w:numPr>
      </w:pPr>
      <w:r>
        <w:t xml:space="preserve">Le cycle de fixation du carbone ou de fabrication des glucides appelé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l’interaction entre les photons et l’oxygène qui peuvent former des molécules oxydantes dangereuses.</w:t>
      </w:r>
    </w:p>
    <w:p>
      <w:r>
        <w:t>Les caroténoïdes sont des molécules lipophiles présentes dans les membranes des thylakoïdes. Elles sont fabriquées dans les plastes à partir de terpène.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C’est parce que la chlorophylle est associée à d’autres protéines dans la cellule qu’elle n’émet pas de lumière.</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w:t>
      </w:r>
      <w:r>
        <w:rPr>
          <w:vertAlign w:val="superscript"/>
        </w:rPr>
        <w:t>+</w:t>
      </w:r>
      <w:r>
        <w:t xml:space="preserve"> est l’oxydant biologique le plus fort. 1 centre qui accepte successivement 4 électrons pour l’oxyder l’O2</w:t>
      </w:r>
    </w:p>
    <w:p>
      <w:pPr>
        <w:pStyle w:val="Paragraphedeliste"/>
        <w:numPr>
          <w:ilvl w:val="0"/>
          <w:numId w:val="11"/>
        </w:numPr>
      </w:pPr>
      <w:r>
        <w:t>L’accepteur primaire du photosystème cède son électron à la chaine de transport constitués d’une succession de plastoquinones (Pq),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w:t>
      </w:r>
      <w:r>
        <w:t>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(Fd) qui transmet l’électron a une chaine de transport. Il n’y a pas de production de gradient H</w:t>
      </w:r>
      <w:r>
        <w:rPr>
          <w:vertAlign w:val="superscript"/>
        </w:rPr>
        <w:t>+</w:t>
      </w:r>
      <w:r>
        <w:t>. 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(P780)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lastRenderedPageBreak/>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t1 à 1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lastRenderedPageBreak/>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1"/>
      </w:pPr>
      <w:r>
        <w:t>Le métabolisme carboné</w:t>
      </w:r>
    </w:p>
    <w:p>
      <w:pPr>
        <w:pStyle w:val="Titre2"/>
      </w:pPr>
      <w:r>
        <w:t>La phase biochimique d’assimilation du CO</w:t>
      </w:r>
      <w:r>
        <w:rPr>
          <w:vertAlign w:val="subscript"/>
        </w:rPr>
        <w:t xml:space="preserve">2 </w:t>
      </w:r>
      <w:r>
        <w:t>(ou cycle de Calvin)</w:t>
      </w:r>
    </w:p>
    <w:p>
      <w:r>
        <w:t>La phase biochimique d’assimilation du CO</w:t>
      </w:r>
      <w:r>
        <w:rPr>
          <w:vertAlign w:val="subscript"/>
        </w:rPr>
        <w:t>2</w:t>
      </w:r>
      <w:r>
        <w:t xml:space="preserve"> a lieu dans le stroma. Elle permet de récupérer le carbone d’une molécule de CO</w:t>
      </w:r>
      <w:r>
        <w:rPr>
          <w:vertAlign w:val="subscript"/>
        </w:rPr>
        <w:t>2</w:t>
      </w:r>
      <w:r>
        <w:t xml:space="preserve"> pour fabriquer une molécule organique. Elle forme un cycle càd qu’une partie du produit est utilisée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w:t>
      </w:r>
      <w:r>
        <w:rPr>
          <w:vertAlign w:val="subscript"/>
        </w:rPr>
        <w:t>2</w:t>
      </w:r>
      <w:r>
        <w:t xml:space="preserve"> sur une molécule organique.</w:t>
      </w:r>
    </w:p>
    <w:p>
      <w:pPr>
        <w:pStyle w:val="Paragraphedeliste"/>
        <w:numPr>
          <w:ilvl w:val="0"/>
          <w:numId w:val="20"/>
        </w:numPr>
      </w:pPr>
      <w:r>
        <w:t>Réduction. 1/6 du produit quitte le cycle sous forme de sucre et 5/6 est utilisé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r>
        <w:rPr>
          <w:vertAlign w:val="superscript"/>
        </w:rPr>
        <w:t>+</w:t>
      </w:r>
      <w:r>
        <w:t>.</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La fixation d’une protéine activatrice, la RubisCo activase, sur la RubisCo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RubisCo ne fonctionne pas. </w:t>
      </w:r>
    </w:p>
    <w:p>
      <w:pPr>
        <w:pStyle w:val="Titre3"/>
      </w:pPr>
      <w:r>
        <w:t>La réduction</w:t>
      </w:r>
    </w:p>
    <w:p>
      <w:r>
        <w:t>La réduction se déroule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lastRenderedPageBreak/>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Photorespiration : le cycle du C2 du glycolate (photorespiration)</w:t>
      </w:r>
    </w:p>
    <w:p>
      <w:r>
        <w:rPr>
          <w:rFonts w:eastAsiaTheme="minorEastAsia"/>
        </w:rPr>
        <w:t>La rubisco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On considère qu’en condition standard un 1/3 du temps elle fixe du O</w:t>
      </w:r>
      <w:r>
        <w:rPr>
          <w:rFonts w:eastAsiaTheme="minorEastAsia"/>
          <w:vertAlign w:val="subscript"/>
        </w:rPr>
        <w:t>2</w:t>
      </w:r>
      <w:r>
        <w:rPr>
          <w:rFonts w:eastAsiaTheme="minorEastAsia"/>
        </w:rPr>
        <w:t xml:space="preserve"> ce qui réduit jusqu’à 50% l’activité photosynthétique des plantes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w:t>
      </w:r>
      <w:r>
        <w:rPr>
          <w:rFonts w:eastAsiaTheme="minorEastAsia"/>
          <w:vertAlign w:val="subscript"/>
        </w:rPr>
        <w:t>2</w:t>
      </w:r>
      <w:r>
        <w:rPr>
          <w:rFonts w:eastAsiaTheme="minorEastAsia"/>
        </w:rPr>
        <w:t xml:space="preserve"> et d’O</w:t>
      </w:r>
      <w:r>
        <w:rPr>
          <w:rFonts w:eastAsiaTheme="minorEastAsia"/>
          <w:vertAlign w:val="subscript"/>
        </w:rPr>
        <w:t>2</w:t>
      </w:r>
      <w:r>
        <w:rPr>
          <w:rFonts w:eastAsiaTheme="minorEastAsia"/>
        </w:rPr>
        <w:t xml:space="preserve"> dans les feuilles est directement à la solubilité des gaz qui dépend de :</w:t>
      </w:r>
    </w:p>
    <w:p>
      <w:pPr>
        <w:rPr>
          <w:rFonts w:eastAsiaTheme="minorEastAsia"/>
        </w:rPr>
      </w:pPr>
      <w:r>
        <w:rPr>
          <w:rFonts w:eastAsiaTheme="minorEastAsia"/>
        </w:rPr>
        <w:t>La température. Elle diminue plus vite pour le CO</w:t>
      </w:r>
      <w:r>
        <w:rPr>
          <w:rFonts w:eastAsiaTheme="minorEastAsia"/>
          <w:vertAlign w:val="subscript"/>
        </w:rPr>
        <w:t>2</w:t>
      </w:r>
      <w:r>
        <w:rPr>
          <w:rFonts w:eastAsiaTheme="minorEastAsia"/>
        </w:rPr>
        <w:t xml:space="preserve"> </w:t>
      </w:r>
    </w:p>
    <w:p>
      <w:pPr>
        <w:rPr>
          <w:rFonts w:eastAsiaTheme="minorEastAsia"/>
        </w:rPr>
      </w:pPr>
      <w:r>
        <w:rPr>
          <w:rFonts w:eastAsiaTheme="minorEastAsia"/>
        </w:rPr>
        <w:t xml:space="preserve">Différence entre la photorespiration et la </w:t>
      </w:r>
    </w:p>
    <w:tbl>
      <w:tblPr>
        <w:tblStyle w:val="Grilledetableauclaire"/>
        <w:tblW w:w="5000" w:type="pct"/>
        <w:tblLook w:val="0400" w:firstRow="0" w:lastRow="0" w:firstColumn="0" w:lastColumn="0" w:noHBand="0" w:noVBand="1"/>
      </w:tblPr>
      <w:tblGrid>
        <w:gridCol w:w="3667"/>
        <w:gridCol w:w="3668"/>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r>
    </w:tbl>
    <w:p>
      <w:pPr>
        <w:rPr>
          <w:rFonts w:eastAsiaTheme="minorEastAsia"/>
        </w:rPr>
      </w:pPr>
      <w:r>
        <w:rPr>
          <w:rFonts w:eastAsiaTheme="minorEastAsia"/>
        </w:rPr>
        <w:t>Le glycolate (2-polycate)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Dans les péroxysomes, la sérine est retransformée en glycérade.</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le CO</w:t>
      </w:r>
      <w:r>
        <w:rPr>
          <w:rFonts w:eastAsiaTheme="minorEastAsia"/>
          <w:vertAlign w:val="subscript"/>
        </w:rPr>
        <w:t>2</w:t>
      </w:r>
      <w:r>
        <w:rPr>
          <w:rFonts w:eastAsiaTheme="minorEastAsia"/>
        </w:rPr>
        <w:t xml:space="preserve"> à 0,3%.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même lorsque la concentration de CO</w:t>
      </w:r>
      <w:r>
        <w:rPr>
          <w:rFonts w:eastAsiaTheme="minorEastAsia"/>
          <w:vertAlign w:val="subscript"/>
        </w:rPr>
        <w:t xml:space="preserve">2 </w:t>
      </w:r>
      <w:r>
        <w:rPr>
          <w:rFonts w:eastAsiaTheme="minorEastAsia"/>
        </w:rPr>
        <w:t>trop faible.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 xml:space="preserve">Le métabolisme C4 concerne 1500 espèces principalement tropicales ou subtropical et monocotylédone (par exemple, le maïs, la canne à sucre…). </w:t>
      </w:r>
    </w:p>
    <w:p>
      <w:pPr>
        <w:rPr>
          <w:rFonts w:eastAsiaTheme="minorEastAsia"/>
        </w:rPr>
      </w:pPr>
      <w:r>
        <w:rPr>
          <w:rFonts w:eastAsiaTheme="minorEastAsia"/>
        </w:rPr>
        <w:t>L’efficacité du métabolisme C4 par rapport au C3 dépend de la durée d’ouverture des stomates qui dépend eux-mêmes de la température. Il est plus efficace lorsque les stomates sont fermés, ce qui permet d’expliquer pourquoi il est présent chez les espèces tropicales.</w:t>
      </w:r>
    </w:p>
    <w:p>
      <w:pPr>
        <w:rPr>
          <w:rFonts w:eastAsiaTheme="minorEastAsia"/>
        </w:rPr>
      </w:pPr>
      <w:r>
        <w:rPr>
          <w:rFonts w:eastAsiaTheme="minorEastAsia"/>
        </w:rPr>
        <w:lastRenderedPageBreak/>
        <w:t>Il permet d’augmenter la quantité de CO2 disponible pour la plante. Ce métabolisme est apparu indépendamment chez plusieurs espèces avec des différences dans la molécule de transport. Accompagner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pPr>
        <w:rPr>
          <w:rFonts w:eastAsiaTheme="minorEastAsia"/>
        </w:rPr>
      </w:pPr>
      <w:r>
        <w:rPr>
          <w:rFonts w:eastAsiaTheme="minorEastAsia"/>
        </w:rPr>
        <w:t>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phosphénol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rPr>
          <w:rFonts w:eastAsiaTheme="minorEastAsia"/>
        </w:rPr>
      </w:pPr>
      <w:r>
        <w:rPr>
          <w:rFonts w:eastAsiaTheme="minorEastAsia"/>
        </w:rPr>
        <w:t>Le métabolisme C4 ajout un cout de 2ATP au cycle de Calvin qui utilise déjà 3ATP.</w:t>
      </w:r>
    </w:p>
    <w:p>
      <w:pPr>
        <w:rPr>
          <w:rFonts w:eastAsiaTheme="minorEastAsia"/>
        </w:rPr>
      </w:pPr>
      <w:r>
        <w:rPr>
          <w:rFonts w:eastAsiaTheme="minorEastAsia"/>
        </w:rPr>
        <w:t xml:space="preserve">PEPcase est régulée par la lumière et inhibée par un de ses produits, le malate. La PEP est utilisée dans d’autres voies métaboliques par exemple dans la glycolyse </w:t>
      </w:r>
    </w:p>
    <w:p>
      <w:pPr>
        <w:rPr>
          <w:rFonts w:eastAsiaTheme="minorEastAsia"/>
        </w:rPr>
      </w:pPr>
      <w:r>
        <w:rPr>
          <w:rFonts w:eastAsiaTheme="minorEastAsia"/>
          <w:u w:val="single"/>
        </w:rPr>
        <w:t>NB :</w:t>
      </w:r>
      <w:r>
        <w:rPr>
          <w:rFonts w:eastAsiaTheme="minorEastAsia"/>
        </w:rPr>
        <w:t xml:space="preserve"> Le malate et la pep sont des métabolites présent dans plusieurs voies métaboliques. </w:t>
      </w:r>
    </w:p>
    <w:p>
      <w:pPr>
        <w:pStyle w:val="Titre2"/>
        <w:rPr>
          <w:rFonts w:eastAsiaTheme="minorEastAsia"/>
        </w:rPr>
      </w:pPr>
      <w:r>
        <w:rPr>
          <w:rFonts w:eastAsiaTheme="minorEastAsia"/>
        </w:rPr>
        <w:t xml:space="preserve">Le métabolisme CAM le métabolisme acide des crassulacées </w:t>
      </w:r>
    </w:p>
    <w:p>
      <w:r>
        <w:t xml:space="preserve">Le métabolisme CAM concerne les plantes vivant dans des milieux extrêmement sec. Ce type de métabolisme est apparu plusieurs fois dans plusieurs familles d’espèces au cours de l’évolution, caractère analogue. </w:t>
      </w:r>
    </w:p>
    <w:p>
      <w:r>
        <w:t>Cactus tige photosynthétique. Les feuilles ont perdu leur capacité photosynthétique et ont été devenu les épines des organes de défense.</w:t>
      </w:r>
    </w:p>
    <w:p>
      <w:r>
        <w:t>L’ouverture des stomates a lieu lorsque les températures ne sont pas trop élevées notamment la nuit. Le CO</w:t>
      </w:r>
      <w:r>
        <w:rPr>
          <w:vertAlign w:val="subscript"/>
        </w:rPr>
        <w:t xml:space="preserve">2 </w:t>
      </w:r>
      <w:r>
        <w:t>est fixé sur un oxaloacétate qui devient un malate puis stocké sous forme d’acide malique dans la vacuole. Le jour, CO</w:t>
      </w:r>
      <w:r>
        <w:rPr>
          <w:vertAlign w:val="subscript"/>
        </w:rPr>
        <w:t xml:space="preserve">2 </w:t>
      </w:r>
      <w:r>
        <w:t>est libéré et l’oxaloacétate est retransformé en amidon.</w:t>
      </w:r>
    </w:p>
    <w:p>
      <w:r>
        <w:t xml:space="preserve">PEPcase active la PEP malate régulation précise. Compétition entre PEP et rubisco du CO2 par la lumière via une kinase. </w:t>
      </w:r>
    </w:p>
    <w:p>
      <w:r>
        <w:t xml:space="preserve">Le rendement des CAM est 1/2 C3 et 1/3 C4 </w:t>
      </w:r>
    </w:p>
    <w:p>
      <w:r>
        <w:t>Certaines plantes sont CAM facultative. Elles sont capables de changer de métabolique en fonction des conditions environnementales.</w:t>
      </w:r>
    </w:p>
    <w:p>
      <w:pPr>
        <w:pStyle w:val="Titre1"/>
      </w:pPr>
      <w:r>
        <w:t>Utilisation des sucres</w:t>
      </w:r>
    </w:p>
    <w:p>
      <w:r>
        <w:t>Le produit du cycle de Calvin est le triose phosphate. Sa concentration augmente dans les mitochondries plus le cycle se réalise se qui ralenti la vitesse réaction. L’entalpie libre s’approche du minimum. Pour limiter le ralentissement, la plante :</w:t>
      </w:r>
    </w:p>
    <w:p>
      <w:r>
        <w:t>Exporte dans le cytosol.</w:t>
      </w:r>
    </w:p>
    <w:p>
      <w:r>
        <w:t>Stocke le produit sous forme d’amidon.</w:t>
      </w:r>
    </w:p>
    <w:p>
      <w:r>
        <w:t xml:space="preserve">L’amidon est regroupé en grain. </w:t>
      </w:r>
    </w:p>
    <w:p>
      <w:r>
        <w:t>L’amidon est un polymère de glucose</w:t>
      </w:r>
    </w:p>
    <w:p>
      <w:r>
        <w:t>Amylose. Il est sous la forme d’un polymère linéaire avec des ramifications.</w:t>
      </w:r>
    </w:p>
    <w:p>
      <w:pPr>
        <w:pStyle w:val="Titre1"/>
      </w:pPr>
      <w:r>
        <w:lastRenderedPageBreak/>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Il existe d’importantes disparités entre les espèces.  </w:t>
      </w:r>
    </w:p>
    <w:p>
      <w:r>
        <w:t>Plus de 200 000 métabolites associés au métabolisme secondaire ont été recensés. 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Composés phénoliques ou les polyphénols issus de la voie de l’acide shikimique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l’isopentényl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rPr>
          <w:rFonts w:eastAsiaTheme="minorEastAsia"/>
        </w:rPr>
      </w:pP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054362">
    <w:abstractNumId w:val="13"/>
  </w:num>
  <w:num w:numId="2" w16cid:durableId="2038042718">
    <w:abstractNumId w:val="2"/>
  </w:num>
  <w:num w:numId="3" w16cid:durableId="1561403373">
    <w:abstractNumId w:val="3"/>
  </w:num>
  <w:num w:numId="4" w16cid:durableId="221134200">
    <w:abstractNumId w:val="7"/>
  </w:num>
  <w:num w:numId="5" w16cid:durableId="1872572066">
    <w:abstractNumId w:val="0"/>
  </w:num>
  <w:num w:numId="6" w16cid:durableId="925261171">
    <w:abstractNumId w:val="19"/>
  </w:num>
  <w:num w:numId="7" w16cid:durableId="2067682778">
    <w:abstractNumId w:val="4"/>
  </w:num>
  <w:num w:numId="8" w16cid:durableId="700908577">
    <w:abstractNumId w:val="11"/>
  </w:num>
  <w:num w:numId="9" w16cid:durableId="478378385">
    <w:abstractNumId w:val="18"/>
  </w:num>
  <w:num w:numId="10" w16cid:durableId="1714887387">
    <w:abstractNumId w:val="22"/>
  </w:num>
  <w:num w:numId="11" w16cid:durableId="669215938">
    <w:abstractNumId w:val="8"/>
  </w:num>
  <w:num w:numId="12" w16cid:durableId="1927152316">
    <w:abstractNumId w:val="17"/>
  </w:num>
  <w:num w:numId="13" w16cid:durableId="540747397">
    <w:abstractNumId w:val="27"/>
  </w:num>
  <w:num w:numId="14" w16cid:durableId="949554495">
    <w:abstractNumId w:val="5"/>
  </w:num>
  <w:num w:numId="15" w16cid:durableId="101658198">
    <w:abstractNumId w:val="30"/>
  </w:num>
  <w:num w:numId="16" w16cid:durableId="1112242772">
    <w:abstractNumId w:val="25"/>
  </w:num>
  <w:num w:numId="17" w16cid:durableId="481122848">
    <w:abstractNumId w:val="16"/>
  </w:num>
  <w:num w:numId="18" w16cid:durableId="2141413215">
    <w:abstractNumId w:val="29"/>
  </w:num>
  <w:num w:numId="19" w16cid:durableId="30108870">
    <w:abstractNumId w:val="6"/>
  </w:num>
  <w:num w:numId="20" w16cid:durableId="328338821">
    <w:abstractNumId w:val="9"/>
  </w:num>
  <w:num w:numId="21" w16cid:durableId="2055617538">
    <w:abstractNumId w:val="24"/>
  </w:num>
  <w:num w:numId="22" w16cid:durableId="1046833432">
    <w:abstractNumId w:val="23"/>
  </w:num>
  <w:num w:numId="23" w16cid:durableId="63991452">
    <w:abstractNumId w:val="12"/>
  </w:num>
  <w:num w:numId="24" w16cid:durableId="1988628161">
    <w:abstractNumId w:val="21"/>
  </w:num>
  <w:num w:numId="25" w16cid:durableId="129061042">
    <w:abstractNumId w:val="20"/>
  </w:num>
  <w:num w:numId="26" w16cid:durableId="1259289356">
    <w:abstractNumId w:val="28"/>
  </w:num>
  <w:num w:numId="27" w16cid:durableId="50349594">
    <w:abstractNumId w:val="1"/>
  </w:num>
  <w:num w:numId="28" w16cid:durableId="393092442">
    <w:abstractNumId w:val="26"/>
  </w:num>
  <w:num w:numId="29" w16cid:durableId="1598756761">
    <w:abstractNumId w:val="15"/>
  </w:num>
  <w:num w:numId="30" w16cid:durableId="993682585">
    <w:abstractNumId w:val="14"/>
  </w:num>
  <w:num w:numId="31" w16cid:durableId="90934312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8</Pages>
  <Words>3041</Words>
  <Characters>16730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38</cp:revision>
  <cp:lastPrinted>2021-02-13T18:38:00Z</cp:lastPrinted>
  <dcterms:created xsi:type="dcterms:W3CDTF">2021-06-15T04:50:00Z</dcterms:created>
  <dcterms:modified xsi:type="dcterms:W3CDTF">2022-04-29T16:56:00Z</dcterms:modified>
</cp:coreProperties>
</file>