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257" w:lineRule="auto"/>
      </w:pPr>
      <w:r>
        <w:rPr>
          <w:rFonts w:eastAsia="Open Sans Light" w:cs="Open Sans Light"/>
        </w:rPr>
        <w:t>Maximiser les chances de survies des descendants.</w:t>
      </w:r>
    </w:p>
    <w:p>
      <w:pPr>
        <w:spacing w:line="257" w:lineRule="auto"/>
      </w:pPr>
      <w:r>
        <w:rPr>
          <w:rFonts w:eastAsia="Open Sans Light" w:cs="Open Sans Light"/>
        </w:rPr>
        <w:t>S’y consacrer lorsqu’il dispose des ressources</w:t>
      </w:r>
    </w:p>
    <w:p>
      <w:pPr>
        <w:spacing w:line="257" w:lineRule="auto"/>
        <w:rPr>
          <w:rFonts w:eastAsia="Open Sans Light" w:cs="Open Sans Light"/>
        </w:rPr>
      </w:pPr>
      <w:r>
        <w:rPr>
          <w:rFonts w:eastAsia="Open Sans Light" w:cs="Open Sans Light"/>
        </w:rPr>
        <w:t>Milieu et climat favorable.</w:t>
      </w:r>
    </w:p>
    <w:p>
      <w:pPr>
        <w:spacing w:line="257" w:lineRule="auto"/>
      </w:pPr>
      <w:r>
        <w:rPr>
          <w:rFonts w:eastAsia="Open Sans Light" w:cs="Open Sans Light"/>
          <w:color w:val="FF0000"/>
        </w:rPr>
        <w:t>Reproduction sexué</w:t>
      </w:r>
      <w:r>
        <w:rPr>
          <w:rFonts w:eastAsia="Open Sans Light" w:cs="Open Sans Light"/>
        </w:rPr>
        <w:t xml:space="preserve"> fusion de gamètes lors d’un processus appelé fécondation. Elles peuvent provenir d’un même individu.</w:t>
      </w:r>
    </w:p>
    <w:p>
      <w:pPr>
        <w:spacing w:line="257" w:lineRule="auto"/>
      </w:pPr>
      <w:r>
        <w:rPr>
          <w:rFonts w:eastAsia="Open Sans Light" w:cs="Open Sans Light"/>
          <w:color w:val="FF0000"/>
        </w:rPr>
        <w:t>Reproduction clonale (ou conforme)</w:t>
      </w:r>
      <w:r>
        <w:rPr>
          <w:rFonts w:eastAsia="Open Sans Light" w:cs="Open Sans Light"/>
        </w:rPr>
        <w:t xml:space="preserve"> fabrication d’un individu avec le même génome que son parent.</w:t>
      </w:r>
    </w:p>
    <w:p>
      <w:r>
        <w:t xml:space="preserve">Vocabulaire de la reproduction </w:t>
      </w:r>
    </w:p>
    <w:p>
      <w:pPr>
        <w:spacing w:line="257" w:lineRule="auto"/>
      </w:pPr>
      <w:r>
        <w:rPr>
          <w:rFonts w:eastAsia="Open Sans Light" w:cs="Open Sans Light"/>
        </w:rPr>
        <w:t>Ontogénèse croissance d’un organisme passant par des phases de différenciation cellulaire conduisant à la fabrication d’organes</w:t>
      </w:r>
    </w:p>
    <w:p>
      <w:pPr>
        <w:spacing w:line="257" w:lineRule="auto"/>
        <w:rPr>
          <w:rFonts w:eastAsia="Open Sans Light" w:cs="Open Sans Light"/>
          <w:color w:val="000000" w:themeColor="text1"/>
        </w:rPr>
      </w:pPr>
      <w:r>
        <w:rPr>
          <w:rFonts w:eastAsia="Open Sans Light" w:cs="Open Sans Light"/>
          <w:color w:val="000000" w:themeColor="text1"/>
        </w:rPr>
        <w:t>Bactérie échange de gènes entre deux Bactéries :</w:t>
      </w:r>
    </w:p>
    <w:p>
      <w:pPr>
        <w:spacing w:line="257" w:lineRule="auto"/>
        <w:rPr>
          <w:rFonts w:eastAsia="Open Sans Light" w:cs="Open Sans Light"/>
          <w:color w:val="000000" w:themeColor="text1"/>
        </w:rPr>
      </w:pPr>
      <w:r>
        <w:rPr>
          <w:rFonts w:eastAsia="Open Sans Light" w:cs="Open Sans Light"/>
          <w:color w:val="000000" w:themeColor="text1"/>
        </w:rPr>
        <w:t>Sexualité échange de matériel génétique entre deux individus.</w:t>
      </w:r>
    </w:p>
    <w:p>
      <w:pPr>
        <w:pStyle w:val="Titre1"/>
        <w:rPr>
          <w:rFonts w:ascii="Calibri Light" w:hAnsi="Calibri Light"/>
        </w:rPr>
      </w:pPr>
      <w:r>
        <w:t>Reproduction asexuée</w:t>
      </w:r>
    </w:p>
    <w:p>
      <w:r>
        <w:t>Vocabulaire de la reproduction asexuée</w:t>
      </w:r>
    </w:p>
    <w:p>
      <w:pPr>
        <w:spacing w:line="257" w:lineRule="auto"/>
        <w:rPr>
          <w:rFonts w:eastAsia="Open Sans Light" w:cs="Open Sans Light"/>
        </w:rPr>
      </w:pPr>
      <w:r>
        <w:rPr>
          <w:rFonts w:eastAsia="Open Sans Light" w:cs="Open Sans Light"/>
        </w:rPr>
        <w:t>La mitose.</w:t>
      </w:r>
    </w:p>
    <w:p>
      <w:pPr>
        <w:pStyle w:val="Paragraphedeliste"/>
        <w:numPr>
          <w:ilvl w:val="0"/>
          <w:numId w:val="15"/>
        </w:numPr>
        <w:jc w:val="left"/>
        <w:rPr>
          <w:rFonts w:eastAsiaTheme="minorEastAsia"/>
        </w:rPr>
      </w:pPr>
      <w:r>
        <w:rPr>
          <w:rFonts w:ascii="Calibri" w:eastAsia="Calibri" w:hAnsi="Calibri" w:cs="Calibri"/>
        </w:rPr>
        <w:t xml:space="preserve">Scissiparité un individu se scinde en deux de taille </w:t>
      </w:r>
    </w:p>
    <w:p>
      <w:pPr>
        <w:pStyle w:val="Paragraphedeliste"/>
        <w:numPr>
          <w:ilvl w:val="0"/>
          <w:numId w:val="15"/>
        </w:numPr>
        <w:jc w:val="left"/>
        <w:rPr>
          <w:rFonts w:eastAsiaTheme="minorEastAsia"/>
        </w:rPr>
      </w:pPr>
      <w:r>
        <w:rPr>
          <w:rFonts w:ascii="Calibri" w:eastAsia="Calibri" w:hAnsi="Calibri" w:cs="Calibri"/>
        </w:rPr>
        <w:t xml:space="preserve">Bourgeonnement formation </w:t>
      </w:r>
      <w:proofErr w:type="spellStart"/>
      <w:proofErr w:type="gramStart"/>
      <w:r>
        <w:rPr>
          <w:rFonts w:ascii="Calibri" w:eastAsia="Calibri" w:hAnsi="Calibri" w:cs="Calibri"/>
        </w:rPr>
        <w:t>a</w:t>
      </w:r>
      <w:proofErr w:type="spellEnd"/>
      <w:proofErr w:type="gramEnd"/>
      <w:r>
        <w:rPr>
          <w:rFonts w:ascii="Calibri" w:eastAsia="Calibri" w:hAnsi="Calibri" w:cs="Calibri"/>
        </w:rPr>
        <w:t xml:space="preserve"> partir d’une excroissance  </w:t>
      </w:r>
    </w:p>
    <w:p>
      <w:pPr>
        <w:pStyle w:val="Paragraphedeliste"/>
        <w:numPr>
          <w:ilvl w:val="0"/>
          <w:numId w:val="15"/>
        </w:numPr>
        <w:jc w:val="left"/>
        <w:rPr>
          <w:rFonts w:eastAsiaTheme="minorEastAsia"/>
        </w:rPr>
      </w:pPr>
      <w:proofErr w:type="spellStart"/>
      <w:r>
        <w:rPr>
          <w:rFonts w:ascii="Calibri" w:eastAsia="Calibri" w:hAnsi="Calibri" w:cs="Calibri"/>
        </w:rPr>
        <w:t>Laché</w:t>
      </w:r>
      <w:proofErr w:type="spellEnd"/>
      <w:r>
        <w:rPr>
          <w:rFonts w:ascii="Calibri" w:eastAsia="Calibri" w:hAnsi="Calibri" w:cs="Calibri"/>
        </w:rPr>
        <w:t xml:space="preserve"> de cellules. </w:t>
      </w:r>
    </w:p>
    <w:p>
      <w:pPr>
        <w:pStyle w:val="Paragraphedeliste"/>
        <w:numPr>
          <w:ilvl w:val="0"/>
          <w:numId w:val="15"/>
        </w:numPr>
        <w:jc w:val="left"/>
        <w:rPr>
          <w:rFonts w:eastAsiaTheme="minorEastAsia"/>
        </w:rPr>
      </w:pPr>
      <w:r>
        <w:rPr>
          <w:rFonts w:ascii="Calibri" w:eastAsia="Calibri" w:hAnsi="Calibri" w:cs="Calibri"/>
        </w:rPr>
        <w:t>Fragmentation deux étapes : fragmentation puis régénération.</w:t>
      </w:r>
    </w:p>
    <w:p>
      <w:pPr>
        <w:spacing w:line="257" w:lineRule="auto"/>
        <w:rPr>
          <w:rFonts w:eastAsia="Open Sans Light" w:cs="Open Sans Light"/>
        </w:rPr>
      </w:pPr>
      <w:r>
        <w:rPr>
          <w:rFonts w:eastAsia="Open Sans Light" w:cs="Open Sans Light"/>
        </w:rPr>
        <w:t>Modes de développement embryonnaire :</w:t>
      </w:r>
    </w:p>
    <w:p>
      <w:pPr>
        <w:pStyle w:val="Paragraphedeliste"/>
        <w:numPr>
          <w:ilvl w:val="0"/>
          <w:numId w:val="16"/>
        </w:numPr>
        <w:jc w:val="left"/>
        <w:rPr>
          <w:rFonts w:eastAsiaTheme="minorEastAsia"/>
        </w:rPr>
      </w:pPr>
      <w:r>
        <w:rPr>
          <w:rFonts w:ascii="Calibri" w:eastAsia="Calibri" w:hAnsi="Calibri" w:cs="Calibri"/>
        </w:rPr>
        <w:t>Oviparité la fécondation a lieu en interne. L’embryon est pondu et se développe à l’extérieur de la femelle dans un œuf.</w:t>
      </w:r>
    </w:p>
    <w:p>
      <w:pPr>
        <w:pStyle w:val="Paragraphedeliste"/>
        <w:numPr>
          <w:ilvl w:val="0"/>
          <w:numId w:val="16"/>
        </w:numPr>
        <w:jc w:val="left"/>
        <w:rPr>
          <w:rFonts w:eastAsiaTheme="minorEastAsia"/>
        </w:rPr>
      </w:pPr>
      <w:proofErr w:type="spellStart"/>
      <w:r>
        <w:rPr>
          <w:rFonts w:ascii="Calibri" w:eastAsia="Calibri" w:hAnsi="Calibri" w:cs="Calibri"/>
        </w:rPr>
        <w:t>Ovuliparité</w:t>
      </w:r>
      <w:proofErr w:type="spellEnd"/>
      <w:r>
        <w:rPr>
          <w:rFonts w:ascii="Calibri" w:eastAsia="Calibri" w:hAnsi="Calibri" w:cs="Calibri"/>
        </w:rPr>
        <w:t xml:space="preserve"> l’ovule non fécondé est émis dans le milieu où aura lieu la fécondation.</w:t>
      </w:r>
    </w:p>
    <w:p>
      <w:pPr>
        <w:pStyle w:val="Paragraphedeliste"/>
        <w:numPr>
          <w:ilvl w:val="0"/>
          <w:numId w:val="16"/>
        </w:numPr>
        <w:jc w:val="left"/>
        <w:rPr>
          <w:rFonts w:eastAsiaTheme="minorEastAsia"/>
        </w:rPr>
      </w:pPr>
      <w:r>
        <w:rPr>
          <w:rFonts w:ascii="Calibri" w:eastAsia="Calibri" w:hAnsi="Calibri" w:cs="Calibri"/>
        </w:rPr>
        <w:t>Pseudo vivipare les œufs ou l’embryon sont incubés dans des cavités non génitales.</w:t>
      </w:r>
    </w:p>
    <w:p>
      <w:pPr>
        <w:pStyle w:val="Paragraphedeliste"/>
        <w:numPr>
          <w:ilvl w:val="0"/>
          <w:numId w:val="15"/>
        </w:numPr>
        <w:jc w:val="left"/>
        <w:rPr>
          <w:rFonts w:eastAsiaTheme="minorEastAsia"/>
        </w:rPr>
      </w:pPr>
      <w:r>
        <w:rPr>
          <w:rFonts w:ascii="Calibri" w:eastAsia="Calibri" w:hAnsi="Calibri" w:cs="Calibri"/>
        </w:rPr>
        <w:t>Vivipare espèce dont l’embryon se développe dans le corps d’un de ses parents (généralement la mère).</w:t>
      </w:r>
    </w:p>
    <w:p>
      <w:pPr>
        <w:spacing w:line="257" w:lineRule="auto"/>
      </w:pPr>
      <w:r>
        <w:rPr>
          <w:rFonts w:eastAsia="Open Sans Light" w:cs="Open Sans Light"/>
        </w:rPr>
        <w:t xml:space="preserve">La reproduction asexuée </w:t>
      </w:r>
      <w:proofErr w:type="spellStart"/>
      <w:r>
        <w:rPr>
          <w:rFonts w:eastAsia="Open Sans Light" w:cs="Open Sans Light"/>
        </w:rPr>
        <w:t>correspont</w:t>
      </w:r>
      <w:proofErr w:type="spellEnd"/>
      <w:r>
        <w:rPr>
          <w:rFonts w:eastAsia="Open Sans Light" w:cs="Open Sans Light"/>
        </w:rPr>
        <w:t xml:space="preserve"> à la </w:t>
      </w:r>
      <w:proofErr w:type="spellStart"/>
      <w:r>
        <w:rPr>
          <w:rFonts w:eastAsia="Open Sans Light" w:cs="Open Sans Light"/>
        </w:rPr>
        <w:t>framgentation</w:t>
      </w:r>
      <w:proofErr w:type="spellEnd"/>
      <w:r>
        <w:rPr>
          <w:rFonts w:eastAsia="Open Sans Light" w:cs="Open Sans Light"/>
        </w:rPr>
        <w:t xml:space="preserve"> d’un individu en deux parties, chacune continuant à vivre l’une indépendant. Cela peut être à trois mécanismes :</w:t>
      </w:r>
    </w:p>
    <w:p>
      <w:pPr>
        <w:pStyle w:val="Paragraphedeliste"/>
        <w:numPr>
          <w:ilvl w:val="0"/>
          <w:numId w:val="17"/>
        </w:numPr>
        <w:jc w:val="left"/>
        <w:rPr>
          <w:rFonts w:eastAsiaTheme="minorEastAsia"/>
        </w:rPr>
      </w:pPr>
      <w:proofErr w:type="spellStart"/>
      <w:r>
        <w:rPr>
          <w:rFonts w:ascii="Calibri" w:eastAsia="Calibri" w:hAnsi="Calibri" w:cs="Calibri"/>
        </w:rPr>
        <w:t>Fragementation</w:t>
      </w:r>
      <w:proofErr w:type="spellEnd"/>
      <w:r>
        <w:rPr>
          <w:rFonts w:ascii="Calibri" w:eastAsia="Calibri" w:hAnsi="Calibri" w:cs="Calibri"/>
        </w:rPr>
        <w:t xml:space="preserve"> La séparation est liée à une cause externe.</w:t>
      </w:r>
    </w:p>
    <w:p>
      <w:pPr>
        <w:pStyle w:val="Paragraphedeliste"/>
        <w:numPr>
          <w:ilvl w:val="0"/>
          <w:numId w:val="17"/>
        </w:numPr>
        <w:jc w:val="left"/>
        <w:rPr>
          <w:rFonts w:eastAsiaTheme="minorEastAsia"/>
        </w:rPr>
      </w:pPr>
      <w:r>
        <w:rPr>
          <w:rFonts w:ascii="Calibri" w:eastAsia="Calibri" w:hAnsi="Calibri" w:cs="Calibri"/>
        </w:rPr>
        <w:t>Scissiparité. La séparation est régulée qui comprend une ontogénèse</w:t>
      </w:r>
    </w:p>
    <w:p>
      <w:pPr>
        <w:pStyle w:val="Titre3"/>
      </w:pPr>
      <w:r>
        <w:rPr>
          <w:rFonts w:eastAsia="Open Sans" w:cs="Open Sans"/>
          <w:szCs w:val="20"/>
        </w:rPr>
        <w:t>La scissiparité</w:t>
      </w:r>
    </w:p>
    <w:p>
      <w:pPr>
        <w:spacing w:line="257" w:lineRule="auto"/>
      </w:pPr>
      <w:r>
        <w:rPr>
          <w:rFonts w:eastAsia="Open Sans Light" w:cs="Open Sans Light"/>
        </w:rPr>
        <w:t>Les types de scissiparité sont définis en fonction du moment où a lieu la régénération par rapport à la division :</w:t>
      </w:r>
    </w:p>
    <w:tbl>
      <w:tblPr>
        <w:tblStyle w:val="Grilledetableauclaire"/>
        <w:tblW w:w="0" w:type="auto"/>
        <w:tblLayout w:type="fixed"/>
        <w:tblLook w:val="0400" w:firstRow="0" w:lastRow="0" w:firstColumn="0" w:lastColumn="0" w:noHBand="0" w:noVBand="1"/>
      </w:tblPr>
      <w:tblGrid>
        <w:gridCol w:w="3660"/>
        <w:gridCol w:w="3675"/>
      </w:tblGrid>
      <w:tr>
        <w:tc>
          <w:tcPr>
            <w:tcW w:w="366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>
            <w:proofErr w:type="spellStart"/>
            <w:r>
              <w:rPr>
                <w:rFonts w:eastAsia="Open Sans Light" w:cs="Open Sans Light"/>
              </w:rPr>
              <w:t>Architomie</w:t>
            </w:r>
            <w:proofErr w:type="spellEnd"/>
            <w:r>
              <w:rPr>
                <w:rFonts w:eastAsia="Open Sans Light" w:cs="Open Sans Light"/>
              </w:rPr>
              <w:t xml:space="preserve"> (après)</w:t>
            </w:r>
          </w:p>
        </w:tc>
        <w:tc>
          <w:tcPr>
            <w:tcW w:w="3675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>
            <w:r>
              <w:rPr>
                <w:rFonts w:eastAsia="Open Sans Light" w:cs="Open Sans Light"/>
              </w:rPr>
              <w:t>Paratomie (avant)</w:t>
            </w:r>
          </w:p>
        </w:tc>
      </w:tr>
    </w:tbl>
    <w:p>
      <w:pPr>
        <w:spacing w:line="257" w:lineRule="auto"/>
      </w:pPr>
      <w:r>
        <w:rPr>
          <w:rFonts w:eastAsia="Open Sans Light" w:cs="Open Sans Light"/>
        </w:rPr>
        <w:t>La scissiparité peut être multiple ou simple.</w:t>
      </w:r>
    </w:p>
    <w:p>
      <w:pPr>
        <w:spacing w:line="257" w:lineRule="auto"/>
      </w:pPr>
      <w:r>
        <w:rPr>
          <w:rFonts w:eastAsia="Open Sans Light" w:cs="Open Sans Light"/>
        </w:rPr>
        <w:t>Schizogénèse scission en deux individus</w:t>
      </w:r>
    </w:p>
    <w:p>
      <w:pPr>
        <w:rPr>
          <w:rFonts w:ascii="Calibri" w:eastAsia="Calibri" w:hAnsi="Calibri" w:cs="Calibri"/>
        </w:rPr>
      </w:pPr>
    </w:p>
    <w:p>
      <w:pPr>
        <w:pStyle w:val="Titre1"/>
        <w:rPr>
          <w:rFonts w:ascii="Calibri Light" w:hAnsi="Calibri Light"/>
        </w:rPr>
      </w:pPr>
      <w:r>
        <w:t>Reproduction sexuée</w:t>
      </w:r>
    </w:p>
    <w:p>
      <w:pPr>
        <w:spacing w:line="257" w:lineRule="auto"/>
      </w:pPr>
      <w:r>
        <w:t>Vocabulaire de la reproduction sexuée</w:t>
      </w:r>
    </w:p>
    <w:p>
      <w:pPr>
        <w:rPr>
          <w:rFonts w:eastAsia="Open Sans Light" w:cs="Open Sans Light"/>
          <w:color w:val="000000" w:themeColor="text1"/>
        </w:rPr>
      </w:pPr>
      <w:r>
        <w:rPr>
          <w:rFonts w:eastAsia="Open Sans Light" w:cs="Open Sans Light"/>
          <w:color w:val="000000" w:themeColor="text1"/>
        </w:rPr>
        <w:t>Isogamie (opposition à anisogamie) gamète ayant la même structure.</w:t>
      </w:r>
    </w:p>
    <w:p>
      <w:pPr>
        <w:spacing w:line="257" w:lineRule="auto"/>
      </w:pPr>
      <w:proofErr w:type="spellStart"/>
      <w:r>
        <w:rPr>
          <w:rFonts w:eastAsia="Open Sans Light" w:cs="Open Sans Light"/>
          <w:color w:val="FF0000"/>
        </w:rPr>
        <w:t>Épitoquie</w:t>
      </w:r>
      <w:proofErr w:type="spellEnd"/>
      <w:r>
        <w:rPr>
          <w:rFonts w:eastAsia="Open Sans Light" w:cs="Open Sans Light"/>
        </w:rPr>
        <w:t xml:space="preserve"> métamorphose d’une partie du corps pour fabriquer les gamètes.</w:t>
      </w:r>
    </w:p>
    <w:p>
      <w:proofErr w:type="spellStart"/>
      <w:r>
        <w:rPr>
          <w:rFonts w:ascii="Calibri" w:eastAsia="Calibri" w:hAnsi="Calibri" w:cs="Calibri"/>
        </w:rPr>
        <w:t>Parthénogénès</w:t>
      </w:r>
      <w:proofErr w:type="spellEnd"/>
      <w:r>
        <w:rPr>
          <w:rFonts w:ascii="Calibri" w:eastAsia="Calibri" w:hAnsi="Calibri" w:cs="Calibri"/>
        </w:rPr>
        <w:t xml:space="preserve"> œuf sans fécondation. Les descendants peuvent être </w:t>
      </w:r>
      <w:proofErr w:type="spellStart"/>
      <w:r>
        <w:rPr>
          <w:rFonts w:ascii="Calibri" w:eastAsia="Calibri" w:hAnsi="Calibri" w:cs="Calibri"/>
        </w:rPr>
        <w:t>haploides</w:t>
      </w:r>
      <w:proofErr w:type="spellEnd"/>
      <w:r>
        <w:rPr>
          <w:rFonts w:ascii="Calibri" w:eastAsia="Calibri" w:hAnsi="Calibri" w:cs="Calibri"/>
        </w:rPr>
        <w:t xml:space="preserve"> ou </w:t>
      </w:r>
      <w:proofErr w:type="spellStart"/>
      <w:r>
        <w:rPr>
          <w:rFonts w:ascii="Calibri" w:eastAsia="Calibri" w:hAnsi="Calibri" w:cs="Calibri"/>
        </w:rPr>
        <w:t>diploides</w:t>
      </w:r>
      <w:proofErr w:type="spellEnd"/>
      <w:r>
        <w:rPr>
          <w:rFonts w:ascii="Calibri" w:eastAsia="Calibri" w:hAnsi="Calibri" w:cs="Calibri"/>
        </w:rPr>
        <w:t>. C’est un type de r</w:t>
      </w:r>
      <w:r>
        <w:t>eproduction sexué uniparentale.</w:t>
      </w:r>
    </w:p>
    <w:p>
      <w:pPr>
        <w:spacing w:line="257" w:lineRule="auto"/>
      </w:pPr>
      <w:r>
        <w:rPr>
          <w:rFonts w:eastAsia="Open Sans Light" w:cs="Open Sans Light"/>
        </w:rPr>
        <w:t>Attention la viviparité ne dépend pas du type de fécondation (interne ou externe).</w:t>
      </w:r>
    </w:p>
    <w:p>
      <w:pPr>
        <w:pStyle w:val="Titre1"/>
        <w:spacing w:line="257" w:lineRule="auto"/>
        <w:rPr>
          <w:rFonts w:ascii="Calibri Light" w:hAnsi="Calibri Light"/>
        </w:rPr>
      </w:pPr>
      <w:r>
        <w:lastRenderedPageBreak/>
        <w:t>Embryologie</w:t>
      </w:r>
    </w:p>
    <w:p>
      <w:pPr>
        <w:spacing w:line="257" w:lineRule="auto"/>
      </w:pPr>
      <w:r>
        <w:rPr>
          <w:rFonts w:eastAsia="Open Sans Light" w:cs="Open Sans Light"/>
        </w:rPr>
        <w:t>Intersegmentaire</w:t>
      </w:r>
    </w:p>
    <w:p>
      <w:pPr>
        <w:spacing w:line="257" w:lineRule="auto"/>
      </w:pPr>
      <w:r>
        <w:rPr>
          <w:rFonts w:eastAsia="Open Sans Light" w:cs="Open Sans Light"/>
        </w:rPr>
        <w:t xml:space="preserve">Lente </w:t>
      </w:r>
    </w:p>
    <w:p>
      <w:pPr>
        <w:spacing w:line="257" w:lineRule="auto"/>
      </w:pPr>
      <w:proofErr w:type="spellStart"/>
      <w:r>
        <w:rPr>
          <w:rFonts w:eastAsia="Open Sans Light" w:cs="Open Sans Light"/>
        </w:rPr>
        <w:t>Hative</w:t>
      </w:r>
      <w:proofErr w:type="spellEnd"/>
      <w:r>
        <w:rPr>
          <w:rFonts w:eastAsia="Open Sans Light" w:cs="Open Sans Light"/>
        </w:rPr>
        <w:t xml:space="preserve"> les futurs individus forment une chaine dite </w:t>
      </w:r>
      <w:proofErr w:type="spellStart"/>
      <w:r>
        <w:rPr>
          <w:rFonts w:eastAsia="Open Sans Light" w:cs="Open Sans Light"/>
        </w:rPr>
        <w:t>zoide</w:t>
      </w:r>
      <w:proofErr w:type="spellEnd"/>
      <w:r>
        <w:rPr>
          <w:rFonts w:eastAsia="Open Sans Light" w:cs="Open Sans Light"/>
        </w:rPr>
        <w:t>.</w:t>
      </w:r>
    </w:p>
    <w:p>
      <w:pPr>
        <w:spacing w:line="257" w:lineRule="auto"/>
      </w:pPr>
      <w:proofErr w:type="spellStart"/>
      <w:r>
        <w:rPr>
          <w:rFonts w:eastAsia="Open Sans Light" w:cs="Open Sans Light"/>
        </w:rPr>
        <w:t>Stonolisation</w:t>
      </w:r>
      <w:proofErr w:type="spellEnd"/>
      <w:r>
        <w:rPr>
          <w:rFonts w:eastAsia="Open Sans Light" w:cs="Open Sans Light"/>
        </w:rPr>
        <w:t xml:space="preserve"> intersegmentaire </w:t>
      </w:r>
      <w:proofErr w:type="spellStart"/>
      <w:r>
        <w:rPr>
          <w:rFonts w:eastAsia="Open Sans Light" w:cs="Open Sans Light"/>
        </w:rPr>
        <w:t>hative</w:t>
      </w:r>
      <w:proofErr w:type="spellEnd"/>
      <w:r>
        <w:rPr>
          <w:rFonts w:eastAsia="Open Sans Light" w:cs="Open Sans Light"/>
        </w:rPr>
        <w:t xml:space="preserve"> avec des </w:t>
      </w:r>
      <w:proofErr w:type="spellStart"/>
      <w:r>
        <w:rPr>
          <w:rFonts w:eastAsia="Open Sans Light" w:cs="Open Sans Light"/>
        </w:rPr>
        <w:t>zoides</w:t>
      </w:r>
      <w:proofErr w:type="spellEnd"/>
      <w:r>
        <w:rPr>
          <w:rFonts w:eastAsia="Open Sans Light" w:cs="Open Sans Light"/>
        </w:rPr>
        <w:t xml:space="preserve"> sexuellement mature.</w:t>
      </w:r>
    </w:p>
    <w:p>
      <w:pPr>
        <w:spacing w:line="257" w:lineRule="auto"/>
      </w:pPr>
      <w:r>
        <w:rPr>
          <w:rFonts w:eastAsia="Open Sans Light" w:cs="Open Sans Light"/>
        </w:rPr>
        <w:t xml:space="preserve">Soit </w:t>
      </w:r>
      <w:proofErr w:type="spellStart"/>
      <w:r>
        <w:rPr>
          <w:rFonts w:eastAsia="Open Sans Light" w:cs="Open Sans Light"/>
        </w:rPr>
        <w:t>épitoquie</w:t>
      </w:r>
      <w:proofErr w:type="spellEnd"/>
      <w:r>
        <w:rPr>
          <w:rFonts w:eastAsia="Open Sans Light" w:cs="Open Sans Light"/>
        </w:rPr>
        <w:t xml:space="preserve"> pas des souches.</w:t>
      </w:r>
    </w:p>
    <w:p>
      <w:pPr>
        <w:spacing w:line="257" w:lineRule="auto"/>
        <w:rPr>
          <w:rFonts w:eastAsia="Open Sans Light" w:cs="Open Sans Light"/>
        </w:rPr>
      </w:pPr>
      <w:proofErr w:type="spellStart"/>
      <w:r>
        <w:rPr>
          <w:rFonts w:eastAsia="Open Sans Light" w:cs="Open Sans Light"/>
        </w:rPr>
        <w:t>Stonolisation</w:t>
      </w:r>
      <w:proofErr w:type="spellEnd"/>
    </w:p>
    <w:p>
      <w:pPr>
        <w:spacing w:line="257" w:lineRule="auto"/>
      </w:pPr>
      <w:proofErr w:type="spellStart"/>
      <w:r>
        <w:rPr>
          <w:rFonts w:eastAsia="Open Sans Light" w:cs="Open Sans Light"/>
        </w:rPr>
        <w:t>Polyembrionnaire</w:t>
      </w:r>
      <w:proofErr w:type="spellEnd"/>
      <w:r>
        <w:rPr>
          <w:rFonts w:eastAsia="Open Sans Light" w:cs="Open Sans Light"/>
        </w:rPr>
        <w:t xml:space="preserve"> (scissiparité embryonnaire) à la suite d’une reproduction sexuée, la cellule de l’embryon est </w:t>
      </w:r>
      <w:proofErr w:type="spellStart"/>
      <w:r>
        <w:rPr>
          <w:rFonts w:eastAsia="Open Sans Light" w:cs="Open Sans Light"/>
        </w:rPr>
        <w:t>progammée</w:t>
      </w:r>
      <w:proofErr w:type="spellEnd"/>
      <w:r>
        <w:rPr>
          <w:rFonts w:eastAsia="Open Sans Light" w:cs="Open Sans Light"/>
        </w:rPr>
        <w:t xml:space="preserve"> pour se séparer et donner naissances à plusieurs individus.</w:t>
      </w:r>
    </w:p>
    <w:p>
      <w:pPr>
        <w:pStyle w:val="Titre1"/>
        <w:rPr>
          <w:rFonts w:ascii="Calibri Light" w:hAnsi="Calibri Light"/>
        </w:rPr>
      </w:pPr>
      <w:r>
        <w:t>Embryologie chez les vertébrés</w:t>
      </w:r>
    </w:p>
    <w:p>
      <w:pPr>
        <w:spacing w:line="257" w:lineRule="auto"/>
      </w:pPr>
      <w:r>
        <w:rPr>
          <w:rFonts w:eastAsia="Open Sans Light" w:cs="Open Sans Light"/>
        </w:rPr>
        <w:t xml:space="preserve"> Les stades du développement embryonnaire chez l’être humain :</w:t>
      </w:r>
    </w:p>
    <w:p>
      <w:pPr>
        <w:pStyle w:val="Paragraphedeliste"/>
        <w:numPr>
          <w:ilvl w:val="0"/>
          <w:numId w:val="14"/>
        </w:numPr>
        <w:spacing w:line="257" w:lineRule="auto"/>
        <w:jc w:val="left"/>
        <w:rPr>
          <w:rFonts w:eastAsiaTheme="minorEastAsia"/>
        </w:rPr>
      </w:pPr>
      <w:r>
        <w:rPr>
          <w:rFonts w:eastAsia="Open Sans Light" w:cs="Open Sans Light"/>
        </w:rPr>
        <w:t>Œuf fécondé</w:t>
      </w:r>
    </w:p>
    <w:p>
      <w:pPr>
        <w:pStyle w:val="Paragraphedeliste"/>
        <w:numPr>
          <w:ilvl w:val="0"/>
          <w:numId w:val="14"/>
        </w:numPr>
        <w:spacing w:line="257" w:lineRule="auto"/>
        <w:jc w:val="left"/>
      </w:pPr>
      <w:r>
        <w:rPr>
          <w:rFonts w:eastAsia="Open Sans Light" w:cs="Open Sans Light"/>
        </w:rPr>
        <w:t>Segmentation</w:t>
      </w:r>
    </w:p>
    <w:p>
      <w:pPr>
        <w:pStyle w:val="Paragraphedeliste"/>
        <w:numPr>
          <w:ilvl w:val="0"/>
          <w:numId w:val="14"/>
        </w:numPr>
        <w:spacing w:line="257" w:lineRule="auto"/>
        <w:jc w:val="left"/>
      </w:pPr>
    </w:p>
    <w:p/>
    <w:p/>
    <w:p>
      <w:pPr>
        <w:pStyle w:val="Titre1"/>
        <w:rPr>
          <w:rFonts w:ascii="Calibri Light" w:hAnsi="Calibri Light"/>
        </w:rPr>
      </w:pPr>
      <w:r>
        <w:t xml:space="preserve"> 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MGG</w:t>
    </w:r>
    <w:r>
      <w:ptab w:relativeTo="margin" w:alignment="center" w:leader="none"/>
    </w:r>
    <w:r>
      <w:t>Reproduction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59F"/>
    <w:multiLevelType w:val="hybridMultilevel"/>
    <w:tmpl w:val="0458E5FC"/>
    <w:lvl w:ilvl="0" w:tplc="9A4038E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8CE8E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B8E0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C614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7CE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AC0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41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A8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CE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82103"/>
    <w:multiLevelType w:val="hybridMultilevel"/>
    <w:tmpl w:val="6658D074"/>
    <w:lvl w:ilvl="0" w:tplc="A4DC1B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B1C9F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60E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844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626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9A1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AF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36C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05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D25E0"/>
    <w:multiLevelType w:val="hybridMultilevel"/>
    <w:tmpl w:val="8CB216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D41A6"/>
    <w:multiLevelType w:val="hybridMultilevel"/>
    <w:tmpl w:val="878C8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71201"/>
    <w:multiLevelType w:val="hybridMultilevel"/>
    <w:tmpl w:val="B2EA42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83BD8"/>
    <w:multiLevelType w:val="hybridMultilevel"/>
    <w:tmpl w:val="8C96D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A11C4"/>
    <w:multiLevelType w:val="hybridMultilevel"/>
    <w:tmpl w:val="7018B5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22F86"/>
    <w:multiLevelType w:val="hybridMultilevel"/>
    <w:tmpl w:val="DE76F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347724"/>
    <w:multiLevelType w:val="hybridMultilevel"/>
    <w:tmpl w:val="09A2E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3332C0"/>
    <w:multiLevelType w:val="hybridMultilevel"/>
    <w:tmpl w:val="6C100D6A"/>
    <w:lvl w:ilvl="0" w:tplc="10747836">
      <w:start w:val="1"/>
      <w:numFmt w:val="decimal"/>
      <w:lvlText w:val="%1."/>
      <w:lvlJc w:val="left"/>
      <w:pPr>
        <w:ind w:left="720" w:hanging="360"/>
      </w:pPr>
    </w:lvl>
    <w:lvl w:ilvl="1" w:tplc="39E46EE8">
      <w:start w:val="1"/>
      <w:numFmt w:val="lowerLetter"/>
      <w:lvlText w:val="%2."/>
      <w:lvlJc w:val="left"/>
      <w:pPr>
        <w:ind w:left="1440" w:hanging="360"/>
      </w:pPr>
    </w:lvl>
    <w:lvl w:ilvl="2" w:tplc="4F54DED6">
      <w:start w:val="1"/>
      <w:numFmt w:val="lowerRoman"/>
      <w:lvlText w:val="%3."/>
      <w:lvlJc w:val="right"/>
      <w:pPr>
        <w:ind w:left="2160" w:hanging="180"/>
      </w:pPr>
    </w:lvl>
    <w:lvl w:ilvl="3" w:tplc="703C3A1A">
      <w:start w:val="1"/>
      <w:numFmt w:val="decimal"/>
      <w:lvlText w:val="%4."/>
      <w:lvlJc w:val="left"/>
      <w:pPr>
        <w:ind w:left="2880" w:hanging="360"/>
      </w:pPr>
    </w:lvl>
    <w:lvl w:ilvl="4" w:tplc="6BD8C65A">
      <w:start w:val="1"/>
      <w:numFmt w:val="lowerLetter"/>
      <w:lvlText w:val="%5."/>
      <w:lvlJc w:val="left"/>
      <w:pPr>
        <w:ind w:left="3600" w:hanging="360"/>
      </w:pPr>
    </w:lvl>
    <w:lvl w:ilvl="5" w:tplc="DD500A7A">
      <w:start w:val="1"/>
      <w:numFmt w:val="lowerRoman"/>
      <w:lvlText w:val="%6."/>
      <w:lvlJc w:val="right"/>
      <w:pPr>
        <w:ind w:left="4320" w:hanging="180"/>
      </w:pPr>
    </w:lvl>
    <w:lvl w:ilvl="6" w:tplc="582CF648">
      <w:start w:val="1"/>
      <w:numFmt w:val="decimal"/>
      <w:lvlText w:val="%7."/>
      <w:lvlJc w:val="left"/>
      <w:pPr>
        <w:ind w:left="5040" w:hanging="360"/>
      </w:pPr>
    </w:lvl>
    <w:lvl w:ilvl="7" w:tplc="C3FC0CD2">
      <w:start w:val="1"/>
      <w:numFmt w:val="lowerLetter"/>
      <w:lvlText w:val="%8."/>
      <w:lvlJc w:val="left"/>
      <w:pPr>
        <w:ind w:left="5760" w:hanging="360"/>
      </w:pPr>
    </w:lvl>
    <w:lvl w:ilvl="8" w:tplc="234A125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E7C86"/>
    <w:multiLevelType w:val="hybridMultilevel"/>
    <w:tmpl w:val="DC707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139A5"/>
    <w:multiLevelType w:val="hybridMultilevel"/>
    <w:tmpl w:val="5F246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43A47"/>
    <w:multiLevelType w:val="hybridMultilevel"/>
    <w:tmpl w:val="D4008DCC"/>
    <w:lvl w:ilvl="0" w:tplc="7014214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6B8E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20F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2E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3A5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E69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EB7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A0B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9407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553BE"/>
    <w:multiLevelType w:val="hybridMultilevel"/>
    <w:tmpl w:val="AE8A5A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179CA"/>
    <w:multiLevelType w:val="hybridMultilevel"/>
    <w:tmpl w:val="352AE2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64DCD"/>
    <w:multiLevelType w:val="hybridMultilevel"/>
    <w:tmpl w:val="F87670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82C36"/>
    <w:multiLevelType w:val="hybridMultilevel"/>
    <w:tmpl w:val="9072CD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6"/>
  </w:num>
  <w:num w:numId="4">
    <w:abstractNumId w:val="11"/>
  </w:num>
  <w:num w:numId="5">
    <w:abstractNumId w:val="13"/>
  </w:num>
  <w:num w:numId="6">
    <w:abstractNumId w:val="3"/>
  </w:num>
  <w:num w:numId="7">
    <w:abstractNumId w:val="14"/>
  </w:num>
  <w:num w:numId="8">
    <w:abstractNumId w:val="15"/>
  </w:num>
  <w:num w:numId="9">
    <w:abstractNumId w:val="10"/>
  </w:num>
  <w:num w:numId="10">
    <w:abstractNumId w:val="7"/>
  </w:num>
  <w:num w:numId="11">
    <w:abstractNumId w:val="4"/>
  </w:num>
  <w:num w:numId="12">
    <w:abstractNumId w:val="2"/>
  </w:num>
  <w:num w:numId="13">
    <w:abstractNumId w:val="8"/>
  </w:num>
  <w:num w:numId="14">
    <w:abstractNumId w:val="9"/>
  </w:num>
  <w:num w:numId="15">
    <w:abstractNumId w:val="0"/>
  </w:num>
  <w:num w:numId="16">
    <w:abstractNumId w:val="12"/>
  </w:num>
  <w:num w:numId="1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C0131-346A-4FD2-9BBF-C72771165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9</cp:revision>
  <cp:lastPrinted>2021-02-13T18:38:00Z</cp:lastPrinted>
  <dcterms:created xsi:type="dcterms:W3CDTF">2022-03-07T14:18:00Z</dcterms:created>
  <dcterms:modified xsi:type="dcterms:W3CDTF">2022-03-10T17:55:00Z</dcterms:modified>
</cp:coreProperties>
</file>