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L’ADN et l’ARN sont des polymères de nucléotides.</w:t>
      </w:r>
    </w:p>
    <w:p/>
    <w:p>
      <w:pPr>
        <w:pStyle w:val="Titre1"/>
      </w:pPr>
      <w:r>
        <w:t>Les nucléotides</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spontanément ou avec l’aide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 Le groupement empêche l’appareillement </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832" w:type="dxa"/>
          </w:tcPr>
          <w:p>
            <w:r>
              <w:t>A=T (2 Liaisons hydrogènes)</w:t>
            </w:r>
          </w:p>
        </w:tc>
        <w:tc>
          <w:tcPr>
            <w:tcW w:w="3503" w:type="dxa"/>
          </w:tcPr>
          <w:p>
            <w:r>
              <w:t>G=C (3 liaisons hydrogènes)</w:t>
            </w:r>
          </w:p>
        </w:tc>
      </w:tr>
      <w:tr>
        <w:tc>
          <w:tcPr>
            <w:tcW w:w="3832"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503"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L’ADN</w:t>
      </w:r>
    </w:p>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possibles chez les Virus.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w:t>
            </w:r>
            <w:proofErr w:type="gramStart"/>
            <w:r>
              <w:t>ou</w:t>
            </w:r>
            <w:proofErr w:type="gramEnd"/>
            <w:r>
              <w:t xml:space="preserve"> </w:t>
            </w:r>
          </w:p>
          <w:p>
            <w:r>
              <w:t>désoxyribose (ADN)</w:t>
            </w:r>
          </w:p>
        </w:tc>
        <w:tc>
          <w:tcPr>
            <w:tcW w:w="2445" w:type="dxa"/>
          </w:tcPr>
          <w:p>
            <w:r>
              <w:t>Une base azotée</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w:t>
            </w:r>
          </w:p>
        </w:tc>
        <w:tc>
          <w:tcPr>
            <w:tcW w:w="3668" w:type="dxa"/>
          </w:tcPr>
          <w:p>
            <w:r>
              <w:t>super enroulée</w:t>
            </w:r>
          </w:p>
        </w:tc>
      </w:tr>
    </w:tbl>
    <w:p>
      <w:r>
        <w:rPr>
          <w:u w:val="single"/>
        </w:rPr>
        <w:t>Rmq :</w:t>
      </w:r>
      <w:r>
        <w:t xml:space="preserve"> L’ADN des mitochondries et des chloroplastes à la même structure que celui des Bactéries.</w:t>
      </w:r>
    </w:p>
    <w:p>
      <w:r>
        <w:t xml:space="preserve">Chez les Eucaryotes, l’ADN est accompagné de protéines qui permet sa compaction dans la cellule. Ils forment un complexe qui prend la forme d’un chromosome appelé ADN génomique. L’ADN est : </w:t>
      </w:r>
    </w:p>
    <w:p>
      <w:pPr>
        <w:pStyle w:val="Paragraphedeliste"/>
        <w:numPr>
          <w:ilvl w:val="0"/>
          <w:numId w:val="33"/>
        </w:numPr>
      </w:pPr>
      <w:r>
        <w:t>est enroulé autour d’histone de façon répétitive qui forme une alternance entre un solénoïde et un nucléosome.</w:t>
      </w:r>
    </w:p>
    <w:p>
      <w:pPr>
        <w:pStyle w:val="Paragraphedeliste"/>
        <w:numPr>
          <w:ilvl w:val="0"/>
          <w:numId w:val="33"/>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1"/>
      </w:pPr>
      <w:r>
        <w:t>La conformation de l’ADN</w:t>
      </w:r>
    </w:p>
    <w:p>
      <w:r>
        <w:rPr>
          <w:u w:val="single"/>
        </w:rPr>
        <w:t>NB :</w:t>
      </w:r>
      <w:r>
        <w:t xml:space="preserve"> 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lastRenderedPageBreak/>
        <w:t>L’ADN hybridé peut adopter naturellement trois conformations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r>
        <w:t>L’hélice Beta est la structure la plus présente car c’est la plus stable. Un tour d’hélice est formé par 10 bases d’ADN et mesure 3.4nm de hauteur.</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t>Génome extra chromosomique</w:t>
      </w:r>
      <w:r>
        <w:t xml:space="preserve"> génome situé en dehors du chromosome</w:t>
      </w:r>
    </w:p>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r>
        <w:t>Quatre types d’ARN sont produits par les cellules :</w:t>
      </w:r>
    </w:p>
    <w:p>
      <w:pPr>
        <w:pStyle w:val="Paragraphedeliste"/>
        <w:numPr>
          <w:ilvl w:val="0"/>
          <w:numId w:val="32"/>
        </w:numPr>
      </w:pPr>
      <w:r>
        <w:t xml:space="preserve">R pour ribosomal (95%). </w:t>
      </w:r>
    </w:p>
    <w:p>
      <w:pPr>
        <w:pStyle w:val="Paragraphedeliste"/>
        <w:numPr>
          <w:ilvl w:val="0"/>
          <w:numId w:val="32"/>
        </w:numPr>
      </w:pPr>
      <w:r>
        <w:t>M pour messager (1,5%). Ils contiennent l’information sur la séquence peptidique de la protéine.</w:t>
      </w:r>
    </w:p>
    <w:p>
      <w:pPr>
        <w:pStyle w:val="Paragraphedeliste"/>
        <w:numPr>
          <w:ilvl w:val="0"/>
          <w:numId w:val="32"/>
        </w:numPr>
      </w:pPr>
      <w:r>
        <w:lastRenderedPageBreak/>
        <w:t>T pour transfert. Ils servent de clé pour traduire l’ARN en acides aminées.</w:t>
      </w:r>
    </w:p>
    <w:p>
      <w:pPr>
        <w:pStyle w:val="Paragraphedeliste"/>
        <w:numPr>
          <w:ilvl w:val="0"/>
          <w:numId w:val="32"/>
        </w:numPr>
      </w:pPr>
      <w:r>
        <w:t>I pour interférent. Ce sont de petites amorces d’ARN capable de s’hybrider avec un brin d’ARN.</w:t>
      </w:r>
    </w:p>
    <w:p>
      <w:pPr>
        <w:pStyle w:val="Titre3"/>
      </w:pPr>
      <w:r>
        <w:t xml:space="preserve">ARN interférent </w:t>
      </w:r>
    </w:p>
    <w:p>
      <w:r>
        <w:t xml:space="preserve">endogène méthode de régulation de l'expression génétique. infèrent rend la séquence inactive 22nucleotides </w:t>
      </w:r>
    </w:p>
    <w:p>
      <w:r>
        <w:t>+ plus mécanisme de destruction tous les ARN messagers non spécifique.  initialement évolutif moyen de défense contre les virus. ARN interférant endogènes</w:t>
      </w:r>
    </w:p>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w:t>
      </w:r>
      <w:proofErr w:type="gramStart"/>
      <w:r>
        <w:t>formé</w:t>
      </w:r>
      <w:proofErr w:type="gramEnd"/>
      <w:r>
        <w:t xml:space="preserve"> d’un ARNr (18S) et de 21 protéines.</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 xml:space="preserve">Silencieuse (la redondance des codons permet de conserver </w:t>
            </w:r>
            <w:proofErr w:type="spellStart"/>
            <w:r>
              <w:t>l’aa</w:t>
            </w:r>
            <w:proofErr w:type="spellEnd"/>
            <w:r>
              <w:t>)</w:t>
            </w:r>
          </w:p>
        </w:tc>
        <w:tc>
          <w:tcPr>
            <w:tcW w:w="2158" w:type="dxa"/>
          </w:tcPr>
          <w:p>
            <w:r>
              <w:t>Non-sens (introduit un codant non-stop)</w:t>
            </w:r>
          </w:p>
        </w:tc>
      </w:tr>
    </w:tbl>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lastRenderedPageBreak/>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AND primase</w:t>
      </w:r>
      <w:r>
        <w:t xml:space="preserve"> type d’ARN polymérase qui synthétise l’amorce d’ARN nécessaire à l’ADN polymérase. Elle se fixe et ajoute le nucléotide complémentaire.</w:t>
      </w:r>
    </w:p>
    <w:p>
      <w:r>
        <w:t>Rmq : les ARN polymérases n’ont pas besoin d’une amorce càd d’extrémité 3’ pour ajouter des nucléotides.</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lastRenderedPageBreak/>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proofErr w:type="spellStart"/>
            <w:r>
              <w:t>A</w:t>
            </w:r>
            <w:proofErr w:type="spellEnd"/>
            <w:r>
              <w:t xml:space="preserve">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proofErr w:type="spellStart"/>
      <w:r>
        <w:t>MutS</w:t>
      </w:r>
      <w:proofErr w:type="spellEnd"/>
      <w:r>
        <w:t>, une enzyme parcourt la double hélice d’ADN. Lorsqu’elle détecte un mésappariement des bases, elle ci fixe.</w:t>
      </w:r>
    </w:p>
    <w:p>
      <w:pPr>
        <w:pStyle w:val="Paragraphedeliste"/>
        <w:numPr>
          <w:ilvl w:val="0"/>
          <w:numId w:val="18"/>
        </w:numPr>
      </w:pPr>
      <w:proofErr w:type="spellStart"/>
      <w:r>
        <w:t>MutL</w:t>
      </w:r>
      <w:proofErr w:type="spellEnd"/>
      <w:r>
        <w:t xml:space="preserve"> et </w:t>
      </w:r>
      <w:proofErr w:type="spellStart"/>
      <w:r>
        <w:t>MutH</w:t>
      </w:r>
      <w:proofErr w:type="spellEnd"/>
      <w:r>
        <w:t xml:space="preserve">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color w:val="auto"/>
        </w:rPr>
        <w:t>AP endonucléase</w:t>
      </w:r>
      <w:r>
        <w:t xml:space="preserve"> </w:t>
      </w:r>
      <w:r>
        <w:rPr>
          <w:rStyle w:val="Accentuation"/>
          <w:color w:val="auto"/>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color w:val="auto"/>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lastRenderedPageBreak/>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Différence entre les procaryotes et les eucaryotes</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p>
      <w:pPr>
        <w:rPr>
          <w:lang w:eastAsia="fr-FR"/>
        </w:rPr>
      </w:pPr>
      <w:r>
        <w:rPr>
          <w:lang w:eastAsia="fr-FR"/>
        </w:rPr>
        <w:t>Généralement le substrat d’une fonction métabolique est un facteur de transcription conduisant traduction de l’ARN polycistronique (codant pour plusieurs protéines).</w:t>
      </w:r>
    </w:p>
    <w:p/>
    <w:sectPr>
      <w:footerReference w:type="default" r:id="rId15"/>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396230"/>
    <w:multiLevelType w:val="hybridMultilevel"/>
    <w:tmpl w:val="4E625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4"/>
  </w:num>
  <w:num w:numId="2" w16cid:durableId="513687180">
    <w:abstractNumId w:val="20"/>
  </w:num>
  <w:num w:numId="3" w16cid:durableId="214006080">
    <w:abstractNumId w:val="13"/>
  </w:num>
  <w:num w:numId="4" w16cid:durableId="1339575752">
    <w:abstractNumId w:val="3"/>
  </w:num>
  <w:num w:numId="5" w16cid:durableId="1657490312">
    <w:abstractNumId w:val="10"/>
  </w:num>
  <w:num w:numId="6" w16cid:durableId="848982000">
    <w:abstractNumId w:val="6"/>
  </w:num>
  <w:num w:numId="7" w16cid:durableId="52319134">
    <w:abstractNumId w:val="14"/>
  </w:num>
  <w:num w:numId="8" w16cid:durableId="1160274578">
    <w:abstractNumId w:val="18"/>
  </w:num>
  <w:num w:numId="9" w16cid:durableId="1565481449">
    <w:abstractNumId w:val="0"/>
  </w:num>
  <w:num w:numId="10" w16cid:durableId="1915699737">
    <w:abstractNumId w:val="22"/>
  </w:num>
  <w:num w:numId="11" w16cid:durableId="347799678">
    <w:abstractNumId w:val="23"/>
  </w:num>
  <w:num w:numId="12" w16cid:durableId="522598958">
    <w:abstractNumId w:val="2"/>
  </w:num>
  <w:num w:numId="13" w16cid:durableId="2024236549">
    <w:abstractNumId w:val="29"/>
  </w:num>
  <w:num w:numId="14" w16cid:durableId="1490513105">
    <w:abstractNumId w:val="28"/>
  </w:num>
  <w:num w:numId="15" w16cid:durableId="2109081336">
    <w:abstractNumId w:val="21"/>
  </w:num>
  <w:num w:numId="16" w16cid:durableId="1089278138">
    <w:abstractNumId w:val="17"/>
  </w:num>
  <w:num w:numId="17" w16cid:durableId="1731615856">
    <w:abstractNumId w:val="12"/>
  </w:num>
  <w:num w:numId="18" w16cid:durableId="1377967116">
    <w:abstractNumId w:val="8"/>
  </w:num>
  <w:num w:numId="19" w16cid:durableId="1014183412">
    <w:abstractNumId w:val="30"/>
  </w:num>
  <w:num w:numId="20" w16cid:durableId="1093744503">
    <w:abstractNumId w:val="4"/>
  </w:num>
  <w:num w:numId="21" w16cid:durableId="1112047237">
    <w:abstractNumId w:val="31"/>
  </w:num>
  <w:num w:numId="22" w16cid:durableId="650252874">
    <w:abstractNumId w:val="11"/>
  </w:num>
  <w:num w:numId="23" w16cid:durableId="453601834">
    <w:abstractNumId w:val="19"/>
  </w:num>
  <w:num w:numId="24" w16cid:durableId="1231190654">
    <w:abstractNumId w:val="32"/>
  </w:num>
  <w:num w:numId="25" w16cid:durableId="1453137808">
    <w:abstractNumId w:val="5"/>
  </w:num>
  <w:num w:numId="26" w16cid:durableId="1132600694">
    <w:abstractNumId w:val="26"/>
  </w:num>
  <w:num w:numId="27" w16cid:durableId="375088990">
    <w:abstractNumId w:val="16"/>
  </w:num>
  <w:num w:numId="28" w16cid:durableId="2025203642">
    <w:abstractNumId w:val="9"/>
  </w:num>
  <w:num w:numId="29" w16cid:durableId="1981229864">
    <w:abstractNumId w:val="27"/>
  </w:num>
  <w:num w:numId="30" w16cid:durableId="1418407462">
    <w:abstractNumId w:val="1"/>
  </w:num>
  <w:num w:numId="31" w16cid:durableId="1535146199">
    <w:abstractNumId w:val="7"/>
  </w:num>
  <w:num w:numId="32" w16cid:durableId="1273173955">
    <w:abstractNumId w:val="15"/>
  </w:num>
  <w:num w:numId="33" w16cid:durableId="17927015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5272</TotalTime>
  <Pages>7</Pages>
  <Words>2226</Words>
  <Characters>12247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86</cp:revision>
  <cp:lastPrinted>2020-10-29T13:38:00Z</cp:lastPrinted>
  <dcterms:created xsi:type="dcterms:W3CDTF">2020-09-08T20:41:00Z</dcterms:created>
  <dcterms:modified xsi:type="dcterms:W3CDTF">2022-11-20T15:01:00Z</dcterms:modified>
</cp:coreProperties>
</file>