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cs="Times New Roman"/>
          <w:szCs w:val="24"/>
        </w:rPr>
      </w:pPr>
      <w:r>
        <w:rPr>
          <w:rFonts w:cs="Times New Roman"/>
          <w:szCs w:val="24"/>
        </w:rPr>
        <w:t>Quels sont les mécanismes qui permettent à la cellule de passer de l’ADN à la synthèse d’une protéine ?</w:t>
      </w:r>
    </w:p>
    <w:p>
      <w:pPr>
        <w:rPr>
          <w:rFonts w:cs="Times New Roman"/>
          <w:szCs w:val="24"/>
        </w:rPr>
      </w:pPr>
      <w:r>
        <w:rPr>
          <w:rFonts w:cs="Times New Roman"/>
          <w:szCs w:val="24"/>
        </w:rPr>
        <w:t>En général, une cellule humaine exprime 30 000 gènes a qui codent pour environ 10 000 protéines.</w:t>
      </w:r>
    </w:p>
    <w:p>
      <w:pPr>
        <w:rPr>
          <w:lang w:eastAsia="fr-FR"/>
        </w:rPr>
      </w:pPr>
      <w:r>
        <w:rPr>
          <w:lang w:eastAsia="fr-FR"/>
        </w:rPr>
        <w:t>Les séquences</w:t>
      </w:r>
    </w:p>
    <w:p>
      <w:pPr>
        <w:rPr>
          <w:lang w:eastAsia="fr-FR"/>
        </w:rPr>
      </w:pPr>
      <w:r>
        <w:rPr>
          <w:lang w:eastAsia="fr-FR"/>
        </w:rPr>
        <w:t xml:space="preserve">Gène la séquence parcourue par l'ARN polymérase. Elle contient le promoteur, les exons et les introns et la séquence de </w:t>
      </w:r>
      <w:proofErr w:type="spellStart"/>
      <w:r>
        <w:rPr>
          <w:lang w:eastAsia="fr-FR"/>
        </w:rPr>
        <w:t>décrocchage</w:t>
      </w:r>
      <w:proofErr w:type="spellEnd"/>
      <w:r>
        <w:rPr>
          <w:lang w:eastAsia="fr-FR"/>
        </w:rPr>
        <w:t>.</w:t>
      </w:r>
    </w:p>
    <w:p>
      <w:pPr>
        <w:rPr>
          <w:lang w:eastAsia="fr-FR"/>
        </w:rPr>
      </w:pPr>
      <w:r>
        <w:rPr>
          <w:lang w:eastAsia="fr-FR"/>
        </w:rPr>
        <w:t xml:space="preserve">Une étapes supplémentaires pour les gènes </w:t>
      </w:r>
    </w:p>
    <w:p>
      <w:pPr>
        <w:rPr>
          <w:lang w:eastAsia="fr-FR"/>
        </w:rPr>
      </w:pPr>
      <w:r>
        <w:rPr>
          <w:lang w:eastAsia="fr-FR"/>
        </w:rPr>
        <w:t>La synthèse d’une protéine se fait en deux étapes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pPr>
              <w:rPr>
                <w:rStyle w:val="Accentuation"/>
                <w:iCs w:val="0"/>
                <w:color w:val="auto"/>
                <w:lang w:eastAsia="fr-FR"/>
              </w:rPr>
            </w:pPr>
            <w:r>
              <w:rPr>
                <w:rStyle w:val="Accentuation"/>
                <w:iCs w:val="0"/>
                <w:color w:val="auto"/>
                <w:lang w:eastAsia="fr-FR"/>
              </w:rPr>
              <w:t>T</w:t>
            </w:r>
            <w:r>
              <w:rPr>
                <w:rStyle w:val="Accentuation"/>
                <w:lang w:eastAsia="fr-FR"/>
              </w:rPr>
              <w:t>ranscription</w:t>
            </w:r>
          </w:p>
        </w:tc>
        <w:tc>
          <w:tcPr>
            <w:tcW w:w="3668" w:type="dxa"/>
          </w:tcPr>
          <w:p>
            <w:pPr>
              <w:cnfStyle w:val="100000000000" w:firstRow="1" w:lastRow="0" w:firstColumn="0" w:lastColumn="0" w:oddVBand="0" w:evenVBand="0" w:oddHBand="0" w:evenHBand="0" w:firstRowFirstColumn="0" w:firstRowLastColumn="0" w:lastRowFirstColumn="0" w:lastRowLastColumn="0"/>
              <w:rPr>
                <w:rStyle w:val="Accentuation"/>
                <w:iCs w:val="0"/>
                <w:color w:val="auto"/>
                <w:lang w:eastAsia="fr-FR"/>
              </w:rPr>
            </w:pPr>
            <w:r>
              <w:rPr>
                <w:rStyle w:val="Accentuation"/>
                <w:iCs w:val="0"/>
                <w:color w:val="auto"/>
                <w:lang w:eastAsia="fr-FR"/>
              </w:rPr>
              <w:t>T</w:t>
            </w:r>
            <w:r>
              <w:rPr>
                <w:rStyle w:val="Accentuation"/>
                <w:lang w:eastAsia="fr-FR"/>
              </w:rPr>
              <w:t>raduction</w:t>
            </w:r>
          </w:p>
        </w:tc>
      </w:tr>
    </w:tbl>
    <w:p>
      <w:pPr>
        <w:pStyle w:val="Titre1"/>
      </w:pPr>
      <w:r>
        <w:t>Synthèse d’ARN</w:t>
      </w:r>
    </w:p>
    <w:p>
      <w:r>
        <w:rPr>
          <w:rStyle w:val="Accentuation"/>
        </w:rPr>
        <w:t>Brin codant</w:t>
      </w:r>
      <w:r>
        <w:t xml:space="preserve"> (ou sens) brin d’ADN qui contient la même séquence que celle transcrite en ARN par opposition au brin non codant.</w:t>
      </w:r>
    </w:p>
    <w:p>
      <w:pPr>
        <w:pStyle w:val="Titre2"/>
      </w:pPr>
      <w:r>
        <w:t>Du code génétique à la protéine</w:t>
      </w:r>
    </w:p>
    <w:p>
      <w:r>
        <w:rPr>
          <w:rStyle w:val="Accentuation"/>
        </w:rPr>
        <w:t>Élongation</w:t>
      </w:r>
      <w:r>
        <w:t xml:space="preserve"> progression du ribosome le long du brin d’ARNm</w:t>
      </w:r>
    </w:p>
    <w:p>
      <w:r>
        <w:t xml:space="preserve">C’est l’ARNt qui sert de clés de traduction entre les codons et les acides aminés. Il possède une petite portion variable, appelée anticodon, qui assure la correspondance entre le codon et </w:t>
      </w:r>
      <w:proofErr w:type="spellStart"/>
      <w:r>
        <w:t>l’aa</w:t>
      </w:r>
      <w:proofErr w:type="spellEnd"/>
      <w:r>
        <w:t>.</w:t>
      </w:r>
    </w:p>
    <w:p>
      <w:r>
        <w:t>L’ARNt est associé par son extrémité Béta par une liaison covalente à l’acide aminé correspondant à son anticodon, grâce à l’aminoacyl-ARNt synthétase pour former un complexe appelé aminoacyl-ARNt.</w:t>
      </w:r>
    </w:p>
    <w:p>
      <w:pPr>
        <w:pStyle w:val="Titre3"/>
      </w:pPr>
      <w:r>
        <w:t>Traduction</w:t>
      </w:r>
    </w:p>
    <w:p>
      <w:r>
        <w:t>Les étapes de la traduction sont :</w:t>
      </w:r>
    </w:p>
    <w:p>
      <w:pPr>
        <w:pStyle w:val="Paragraphedeliste"/>
        <w:numPr>
          <w:ilvl w:val="0"/>
          <w:numId w:val="18"/>
        </w:numPr>
      </w:pPr>
      <w:r>
        <w:t xml:space="preserve">La petite sous unité se positionne sur le brin d’ARNm. </w:t>
      </w:r>
    </w:p>
    <w:p>
      <w:pPr>
        <w:pStyle w:val="Paragraphedeliste"/>
        <w:numPr>
          <w:ilvl w:val="0"/>
          <w:numId w:val="18"/>
        </w:numPr>
      </w:pPr>
      <w:r>
        <w:t>Elle se déplace sur l’ARNm jusqu’à la séquence consensus.</w:t>
      </w:r>
    </w:p>
    <w:p>
      <w:pPr>
        <w:pStyle w:val="Paragraphedeliste"/>
        <w:numPr>
          <w:ilvl w:val="0"/>
          <w:numId w:val="18"/>
        </w:numPr>
      </w:pPr>
      <w:r>
        <w:t>Le recrutement de la grande sous unité.</w:t>
      </w:r>
      <w:r>
        <w:tab/>
      </w:r>
    </w:p>
    <w:p>
      <w:pPr>
        <w:pStyle w:val="Paragraphedeliste"/>
        <w:numPr>
          <w:ilvl w:val="0"/>
          <w:numId w:val="18"/>
        </w:numPr>
      </w:pPr>
      <w:r>
        <w:t>Ajout des aa grâce à l’aminoacyl-ARNt.</w:t>
      </w:r>
    </w:p>
    <w:p>
      <w:pPr>
        <w:pStyle w:val="Paragraphedeliste"/>
        <w:numPr>
          <w:ilvl w:val="0"/>
          <w:numId w:val="18"/>
        </w:numPr>
      </w:pPr>
      <w:r>
        <w:t>Arrêt de la traduction lors que le codon stop est détecté. Le facteur de terminaison s’associe à l’ARNm et provoque la dissociation du ribosome.</w:t>
      </w:r>
    </w:p>
    <w:p>
      <w:r>
        <w:t>Il existe moins d’anticodons que de codons. Plusieurs codons codent pour un acides aminée à cause :</w:t>
      </w:r>
    </w:p>
    <w:p>
      <w:pPr>
        <w:pStyle w:val="Paragraphedeliste"/>
        <w:numPr>
          <w:ilvl w:val="0"/>
          <w:numId w:val="20"/>
        </w:numPr>
      </w:pPr>
      <w:r>
        <w:t xml:space="preserve">L’inosine, une base modifiée capable d’interagir avec A, C ou U </w:t>
      </w:r>
    </w:p>
    <w:p>
      <w:pPr>
        <w:pStyle w:val="Paragraphedeliste"/>
        <w:numPr>
          <w:ilvl w:val="0"/>
          <w:numId w:val="20"/>
        </w:numPr>
      </w:pPr>
      <w:r>
        <w:t>Un apparemment G et U.</w:t>
      </w:r>
    </w:p>
    <w:p>
      <w:r>
        <w:t>Ce type d’appariement est dit bancal. Il permet de restreindre le nombre d’ARNt nécessaire pour traduire les codons et ainsi augmenter l’efficacité de la traduction.</w:t>
      </w:r>
    </w:p>
    <w:p>
      <w:r>
        <w:rPr>
          <w:color w:val="FF0000"/>
        </w:rPr>
        <w:t xml:space="preserve">Phase ouverte de lecture (ORF en anglais) </w:t>
      </w:r>
      <w:r>
        <w:t>séquence de codon traduite en acide aminé. Elle contient le codon initiateur et stop.</w:t>
      </w:r>
    </w:p>
    <w:p/>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36"/>
        </w:numPr>
      </w:pPr>
      <w:r>
        <w:t>Initiation ou appareillage de l’ARN polymérase :  L’ARN polymérase se fixe sur le promoteur et ouvre la double hélice.</w:t>
      </w:r>
    </w:p>
    <w:p>
      <w:pPr>
        <w:pStyle w:val="Paragraphedeliste"/>
        <w:numPr>
          <w:ilvl w:val="0"/>
          <w:numId w:val="36"/>
        </w:numPr>
      </w:pPr>
      <w:r>
        <w:t>Élongation : progression de ARN. L’ARN sélectionne et lie le brin avec les bases dans le sens d’orientation 5’</w:t>
      </w:r>
      <w:r>
        <w:rPr>
          <w:rFonts w:ascii="Arial" w:hAnsi="Arial" w:cs="Arial"/>
        </w:rPr>
        <w:t>→</w:t>
      </w:r>
      <w:r>
        <w:t>3’. Il est appelé brin transcrit.</w:t>
      </w:r>
    </w:p>
    <w:p>
      <w:pPr>
        <w:pStyle w:val="Paragraphedeliste"/>
        <w:numPr>
          <w:ilvl w:val="0"/>
          <w:numId w:val="36"/>
        </w:numPr>
      </w:pPr>
      <w:r>
        <w:lastRenderedPageBreak/>
        <w:t>Transcription : Ajout des bases par complémentarité qui correspond à la traduction du brin codant en ARN. C’est la même information.</w:t>
      </w:r>
    </w:p>
    <w:p>
      <w:pPr>
        <w:pStyle w:val="Paragraphedeliste"/>
        <w:numPr>
          <w:ilvl w:val="0"/>
          <w:numId w:val="36"/>
        </w:numPr>
      </w:pPr>
      <w:r>
        <w:t>Terminaison. La structure secondaire de l’ARN détermine la fin de la transcription.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r>
        <w:rPr>
          <w:u w:val="single"/>
        </w:rPr>
        <w:t>Rmq :</w:t>
      </w:r>
      <w:r>
        <w:t xml:space="preserve"> il existe 4 ARN polymérase en fonction du type d’ARN qu’elle synthétise.</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 Il </w:t>
      </w:r>
      <w:proofErr w:type="spellStart"/>
      <w:r>
        <w:t>défini</w:t>
      </w:r>
      <w:proofErr w:type="spellEnd"/>
      <w:r>
        <w:t xml:space="preserve"> le sens de la transcription.</w:t>
      </w:r>
    </w:p>
    <w:p>
      <w:r>
        <w:t>À partir du promoteur, on peut déterminer le premier nucléotide codant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rPr>
          <w:color w:val="FF0000"/>
        </w:rPr>
        <w:t xml:space="preserve"> (par opposition au brin transcrit ou non codant) </w:t>
      </w:r>
      <w:r>
        <w:t>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forme une épingle à cheveux suivit d’une queue en UUUUUUU. Cette séquence s’appelle séquence terminateur de transcription. La faiblesse des liaisons hydrogène provoque le décrochement de l’ADN polymérase du brin d’ADN et l’arrêt de la transcription.</w:t>
      </w:r>
    </w:p>
    <w:p>
      <w:pPr>
        <w:pStyle w:val="Titre3"/>
      </w:pPr>
      <w:r>
        <w:lastRenderedPageBreak/>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 xml:space="preserve">ARN </w:t>
            </w:r>
            <w:proofErr w:type="spellStart"/>
            <w:r>
              <w:t>pol</w:t>
            </w:r>
            <w:proofErr w:type="spellEnd"/>
            <w:r>
              <w:t xml:space="preserve">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w:t>
            </w:r>
            <w:proofErr w:type="spellStart"/>
            <w:r>
              <w:t>pol</w:t>
            </w:r>
            <w:proofErr w:type="spellEnd"/>
            <w:r>
              <w:t xml:space="preserve">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37"/>
        </w:numPr>
      </w:pPr>
      <w:r>
        <w:t>Recrutement de l’ARN sur le promoteur.</w:t>
      </w:r>
    </w:p>
    <w:p>
      <w:pPr>
        <w:pStyle w:val="Paragraphedeliste"/>
        <w:numPr>
          <w:ilvl w:val="0"/>
          <w:numId w:val="37"/>
        </w:numPr>
      </w:pPr>
      <w:r>
        <w:t>Transcription de l’ARN en pré ARN (promoteur jusqu’au terminateur).</w:t>
      </w:r>
    </w:p>
    <w:p>
      <w:pPr>
        <w:pStyle w:val="Paragraphedeliste"/>
        <w:numPr>
          <w:ilvl w:val="0"/>
          <w:numId w:val="37"/>
        </w:numPr>
      </w:pPr>
      <w:r>
        <w:t>Maturation du pré ARN en ARN.</w:t>
      </w:r>
    </w:p>
    <w:p>
      <w:pPr>
        <w:pStyle w:val="Paragraphedeliste"/>
        <w:numPr>
          <w:ilvl w:val="0"/>
          <w:numId w:val="37"/>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38"/>
        </w:numPr>
      </w:pPr>
      <w:r>
        <w:t>L’ajout de la coiffe au premier nucléotide transcrit.</w:t>
      </w:r>
    </w:p>
    <w:p>
      <w:pPr>
        <w:pStyle w:val="Paragraphedeliste"/>
        <w:numPr>
          <w:ilvl w:val="0"/>
          <w:numId w:val="38"/>
        </w:numPr>
      </w:pPr>
      <w:r>
        <w:t>Épissage l’étape qui consiste à enlever les introns et lier les exons entre eux.</w:t>
      </w:r>
    </w:p>
    <w:p>
      <w:pPr>
        <w:pStyle w:val="Paragraphedeliste"/>
        <w:numPr>
          <w:ilvl w:val="0"/>
          <w:numId w:val="38"/>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lastRenderedPageBreak/>
        <w:t>Le signal poly(A) attire des protéines qui coupent le brin et ajoutent environ 200 adénines appelé queue AAA. Cette séquence permet le recrutement de protéines stabilisatrice.</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p>
      <w:pPr>
        <w:pStyle w:val="Paragraphedeliste"/>
        <w:numPr>
          <w:ilvl w:val="0"/>
          <w:numId w:val="41"/>
        </w:numPr>
      </w:pPr>
      <w:r>
        <w:t>Universels (les même chez toutes les espèces).</w:t>
      </w:r>
    </w:p>
    <w:p>
      <w:pPr>
        <w:pStyle w:val="Paragraphedeliste"/>
        <w:numPr>
          <w:ilvl w:val="0"/>
          <w:numId w:val="41"/>
        </w:numPr>
      </w:pPr>
      <w:r>
        <w:t>Redondants (plusieurs codons codent pour un AA)</w:t>
      </w:r>
    </w:p>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Le ribosome se fixe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 xml:space="preserve">La séquence d’ARN de </w:t>
            </w:r>
            <w:proofErr w:type="spellStart"/>
            <w:r>
              <w:t>Shine-Dalgarno</w:t>
            </w:r>
            <w:proofErr w:type="spellEnd"/>
            <w:r>
              <w:t xml:space="preserve"> chez les procaryotes.</w:t>
            </w:r>
          </w:p>
        </w:tc>
      </w:tr>
    </w:tbl>
    <w:p>
      <w:r>
        <w:t>Il parcourt l’ARM M du coté 5’ vers 3’. La synthèse des protéines débute lorsqu’un codon initiateur (AUG) a été détecté. Les acides aminés sont ajoutés successivement en fonction des codons jusqu’à l’apparition du codon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débutent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39"/>
        </w:numPr>
      </w:pPr>
      <w:r>
        <w:t xml:space="preserve"> La boucle T qui interagit avec le ribosome.</w:t>
      </w:r>
    </w:p>
    <w:p>
      <w:pPr>
        <w:pStyle w:val="Paragraphedeliste"/>
        <w:numPr>
          <w:ilvl w:val="0"/>
          <w:numId w:val="39"/>
        </w:numPr>
      </w:pPr>
      <w:r>
        <w:t xml:space="preserve"> Anticodon</w:t>
      </w:r>
    </w:p>
    <w:p>
      <w:pPr>
        <w:pStyle w:val="Paragraphedeliste"/>
        <w:numPr>
          <w:ilvl w:val="0"/>
          <w:numId w:val="39"/>
        </w:numPr>
      </w:pPr>
      <w:r>
        <w:t xml:space="preserve"> La boucle D qui charge l’acide AA.</w:t>
      </w:r>
    </w:p>
    <w:p>
      <w:pPr>
        <w:pStyle w:val="Paragraphedeliste"/>
        <w:numPr>
          <w:ilvl w:val="0"/>
          <w:numId w:val="39"/>
        </w:numPr>
      </w:pPr>
      <w:r>
        <w:t xml:space="preserve"> L’anticodon s’apparie avec le codon qui code l’acide aminé. L’anticodon est la séquence complémentaire du codon de l’ARN.</w:t>
      </w:r>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w:t>
            </w:r>
            <w:proofErr w:type="spellStart"/>
            <w:r>
              <w:t>xit</w:t>
            </w:r>
            <w:proofErr w:type="spellEnd"/>
            <w:r>
              <w: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lastRenderedPageBreak/>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40"/>
        </w:numPr>
      </w:pPr>
      <w:r>
        <w:t xml:space="preserve">Les protéines EiF-4E et EiF-4G viennent se fixer sur la coiffe pour permettre le recrutement de la petite unité (18S). </w:t>
      </w:r>
    </w:p>
    <w:p>
      <w:pPr>
        <w:pStyle w:val="Paragraphedeliste"/>
        <w:numPr>
          <w:ilvl w:val="0"/>
          <w:numId w:val="40"/>
        </w:numPr>
      </w:pPr>
      <w:r>
        <w:t>Le complexe parcourt l’ARN jusqu’à la détection d’un codon initiateur. La synthèse de la chaine débute.</w:t>
      </w:r>
    </w:p>
    <w:p>
      <w:pPr>
        <w:pStyle w:val="Paragraphedeliste"/>
        <w:numPr>
          <w:ilvl w:val="0"/>
          <w:numId w:val="40"/>
        </w:numPr>
      </w:pPr>
      <w:r>
        <w:t>La grande unité ribosomique s’ajoute au complexe. La synthèse de la chaine peut alors continuer.</w:t>
      </w:r>
    </w:p>
    <w:p>
      <w:pPr>
        <w:pStyle w:val="Paragraphedeliste"/>
        <w:numPr>
          <w:ilvl w:val="0"/>
          <w:numId w:val="4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rPr>
          <w:lang w:eastAsia="fr-FR"/>
        </w:rPr>
      </w:pPr>
    </w:p>
    <w:p>
      <w:pPr>
        <w:rPr>
          <w:highlight w:val="green"/>
          <w:lang w:eastAsia="fr-FR"/>
        </w:rPr>
      </w:pPr>
      <w:r>
        <w:rPr>
          <w:highlight w:val="green"/>
          <w:lang w:eastAsia="fr-FR"/>
        </w:rPr>
        <w:t xml:space="preserve">Généralement le substrat d’une fonction métabolique est un facteur de transcription conduisant traduction de l’ARN </w:t>
      </w:r>
      <w:proofErr w:type="spellStart"/>
      <w:r>
        <w:rPr>
          <w:highlight w:val="green"/>
          <w:lang w:eastAsia="fr-FR"/>
        </w:rPr>
        <w:t>polycitrinonique</w:t>
      </w:r>
      <w:proofErr w:type="spellEnd"/>
      <w:r>
        <w:rPr>
          <w:highlight w:val="green"/>
          <w:lang w:eastAsia="fr-FR"/>
        </w:rPr>
        <w:t xml:space="preserve"> (codant pour plusieurs protéines).</w:t>
      </w:r>
    </w:p>
    <w:p>
      <w:pPr>
        <w:rPr>
          <w:highlight w:val="green"/>
          <w:lang w:eastAsia="fr-FR"/>
        </w:rPr>
      </w:pPr>
    </w:p>
    <w:p>
      <w:pPr>
        <w:rPr>
          <w:lang w:eastAsia="fr-FR"/>
        </w:rPr>
      </w:pPr>
      <w:r>
        <w:rPr>
          <w:highlight w:val="green"/>
          <w:lang w:eastAsia="fr-FR"/>
        </w:rPr>
        <w:t xml:space="preserve">Permet l’expression de la protéine de l’insert en même temps que l’ADN codant pour la protéine de sélection (x-Gal). Le substrat agissant comme </w:t>
      </w:r>
      <w:r>
        <w:rPr>
          <w:highlight w:val="green"/>
          <w:lang w:eastAsia="fr-FR"/>
        </w:rPr>
        <w:t>facteur de transcription càd que la transcription de n’a lieu qu’en présence de X-Gal.</w:t>
      </w:r>
    </w:p>
    <w:p>
      <w:pPr>
        <w:rPr>
          <w:lang w:eastAsia="fr-FR"/>
        </w:rPr>
      </w:pPr>
      <w:r>
        <w:rPr>
          <w:lang w:eastAsia="fr-FR"/>
        </w:rPr>
        <w:t xml:space="preserve">Le fait que l’ARN soit </w:t>
      </w:r>
      <w:proofErr w:type="spellStart"/>
      <w:r>
        <w:rPr>
          <w:lang w:eastAsia="fr-FR"/>
        </w:rPr>
        <w:t>polycitronique</w:t>
      </w:r>
      <w:proofErr w:type="spellEnd"/>
      <w:r>
        <w:rPr>
          <w:lang w:eastAsia="fr-FR"/>
        </w:rPr>
        <w:t xml:space="preserve"> (</w:t>
      </w:r>
      <w:proofErr w:type="spellStart"/>
      <w:r>
        <w:rPr>
          <w:lang w:eastAsia="fr-FR"/>
        </w:rPr>
        <w:t>régulaion</w:t>
      </w:r>
      <w:proofErr w:type="spellEnd"/>
      <w:r>
        <w:rPr>
          <w:lang w:eastAsia="fr-FR"/>
        </w:rPr>
        <w:t xml:space="preserve"> génétique)</w:t>
      </w:r>
    </w:p>
    <w:p>
      <w:pPr>
        <w:rPr>
          <w:lang w:eastAsia="fr-FR"/>
        </w:rPr>
      </w:pPr>
    </w:p>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Génie génétique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EA1992"/>
    <w:multiLevelType w:val="hybridMultilevel"/>
    <w:tmpl w:val="31C0E2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076C9B"/>
    <w:multiLevelType w:val="hybridMultilevel"/>
    <w:tmpl w:val="6BD8C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0A140A"/>
    <w:multiLevelType w:val="hybridMultilevel"/>
    <w:tmpl w:val="D820CB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3F1D8F"/>
    <w:multiLevelType w:val="hybridMultilevel"/>
    <w:tmpl w:val="6A0A9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07EDD"/>
    <w:multiLevelType w:val="hybridMultilevel"/>
    <w:tmpl w:val="743C9A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3E4DDB"/>
    <w:multiLevelType w:val="hybridMultilevel"/>
    <w:tmpl w:val="3ED62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7B92A83"/>
    <w:multiLevelType w:val="hybridMultilevel"/>
    <w:tmpl w:val="56FEB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CC033C"/>
    <w:multiLevelType w:val="hybridMultilevel"/>
    <w:tmpl w:val="93662B2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D2B15B0"/>
    <w:multiLevelType w:val="hybridMultilevel"/>
    <w:tmpl w:val="6C80ED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3025A49"/>
    <w:multiLevelType w:val="hybridMultilevel"/>
    <w:tmpl w:val="F0E044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315C18"/>
    <w:multiLevelType w:val="hybridMultilevel"/>
    <w:tmpl w:val="BAD288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575C8B"/>
    <w:multiLevelType w:val="hybridMultilevel"/>
    <w:tmpl w:val="FCBA16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D06B3D"/>
    <w:multiLevelType w:val="hybridMultilevel"/>
    <w:tmpl w:val="A928F8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1AE0BCE"/>
    <w:multiLevelType w:val="hybridMultilevel"/>
    <w:tmpl w:val="345045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66442C"/>
    <w:multiLevelType w:val="hybridMultilevel"/>
    <w:tmpl w:val="38E4D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BAE4220"/>
    <w:multiLevelType w:val="hybridMultilevel"/>
    <w:tmpl w:val="090EC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7174FB"/>
    <w:multiLevelType w:val="hybridMultilevel"/>
    <w:tmpl w:val="16AC0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7861C36"/>
    <w:multiLevelType w:val="hybridMultilevel"/>
    <w:tmpl w:val="6AA6CD5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1413B4"/>
    <w:multiLevelType w:val="hybridMultilevel"/>
    <w:tmpl w:val="2DEC4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010DFC"/>
    <w:multiLevelType w:val="hybridMultilevel"/>
    <w:tmpl w:val="BAD28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C534032"/>
    <w:multiLevelType w:val="hybridMultilevel"/>
    <w:tmpl w:val="FC34FE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CC67C06"/>
    <w:multiLevelType w:val="hybridMultilevel"/>
    <w:tmpl w:val="7DAA6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CF4145"/>
    <w:multiLevelType w:val="hybridMultilevel"/>
    <w:tmpl w:val="4DD69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2616593">
    <w:abstractNumId w:val="20"/>
  </w:num>
  <w:num w:numId="2" w16cid:durableId="2066830513">
    <w:abstractNumId w:val="17"/>
  </w:num>
  <w:num w:numId="3" w16cid:durableId="2016764046">
    <w:abstractNumId w:val="16"/>
  </w:num>
  <w:num w:numId="4" w16cid:durableId="1010983616">
    <w:abstractNumId w:val="24"/>
  </w:num>
  <w:num w:numId="5" w16cid:durableId="2027705804">
    <w:abstractNumId w:val="18"/>
  </w:num>
  <w:num w:numId="6" w16cid:durableId="1816753131">
    <w:abstractNumId w:val="15"/>
  </w:num>
  <w:num w:numId="7" w16cid:durableId="1246838842">
    <w:abstractNumId w:val="2"/>
  </w:num>
  <w:num w:numId="8" w16cid:durableId="1029260918">
    <w:abstractNumId w:val="25"/>
  </w:num>
  <w:num w:numId="9" w16cid:durableId="685325500">
    <w:abstractNumId w:val="36"/>
  </w:num>
  <w:num w:numId="10" w16cid:durableId="158228569">
    <w:abstractNumId w:val="19"/>
  </w:num>
  <w:num w:numId="11" w16cid:durableId="1554468663">
    <w:abstractNumId w:val="23"/>
  </w:num>
  <w:num w:numId="12" w16cid:durableId="918290692">
    <w:abstractNumId w:val="35"/>
  </w:num>
  <w:num w:numId="13" w16cid:durableId="986084812">
    <w:abstractNumId w:val="38"/>
  </w:num>
  <w:num w:numId="14" w16cid:durableId="591671848">
    <w:abstractNumId w:val="33"/>
  </w:num>
  <w:num w:numId="15" w16cid:durableId="362246736">
    <w:abstractNumId w:val="4"/>
  </w:num>
  <w:num w:numId="16" w16cid:durableId="2042585951">
    <w:abstractNumId w:val="37"/>
  </w:num>
  <w:num w:numId="17" w16cid:durableId="305742702">
    <w:abstractNumId w:val="22"/>
  </w:num>
  <w:num w:numId="18" w16cid:durableId="1504658668">
    <w:abstractNumId w:val="14"/>
  </w:num>
  <w:num w:numId="19" w16cid:durableId="1265769917">
    <w:abstractNumId w:val="29"/>
  </w:num>
  <w:num w:numId="20" w16cid:durableId="595528227">
    <w:abstractNumId w:val="6"/>
  </w:num>
  <w:num w:numId="21" w16cid:durableId="1192764805">
    <w:abstractNumId w:val="40"/>
  </w:num>
  <w:num w:numId="22" w16cid:durableId="1172640385">
    <w:abstractNumId w:val="39"/>
  </w:num>
  <w:num w:numId="23" w16cid:durableId="1594899513">
    <w:abstractNumId w:val="9"/>
  </w:num>
  <w:num w:numId="24" w16cid:durableId="479661174">
    <w:abstractNumId w:val="27"/>
  </w:num>
  <w:num w:numId="25" w16cid:durableId="744449974">
    <w:abstractNumId w:val="12"/>
  </w:num>
  <w:num w:numId="26" w16cid:durableId="664742890">
    <w:abstractNumId w:val="10"/>
  </w:num>
  <w:num w:numId="27" w16cid:durableId="267466620">
    <w:abstractNumId w:val="7"/>
  </w:num>
  <w:num w:numId="28" w16cid:durableId="1640451280">
    <w:abstractNumId w:val="11"/>
  </w:num>
  <w:num w:numId="29" w16cid:durableId="424694822">
    <w:abstractNumId w:val="3"/>
  </w:num>
  <w:num w:numId="30" w16cid:durableId="1574202204">
    <w:abstractNumId w:val="28"/>
  </w:num>
  <w:num w:numId="31" w16cid:durableId="131992363">
    <w:abstractNumId w:val="13"/>
  </w:num>
  <w:num w:numId="32" w16cid:durableId="1996955236">
    <w:abstractNumId w:val="1"/>
  </w:num>
  <w:num w:numId="33" w16cid:durableId="1746222025">
    <w:abstractNumId w:val="21"/>
  </w:num>
  <w:num w:numId="34" w16cid:durableId="179317732">
    <w:abstractNumId w:val="5"/>
  </w:num>
  <w:num w:numId="35" w16cid:durableId="956641672">
    <w:abstractNumId w:val="34"/>
  </w:num>
  <w:num w:numId="36" w16cid:durableId="1847137014">
    <w:abstractNumId w:val="31"/>
  </w:num>
  <w:num w:numId="37" w16cid:durableId="329138961">
    <w:abstractNumId w:val="32"/>
  </w:num>
  <w:num w:numId="38" w16cid:durableId="403260522">
    <w:abstractNumId w:val="8"/>
  </w:num>
  <w:num w:numId="39" w16cid:durableId="1557164054">
    <w:abstractNumId w:val="26"/>
  </w:num>
  <w:num w:numId="40" w16cid:durableId="966426276">
    <w:abstractNumId w:val="0"/>
  </w:num>
  <w:num w:numId="41" w16cid:durableId="954294144">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874443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521B-DEE2-403A-AD6A-361E60DB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5</Pages>
  <Words>1748</Words>
  <Characters>9614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66</cp:revision>
  <cp:lastPrinted>2021-02-13T18:38:00Z</cp:lastPrinted>
  <dcterms:created xsi:type="dcterms:W3CDTF">2021-06-15T04:50:00Z</dcterms:created>
  <dcterms:modified xsi:type="dcterms:W3CDTF">2022-11-29T08:11:00Z</dcterms:modified>
</cp:coreProperties>
</file>