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PCR quantitative (</w:t>
      </w:r>
      <w:proofErr w:type="spellStart"/>
      <w:r>
        <w:t>qPCR</w:t>
      </w:r>
      <w:proofErr w:type="spellEnd"/>
      <w:r>
        <w:t>) ou PCR en temps réel permet de mesurer :</w:t>
      </w:r>
    </w:p>
    <w:p>
      <w:pPr>
        <w:pStyle w:val="Paragraphedeliste"/>
        <w:numPr>
          <w:ilvl w:val="0"/>
          <w:numId w:val="25"/>
        </w:numPr>
      </w:pPr>
      <w:r>
        <w:t>la quantité de transcription d’un gène par l’ARN.</w:t>
      </w:r>
    </w:p>
    <w:p>
      <w:pPr>
        <w:pStyle w:val="Paragraphedeliste"/>
        <w:numPr>
          <w:ilvl w:val="0"/>
          <w:numId w:val="25"/>
        </w:numPr>
      </w:pPr>
      <w:r>
        <w:t>mesurer la quantité d’ADN présent au départ.</w:t>
      </w:r>
    </w:p>
    <w:p>
      <w:r>
        <w:t xml:space="preserve">Elle permet de suivre en temps réel la production d’ADN. La quantité d’ADN présent </w:t>
      </w:r>
      <w:proofErr w:type="spellStart"/>
      <w:r>
        <w:t>a</w:t>
      </w:r>
      <w:proofErr w:type="spellEnd"/>
      <w:r>
        <w:t xml:space="preserve"> chaque cycle.</w:t>
      </w:r>
    </w:p>
    <w:p>
      <w:r>
        <w:t xml:space="preserve">Premier cycle la fluorescence </w:t>
      </w:r>
      <w:proofErr w:type="spellStart"/>
      <w:r>
        <w:t>osciille</w:t>
      </w:r>
      <w:proofErr w:type="spellEnd"/>
      <w:r>
        <w:t>.</w:t>
      </w:r>
    </w:p>
    <w:p>
      <w:r>
        <w:t>Le principe est de suivre la quantité de produits grâce au niveau de fluorescence.</w:t>
      </w:r>
    </w:p>
    <w:p>
      <w:pPr>
        <w:rPr>
          <w:lang w:val="en-GB"/>
        </w:rPr>
      </w:pPr>
      <w:r>
        <w:rPr>
          <w:rFonts w:ascii="Helvetica" w:hAnsi="Helvetica"/>
          <w:color w:val="CEC4AC"/>
          <w:sz w:val="36"/>
          <w:szCs w:val="36"/>
          <w:shd w:val="clear" w:color="auto" w:fill="282828"/>
          <w:lang w:val="en-GB"/>
        </w:rPr>
        <w:t>The parameter CT (threshold cycle) is defined as the fractional cycle number at which the fluorescence passes the fixed threshold.</w:t>
      </w:r>
    </w:p>
    <w:p>
      <w:r>
        <w:t>Deux approches pour quantifier l’ADN sont possible :</w:t>
      </w:r>
    </w:p>
    <w:p>
      <w:pPr>
        <w:pStyle w:val="Paragraphedeliste"/>
        <w:numPr>
          <w:ilvl w:val="0"/>
          <w:numId w:val="26"/>
        </w:numPr>
      </w:pPr>
      <w:r>
        <w:t xml:space="preserve">Relative connaitre la quantité par rapport à un autre échantillon. Connaitre le niveau d’expression </w:t>
      </w:r>
      <w:proofErr w:type="spellStart"/>
      <w:r>
        <w:t>dun</w:t>
      </w:r>
      <w:proofErr w:type="spellEnd"/>
      <w:r>
        <w:t xml:space="preserve"> gène par exemple, d’un malade et d’un patient sain.</w:t>
      </w:r>
    </w:p>
    <w:p>
      <w:pPr>
        <w:pStyle w:val="Paragraphedeliste"/>
        <w:numPr>
          <w:ilvl w:val="0"/>
          <w:numId w:val="26"/>
        </w:numPr>
      </w:pPr>
      <w:r>
        <w:t xml:space="preserve">Absolu connaitre la quantité de façon absolue. Par exemple pour </w:t>
      </w:r>
      <w:proofErr w:type="gramStart"/>
      <w:r>
        <w:t>quantifié</w:t>
      </w:r>
      <w:proofErr w:type="gramEnd"/>
      <w:r>
        <w:t xml:space="preserve"> des protéines virales.</w:t>
      </w:r>
    </w:p>
    <w:p>
      <w:r>
        <w:t xml:space="preserve">Comme pour une PCR classique, </w:t>
      </w:r>
    </w:p>
    <w:p>
      <w:r>
        <w:t>Les paramètres qui agissent sur la température de fusion :</w:t>
      </w:r>
    </w:p>
    <w:tbl>
      <w:tblPr>
        <w:tblStyle w:val="Grilledetableauclaire"/>
        <w:tblW w:w="0" w:type="auto"/>
        <w:tblLook w:val="0420" w:firstRow="1" w:lastRow="0" w:firstColumn="0" w:lastColumn="0" w:noHBand="0" w:noVBand="1"/>
      </w:tblPr>
      <w:tblGrid>
        <w:gridCol w:w="2560"/>
        <w:gridCol w:w="3514"/>
        <w:gridCol w:w="1261"/>
      </w:tblGrid>
      <w:tr>
        <w:trPr>
          <w:cnfStyle w:val="100000000000" w:firstRow="1" w:lastRow="0" w:firstColumn="0" w:lastColumn="0" w:oddVBand="0" w:evenVBand="0" w:oddHBand="0" w:evenHBand="0" w:firstRowFirstColumn="0" w:firstRowLastColumn="0" w:lastRowFirstColumn="0" w:lastRowLastColumn="0"/>
        </w:trPr>
        <w:tc>
          <w:tcPr>
            <w:tcW w:w="0" w:type="auto"/>
            <w:hideMark/>
          </w:tcPr>
          <w:p>
            <w:pPr>
              <w:rPr>
                <w:lang w:eastAsia="fr-FR"/>
              </w:rPr>
            </w:pPr>
            <w:r>
              <w:rPr>
                <w:lang w:eastAsia="fr-FR"/>
              </w:rPr>
              <w:t>Paramètre</w:t>
            </w:r>
          </w:p>
        </w:tc>
        <w:tc>
          <w:tcPr>
            <w:tcW w:w="3514" w:type="dxa"/>
            <w:hideMark/>
          </w:tcPr>
          <w:p>
            <w:pPr>
              <w:rPr>
                <w:lang w:eastAsia="fr-FR"/>
              </w:rPr>
            </w:pPr>
            <w:r>
              <w:rPr>
                <w:lang w:eastAsia="fr-FR"/>
              </w:rPr>
              <w:t xml:space="preserve">Agit sur </w:t>
            </w:r>
          </w:p>
        </w:tc>
        <w:tc>
          <w:tcPr>
            <w:tcW w:w="1244" w:type="dxa"/>
            <w:hideMark/>
          </w:tcPr>
          <w:p>
            <w:pPr>
              <w:rPr>
                <w:b w:val="0"/>
                <w:lang w:eastAsia="fr-FR"/>
              </w:rPr>
            </w:pPr>
            <w:r>
              <w:rPr>
                <w:b w:val="0"/>
                <w:lang w:eastAsia="fr-FR"/>
              </w:rPr>
              <w:t>Si le paramètre augmente</w:t>
            </w:r>
          </w:p>
        </w:tc>
      </w:tr>
      <w:tr>
        <w:trPr>
          <w:trHeight w:val="70"/>
        </w:trPr>
        <w:tc>
          <w:tcPr>
            <w:tcW w:w="0" w:type="auto"/>
            <w:hideMark/>
          </w:tcPr>
          <w:p>
            <w:pPr>
              <w:rPr>
                <w:lang w:eastAsia="fr-FR"/>
              </w:rPr>
            </w:pPr>
            <w:r>
              <w:rPr>
                <w:lang w:eastAsia="fr-FR"/>
              </w:rPr>
              <w:t xml:space="preserve">le </w:t>
            </w:r>
            <w:proofErr w:type="spellStart"/>
            <w:r>
              <w:rPr>
                <w:lang w:eastAsia="fr-FR"/>
              </w:rPr>
              <w:t>coeff</w:t>
            </w:r>
            <w:proofErr w:type="spellEnd"/>
            <w:r>
              <w:rPr>
                <w:lang w:eastAsia="fr-FR"/>
              </w:rPr>
              <w:t xml:space="preserve"> de Chargaff %GC</w:t>
            </w:r>
          </w:p>
        </w:tc>
        <w:tc>
          <w:tcPr>
            <w:tcW w:w="3514" w:type="dxa"/>
            <w:hideMark/>
          </w:tcPr>
          <w:p>
            <w:pPr>
              <w:rPr>
                <w:lang w:eastAsia="fr-FR"/>
              </w:rPr>
            </w:pPr>
            <w:r>
              <w:rPr>
                <w:lang w:eastAsia="fr-FR"/>
              </w:rPr>
              <w:t>le nombre de liaisons hydrogène</w:t>
            </w:r>
          </w:p>
        </w:tc>
        <w:tc>
          <w:tcPr>
            <w:tcW w:w="1244" w:type="dxa"/>
            <w:hideMark/>
          </w:tcPr>
          <w:p>
            <w:pPr>
              <w:rPr>
                <w:lang w:eastAsia="fr-FR"/>
              </w:rPr>
            </w:pPr>
            <w:r>
              <w:rPr>
                <w:lang w:eastAsia="fr-FR"/>
              </w:rPr>
              <w:t>Stabilise</w:t>
            </w:r>
          </w:p>
        </w:tc>
      </w:tr>
      <w:tr>
        <w:trPr>
          <w:trHeight w:val="87"/>
        </w:trPr>
        <w:tc>
          <w:tcPr>
            <w:tcW w:w="0" w:type="auto"/>
            <w:hideMark/>
          </w:tcPr>
          <w:p>
            <w:pPr>
              <w:rPr>
                <w:lang w:eastAsia="fr-FR"/>
              </w:rPr>
            </w:pPr>
            <w:r>
              <w:rPr>
                <w:lang w:eastAsia="fr-FR"/>
              </w:rPr>
              <w:t>le pH qui ionise les phosphates</w:t>
            </w:r>
          </w:p>
        </w:tc>
        <w:tc>
          <w:tcPr>
            <w:tcW w:w="3514" w:type="dxa"/>
            <w:hideMark/>
          </w:tcPr>
          <w:p>
            <w:pPr>
              <w:rPr>
                <w:lang w:eastAsia="fr-FR"/>
              </w:rPr>
            </w:pPr>
            <w:r>
              <w:rPr>
                <w:lang w:eastAsia="fr-FR"/>
              </w:rPr>
              <w:t>la force de répulsion électrostatique (dénaturant)</w:t>
            </w:r>
          </w:p>
        </w:tc>
        <w:tc>
          <w:tcPr>
            <w:tcW w:w="1244" w:type="dxa"/>
            <w:hideMark/>
          </w:tcPr>
          <w:p>
            <w:pPr>
              <w:rPr>
                <w:lang w:eastAsia="fr-FR"/>
              </w:rPr>
            </w:pPr>
            <w:r>
              <w:rPr>
                <w:lang w:eastAsia="fr-FR"/>
              </w:rPr>
              <w:t>Dénature</w:t>
            </w:r>
          </w:p>
        </w:tc>
      </w:tr>
      <w:tr>
        <w:tc>
          <w:tcPr>
            <w:tcW w:w="0" w:type="auto"/>
            <w:hideMark/>
          </w:tcPr>
          <w:p>
            <w:pPr>
              <w:rPr>
                <w:lang w:eastAsia="fr-FR"/>
              </w:rPr>
            </w:pPr>
            <w:r>
              <w:rPr>
                <w:lang w:eastAsia="fr-FR"/>
              </w:rPr>
              <w:t>la concentration en cation, force ionique</w:t>
            </w:r>
          </w:p>
        </w:tc>
        <w:tc>
          <w:tcPr>
            <w:tcW w:w="3514" w:type="dxa"/>
            <w:hideMark/>
          </w:tcPr>
          <w:p>
            <w:pPr>
              <w:rPr>
                <w:lang w:eastAsia="fr-FR"/>
              </w:rPr>
            </w:pPr>
            <w:r>
              <w:rPr>
                <w:lang w:eastAsia="fr-FR"/>
              </w:rPr>
              <w:t>neutralise les charges</w:t>
            </w:r>
          </w:p>
        </w:tc>
        <w:tc>
          <w:tcPr>
            <w:tcW w:w="1244" w:type="dxa"/>
            <w:hideMark/>
          </w:tcPr>
          <w:p>
            <w:pPr>
              <w:rPr>
                <w:lang w:eastAsia="fr-FR"/>
              </w:rPr>
            </w:pPr>
            <w:r>
              <w:rPr>
                <w:lang w:eastAsia="fr-FR"/>
              </w:rPr>
              <w:t>Stabilise</w:t>
            </w:r>
          </w:p>
        </w:tc>
      </w:tr>
      <w:tr>
        <w:tc>
          <w:tcPr>
            <w:tcW w:w="0" w:type="auto"/>
            <w:hideMark/>
          </w:tcPr>
          <w:p>
            <w:pPr>
              <w:rPr>
                <w:lang w:eastAsia="fr-FR"/>
              </w:rPr>
            </w:pPr>
            <w:r>
              <w:rPr>
                <w:lang w:eastAsia="fr-FR"/>
              </w:rPr>
              <w:t xml:space="preserve">L’urée, </w:t>
            </w:r>
            <w:proofErr w:type="spellStart"/>
            <w:r>
              <w:rPr>
                <w:lang w:eastAsia="fr-FR"/>
              </w:rPr>
              <w:t>formamide</w:t>
            </w:r>
            <w:proofErr w:type="spellEnd"/>
          </w:p>
        </w:tc>
        <w:tc>
          <w:tcPr>
            <w:tcW w:w="3514" w:type="dxa"/>
            <w:hideMark/>
          </w:tcPr>
          <w:p>
            <w:pPr>
              <w:rPr>
                <w:lang w:eastAsia="fr-FR"/>
              </w:rPr>
            </w:pPr>
            <w:r>
              <w:rPr>
                <w:lang w:eastAsia="fr-FR"/>
              </w:rPr>
              <w:t>compétiteur des liaisons hydrogène entre bases</w:t>
            </w:r>
          </w:p>
        </w:tc>
        <w:tc>
          <w:tcPr>
            <w:tcW w:w="1244" w:type="dxa"/>
            <w:hideMark/>
          </w:tcPr>
          <w:p>
            <w:pPr>
              <w:rPr>
                <w:lang w:eastAsia="fr-FR"/>
              </w:rPr>
            </w:pPr>
            <w:r>
              <w:rPr>
                <w:lang w:eastAsia="fr-FR"/>
              </w:rPr>
              <w:t>Dénature</w:t>
            </w:r>
          </w:p>
        </w:tc>
      </w:tr>
      <w:tr>
        <w:tc>
          <w:tcPr>
            <w:tcW w:w="0" w:type="auto"/>
            <w:hideMark/>
          </w:tcPr>
          <w:p>
            <w:pPr>
              <w:rPr>
                <w:lang w:eastAsia="fr-FR"/>
              </w:rPr>
            </w:pPr>
            <w:r>
              <w:rPr>
                <w:lang w:eastAsia="fr-FR"/>
              </w:rPr>
              <w:t>la concentration en ADN, Activité de l'eau</w:t>
            </w:r>
          </w:p>
        </w:tc>
        <w:tc>
          <w:tcPr>
            <w:tcW w:w="3514" w:type="dxa"/>
            <w:hideMark/>
          </w:tcPr>
          <w:p>
            <w:pPr>
              <w:rPr>
                <w:lang w:eastAsia="fr-FR"/>
              </w:rPr>
            </w:pPr>
            <w:r>
              <w:rPr>
                <w:lang w:eastAsia="fr-FR"/>
              </w:rPr>
              <w:t>affecte la constante diélectrique</w:t>
            </w:r>
          </w:p>
        </w:tc>
        <w:tc>
          <w:tcPr>
            <w:tcW w:w="1244" w:type="dxa"/>
            <w:hideMark/>
          </w:tcPr>
          <w:p>
            <w:pPr>
              <w:rPr>
                <w:lang w:eastAsia="fr-FR"/>
              </w:rPr>
            </w:pPr>
            <w:r>
              <w:rPr>
                <w:lang w:eastAsia="fr-FR"/>
              </w:rPr>
              <w:t>Stabilise</w:t>
            </w:r>
          </w:p>
        </w:tc>
      </w:tr>
      <w:tr>
        <w:tc>
          <w:tcPr>
            <w:tcW w:w="0" w:type="auto"/>
            <w:hideMark/>
          </w:tcPr>
          <w:p>
            <w:pPr>
              <w:rPr>
                <w:lang w:eastAsia="fr-FR"/>
              </w:rPr>
            </w:pPr>
            <w:r>
              <w:rPr>
                <w:lang w:eastAsia="fr-FR"/>
              </w:rPr>
              <w:t>la longueur de la molécule d'ADN</w:t>
            </w:r>
          </w:p>
        </w:tc>
        <w:tc>
          <w:tcPr>
            <w:tcW w:w="3514" w:type="dxa"/>
            <w:hideMark/>
          </w:tcPr>
          <w:p>
            <w:pPr>
              <w:rPr>
                <w:lang w:eastAsia="fr-FR"/>
              </w:rPr>
            </w:pPr>
            <w:r>
              <w:rPr>
                <w:lang w:eastAsia="fr-FR"/>
              </w:rPr>
              <w:t>le nombre de zones riches en GC</w:t>
            </w:r>
          </w:p>
        </w:tc>
        <w:tc>
          <w:tcPr>
            <w:tcW w:w="1244" w:type="dxa"/>
            <w:hideMark/>
          </w:tcPr>
          <w:p>
            <w:pPr>
              <w:rPr>
                <w:lang w:eastAsia="fr-FR"/>
              </w:rPr>
            </w:pPr>
            <w:r>
              <w:rPr>
                <w:lang w:eastAsia="fr-FR"/>
              </w:rPr>
              <w:t>Stabilise</w:t>
            </w:r>
          </w:p>
        </w:tc>
      </w:tr>
    </w:tbl>
    <w:p>
      <w:pPr>
        <w:pStyle w:val="Titre2"/>
      </w:pPr>
      <w:r>
        <w:t>Révéler les fragments d’ADN présent</w:t>
      </w:r>
    </w:p>
    <w:p>
      <w:r>
        <w:t>Révéler les fragments présent :</w:t>
      </w:r>
    </w:p>
    <w:p/>
    <w:p>
      <w:r>
        <w:t>Indirecte seul Directe</w:t>
      </w:r>
      <w:r>
        <w:tab/>
      </w:r>
    </w:p>
    <w:p>
      <w:r>
        <w:t xml:space="preserve">Non spécifique consiste à utiliser des agents intercalants. tout est </w:t>
      </w:r>
      <w:proofErr w:type="spellStart"/>
      <w:r>
        <w:t>quantitfié</w:t>
      </w:r>
      <w:proofErr w:type="spellEnd"/>
    </w:p>
    <w:p>
      <w:r>
        <w:t>Spécifique un séquence spécifique est quantifié</w:t>
      </w:r>
    </w:p>
    <w:p>
      <w:pPr>
        <w:pStyle w:val="Titre2"/>
      </w:pPr>
      <w:r>
        <w:t>Les types de sondes</w:t>
      </w:r>
    </w:p>
    <w:p>
      <w:r>
        <w:t xml:space="preserve">Sondes spécifiques </w:t>
      </w:r>
    </w:p>
    <w:p>
      <w:pPr>
        <w:pStyle w:val="Paragraphedeliste"/>
        <w:numPr>
          <w:ilvl w:val="0"/>
          <w:numId w:val="24"/>
        </w:numPr>
      </w:pPr>
      <w:proofErr w:type="spellStart"/>
      <w:r>
        <w:t>Taqman</w:t>
      </w:r>
      <w:proofErr w:type="spellEnd"/>
      <w:r>
        <w:t xml:space="preserve"> La fluorescence inhibé par sa liaison avec la sonde. Lorsque la sonde est appareillée. La polymérase dégrade l’extrémité 5 ‘-3’ et libère le fluorochrome qui devient actif.</w:t>
      </w:r>
    </w:p>
    <w:p>
      <w:pPr>
        <w:pStyle w:val="Paragraphedeliste"/>
        <w:numPr>
          <w:ilvl w:val="0"/>
          <w:numId w:val="24"/>
        </w:numPr>
      </w:pPr>
      <w:r>
        <w:t>FRET Deux sondes qui lorsqu’elles sont adjacentes. Elles deviennent fluorescentes. Il y a deux fluorochromes. Le premier émet un photon capté par le seconde. Les spectre d’absorption et d’émission doivent se recouper.</w:t>
      </w:r>
    </w:p>
    <w:p>
      <w:pPr>
        <w:pStyle w:val="Paragraphedeliste"/>
        <w:numPr>
          <w:ilvl w:val="0"/>
          <w:numId w:val="24"/>
        </w:numPr>
      </w:pPr>
      <w:r>
        <w:t>Balise moléculaire. Fluorophore inhibé et lié à l’ADN.</w:t>
      </w:r>
    </w:p>
    <w:p>
      <w:r>
        <w:t>Avantages et inconvénients de chaque méthodes :</w:t>
      </w:r>
    </w:p>
    <w:p>
      <w:pPr>
        <w:pStyle w:val="Titre2"/>
      </w:pPr>
      <w:r>
        <w:lastRenderedPageBreak/>
        <w:t>Méthode de quantification</w:t>
      </w:r>
    </w:p>
    <w:p>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c</m:t>
              </m:r>
            </m:sup>
          </m:sSup>
        </m:oMath>
      </m:oMathPara>
    </w:p>
    <w:p>
      <w:r>
        <w:t xml:space="preserve">Valeur seuil de fluorescence correspond </w:t>
      </w:r>
    </w:p>
    <w:p>
      <w:pPr>
        <w:rPr>
          <w:rFonts w:eastAsiaTheme="minorEastAsia"/>
        </w:rPr>
      </w:pPr>
      <m:oMathPara>
        <m:oMath>
          <m:r>
            <w:rPr>
              <w:rFonts w:ascii="Cambria Math" w:hAnsi="Cambria Math"/>
            </w:rPr>
            <m:t>E+1</m:t>
          </m:r>
        </m:oMath>
      </m:oMathPara>
    </w:p>
    <w:p>
      <w:pPr>
        <w:rPr>
          <w:rFonts w:eastAsiaTheme="minorEastAsia"/>
        </w:rPr>
      </w:pPr>
      <w:r>
        <w:rPr>
          <w:rFonts w:eastAsiaTheme="minorEastAsia"/>
        </w:rPr>
        <w:t xml:space="preserve">Avec </w:t>
      </w:r>
      <m:oMath>
        <m:r>
          <w:rPr>
            <w:rFonts w:ascii="Cambria Math" w:hAnsi="Cambria Math"/>
          </w:rPr>
          <m:t>E</m:t>
        </m:r>
      </m:oMath>
      <w:r>
        <w:rPr>
          <w:rFonts w:eastAsiaTheme="minorEastAsia"/>
        </w:rPr>
        <w:t xml:space="preserve"> l’efficacité.</w:t>
      </w:r>
    </w:p>
    <w:p>
      <w:pPr>
        <w:rPr>
          <w:rFonts w:eastAsiaTheme="minorEastAsia"/>
        </w:rPr>
      </w:pPr>
      <w:r>
        <w:rPr>
          <w:rFonts w:eastAsiaTheme="minorEastAsia"/>
        </w:rPr>
        <w:t xml:space="preserve">Rmq : L’efficacité de 100 correspond </w:t>
      </w:r>
      <w:proofErr w:type="gramStart"/>
      <w:r>
        <w:rPr>
          <w:rFonts w:eastAsiaTheme="minorEastAsia"/>
        </w:rPr>
        <w:t>à le</w:t>
      </w:r>
      <w:proofErr w:type="gramEnd"/>
      <w:r>
        <w:rPr>
          <w:rFonts w:eastAsiaTheme="minorEastAsia"/>
        </w:rPr>
        <w:t xml:space="preserve"> coefficient est de 2.</w:t>
      </w:r>
    </w:p>
    <w:p>
      <w:pPr>
        <w:rPr>
          <w:rFonts w:eastAsiaTheme="minorEastAsia"/>
        </w:rPr>
      </w:pPr>
      <w:r>
        <w:rPr>
          <w:rFonts w:eastAsiaTheme="minorEastAsia"/>
        </w:rPr>
        <w:t xml:space="preserve">En passant par log, on démontre que : </w:t>
      </w:r>
    </w:p>
    <w:p>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E+1</m:t>
                      </m:r>
                    </m:e>
                  </m:d>
                </m:e>
              </m:func>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0</m:t>
                      </m:r>
                    </m:sub>
                  </m:sSub>
                </m:e>
              </m:d>
            </m:e>
          </m:func>
          <m:r>
            <m:rPr>
              <m:sty m:val="p"/>
            </m:rPr>
            <w:rPr>
              <w:rFonts w:ascii="Cambria Math" w:hAnsi="Cambria Math"/>
            </w:rPr>
            <m:t>+</m:t>
          </m:r>
          <m:f>
            <m:fPr>
              <m:ctrlPr>
                <w:rPr>
                  <w:rFonts w:ascii="Cambria Math" w:hAnsi="Cambria Math"/>
                </w:rPr>
              </m:ctrlPr>
            </m:fPr>
            <m:num>
              <m:r>
                <m:rPr>
                  <m:sty m:val="p"/>
                </m:rP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seuil</m:t>
                  </m:r>
                </m:sub>
              </m:sSub>
              <m:r>
                <w:rPr>
                  <w:rFonts w:ascii="Cambria Math" w:hAnsi="Cambria Math"/>
                </w:rPr>
                <m:t>)</m:t>
              </m:r>
            </m:num>
            <m:den>
              <m:r>
                <m:rPr>
                  <m:sty m:val="p"/>
                </m:rPr>
                <w:rPr>
                  <w:rFonts w:ascii="Cambria Math" w:hAnsi="Cambria Math"/>
                </w:rPr>
                <m:t>log⁡</m:t>
              </m:r>
              <m:r>
                <w:rPr>
                  <w:rFonts w:ascii="Cambria Math" w:hAnsi="Cambria Math"/>
                </w:rPr>
                <m:t>(E)</m:t>
              </m:r>
            </m:den>
          </m:f>
        </m:oMath>
      </m:oMathPara>
    </w:p>
    <w:p>
      <w:pPr>
        <w:rPr>
          <w:rFonts w:eastAsiaTheme="minorEastAsia"/>
        </w:rPr>
      </w:pPr>
      <w:r>
        <w:rPr>
          <w:rFonts w:eastAsiaTheme="minorEastAsia"/>
        </w:rPr>
        <w:tab/>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pente</m:t>
                </m:r>
              </m:den>
            </m:f>
          </m:sup>
        </m:sSup>
        <m:r>
          <w:rPr>
            <w:rFonts w:ascii="Cambria Math" w:eastAsiaTheme="minorEastAsia" w:hAnsi="Cambria Math"/>
          </w:rPr>
          <m:t>-1</m:t>
        </m:r>
      </m:oMath>
    </w:p>
    <w:p>
      <w:pPr>
        <w:rPr>
          <w:rFonts w:eastAsiaTheme="minorEastAsia"/>
        </w:rPr>
      </w:pPr>
      <w:r>
        <w:rPr>
          <w:rFonts w:eastAsiaTheme="minorEastAsia"/>
        </w:rPr>
        <w:t>Relative ratio entre plusieurs gènes calibreurs.</w:t>
      </w:r>
    </w:p>
    <w:p>
      <w:pPr>
        <w:rPr>
          <w:rFonts w:eastAsiaTheme="minorEastAsia"/>
        </w:rPr>
      </w:pPr>
    </w:p>
    <w:p>
      <w:pPr>
        <w:rPr>
          <w:rFonts w:eastAsiaTheme="minorEastAsia"/>
        </w:rPr>
      </w:pPr>
      <w:r>
        <w:rPr>
          <w:rFonts w:eastAsiaTheme="minorEastAsia"/>
        </w:rPr>
        <w:t>Absence de variation de l’expression des gènes calibreurs</w:t>
      </w:r>
    </w:p>
    <w:p>
      <w:pPr>
        <w:rPr>
          <w:rFonts w:eastAsiaTheme="minorEastAsia"/>
        </w:rPr>
      </w:pPr>
      <w:r>
        <w:rPr>
          <w:rFonts w:eastAsiaTheme="minorEastAsia"/>
        </w:rPr>
        <w:t>Si l’efficacité du gène calibreur est différente de celle du gènes d’intérêt.</w:t>
      </w:r>
    </w:p>
    <w:p>
      <w:pPr>
        <w:rPr>
          <w:rFonts w:eastAsiaTheme="minorEastAsia"/>
        </w:rPr>
      </w:pPr>
      <w:r>
        <w:rPr>
          <w:rFonts w:eastAsiaTheme="minorEastAsia"/>
        </w:rPr>
        <w:t xml:space="preserve">Comme l’efficacité réactionnelle change en fonction des gènes étudiés. Il faut réaliser une gamme de gènes (au moins 3). </w:t>
      </w:r>
      <w:proofErr w:type="gramStart"/>
      <w:r>
        <w:rPr>
          <w:rFonts w:eastAsiaTheme="minorEastAsia"/>
        </w:rPr>
        <w:t>Il permettront</w:t>
      </w:r>
      <w:proofErr w:type="gramEnd"/>
      <w:r>
        <w:rPr>
          <w:rFonts w:eastAsiaTheme="minorEastAsia"/>
        </w:rPr>
        <w:t xml:space="preserve"> de modéliser en fonction de l’efficacité. </w:t>
      </w:r>
    </w:p>
    <w:p>
      <w:pPr>
        <w:rPr>
          <w:rFonts w:eastAsiaTheme="minorEastAsia"/>
        </w:rPr>
      </w:pPr>
      <w:r>
        <w:rPr>
          <w:rFonts w:eastAsiaTheme="minorEastAsia"/>
        </w:rPr>
        <w:t>Il faut au moins 2 gènes calibreurs. Ces gènes doivent avoir le même ratio pour chaque échantillon.</w:t>
      </w:r>
    </w:p>
    <w:p>
      <w:pPr>
        <w:rPr>
          <w:rFonts w:eastAsiaTheme="minorEastAsia"/>
        </w:rPr>
      </w:pPr>
      <w:proofErr w:type="spellStart"/>
      <w:r>
        <w:rPr>
          <w:rFonts w:eastAsiaTheme="minorEastAsia"/>
        </w:rPr>
        <w:t>Géne</w:t>
      </w:r>
      <w:proofErr w:type="spellEnd"/>
      <w:r>
        <w:rPr>
          <w:rFonts w:eastAsiaTheme="minorEastAsia"/>
        </w:rPr>
        <w:t xml:space="preserve"> calibreur :</w:t>
      </w:r>
    </w:p>
    <w:p>
      <w:pPr>
        <w:rPr>
          <w:rFonts w:eastAsiaTheme="minorEastAsia"/>
        </w:rPr>
      </w:pPr>
      <w:r>
        <w:rPr>
          <w:rFonts w:eastAsiaTheme="minorEastAsia"/>
        </w:rPr>
        <w:t xml:space="preserve">Pseudogène </w:t>
      </w:r>
      <w:proofErr w:type="spellStart"/>
      <w:r>
        <w:rPr>
          <w:rFonts w:eastAsiaTheme="minorEastAsia"/>
        </w:rPr>
        <w:t>géne</w:t>
      </w:r>
      <w:proofErr w:type="spellEnd"/>
      <w:r>
        <w:rPr>
          <w:rFonts w:eastAsiaTheme="minorEastAsia"/>
        </w:rPr>
        <w:t xml:space="preserve"> inactif.</w:t>
      </w:r>
    </w:p>
    <w:p>
      <w:pPr>
        <w:rPr>
          <w:rFonts w:eastAsiaTheme="minorEastAsia"/>
        </w:rPr>
      </w:pPr>
      <w:r>
        <w:rPr>
          <w:rFonts w:eastAsiaTheme="minorEastAsia"/>
        </w:rPr>
        <w:t>J’ai l’impression que l’on suit deux gènes. (échantillon différents).</w:t>
      </w:r>
    </w:p>
    <w:p>
      <w:pPr>
        <w:rPr>
          <w:rFonts w:eastAsiaTheme="minorEastAsia"/>
        </w:rPr>
      </w:pPr>
      <w:proofErr w:type="spellStart"/>
      <w:r>
        <w:rPr>
          <w:rFonts w:eastAsiaTheme="minorEastAsia"/>
        </w:rPr>
        <w:t>Triplica</w:t>
      </w:r>
      <w:proofErr w:type="spellEnd"/>
      <w:r>
        <w:rPr>
          <w:rFonts w:eastAsiaTheme="minorEastAsia"/>
        </w:rPr>
        <w:t xml:space="preserve"> pour 1 calibreur, 1 gène de </w:t>
      </w:r>
    </w:p>
    <w:p>
      <w:pPr>
        <w:rPr>
          <w:rFonts w:eastAsiaTheme="minorEastAsia"/>
        </w:rPr>
      </w:pPr>
      <w:r>
        <w:rPr>
          <w:rFonts w:eastAsiaTheme="minorEastAsia"/>
        </w:rPr>
        <w:t xml:space="preserve">Il existe des </w:t>
      </w:r>
      <w:proofErr w:type="spellStart"/>
      <w:r>
        <w:rPr>
          <w:rFonts w:eastAsiaTheme="minorEastAsia"/>
        </w:rPr>
        <w:t>catégoriesLes</w:t>
      </w:r>
      <w:proofErr w:type="spellEnd"/>
      <w:r>
        <w:rPr>
          <w:rFonts w:eastAsiaTheme="minorEastAsia"/>
        </w:rPr>
        <w:t xml:space="preserve">   gènes domestiques ont été catégorisé en niveau d’expression.</w:t>
      </w:r>
    </w:p>
    <w:p>
      <w:pPr>
        <w:rPr>
          <w:rFonts w:eastAsiaTheme="minorEastAsia"/>
        </w:rPr>
      </w:pPr>
      <w:r>
        <w:rPr>
          <w:rFonts w:eastAsiaTheme="minorEastAsia"/>
        </w:rPr>
        <w:t>Pas de variation d’expression en fonction des conditions expérimentales</w:t>
      </w:r>
    </w:p>
    <w:p>
      <w:r>
        <w:t>2 approches pour calculer les paramètres :</w:t>
      </w:r>
    </w:p>
    <w:p>
      <w:pPr>
        <w:pStyle w:val="Paragraphedeliste"/>
        <w:numPr>
          <w:ilvl w:val="0"/>
          <w:numId w:val="29"/>
        </w:numPr>
      </w:pPr>
      <w:r>
        <w:rPr>
          <w:lang w:val="en-GB"/>
        </w:rPr>
        <w:t>Standard curve method</w:t>
      </w:r>
    </w:p>
    <w:p>
      <w:pPr>
        <w:pStyle w:val="Paragraphedeliste"/>
        <w:numPr>
          <w:ilvl w:val="0"/>
          <w:numId w:val="29"/>
        </w:numPr>
      </w:pPr>
      <w:r>
        <w:rPr>
          <w:lang w:val="en-GB"/>
        </w:rPr>
        <w:t>Comparative CT method</w:t>
      </w:r>
    </w:p>
    <w:p>
      <w:pPr>
        <w:pStyle w:val="Titre2"/>
        <w:rPr>
          <w:lang w:val="en-GB"/>
        </w:rPr>
      </w:pPr>
      <w:r>
        <w:rPr>
          <w:lang w:val="en-GB"/>
        </w:rPr>
        <w:t>Standard curve method</w:t>
      </w:r>
    </w:p>
    <w:p>
      <w:r>
        <w:t xml:space="preserve">Trois échantillons pour chaque </w:t>
      </w:r>
    </w:p>
    <w:p>
      <w:pPr>
        <w:pStyle w:val="Paragraphedeliste"/>
        <w:numPr>
          <w:ilvl w:val="0"/>
          <w:numId w:val="29"/>
        </w:numPr>
      </w:pPr>
    </w:p>
    <w:p>
      <w:r>
        <w:t>Critical Guidelines</w:t>
      </w:r>
    </w:p>
    <w:p>
      <w:r>
        <w:t xml:space="preserve">Contrôle endogène gène de contrôle qui n’a pas de différence d’expression entre les différents échantillons. </w:t>
      </w:r>
      <w:proofErr w:type="spellStart"/>
      <w:r>
        <w:t>Concrétement</w:t>
      </w:r>
      <w:proofErr w:type="spellEnd"/>
      <w:r>
        <w:t xml:space="preserve">, on choisit généralement un </w:t>
      </w:r>
      <w:proofErr w:type="spellStart"/>
      <w:r>
        <w:t>gene</w:t>
      </w:r>
      <w:proofErr w:type="spellEnd"/>
      <w:r>
        <w:t xml:space="preserve"> qui s’exprime de façon identique dans chaque cellule comme ceux qui codent pour </w:t>
      </w:r>
      <w:proofErr w:type="gramStart"/>
      <w:r>
        <w:t>l’actine,…</w:t>
      </w:r>
      <w:proofErr w:type="gramEnd"/>
      <w:r>
        <w:t xml:space="preserve"> (ce type de gène est appelé </w:t>
      </w:r>
      <w:proofErr w:type="spellStart"/>
      <w:r>
        <w:t>housekeeping</w:t>
      </w:r>
      <w:proofErr w:type="spellEnd"/>
      <w:r>
        <w:t>).</w:t>
      </w:r>
    </w:p>
    <w:p>
      <w:pPr>
        <w:rPr>
          <w:lang w:val="en-GB"/>
        </w:rPr>
      </w:pPr>
      <w:r>
        <w:t xml:space="preserve">Calibreur est l’échantillon qui est comparé et sert de référence aux autres échantillons. </w:t>
      </w:r>
      <w:r>
        <w:rPr>
          <w:lang w:val="en-GB"/>
        </w:rPr>
        <w:t xml:space="preserve">Sa </w:t>
      </w:r>
      <w:proofErr w:type="spellStart"/>
      <w:r>
        <w:rPr>
          <w:lang w:val="en-GB"/>
        </w:rPr>
        <w:t>valeur</w:t>
      </w:r>
      <w:proofErr w:type="spellEnd"/>
      <w:r>
        <w:rPr>
          <w:lang w:val="en-GB"/>
        </w:rPr>
        <w:t xml:space="preserve"> 1</w:t>
      </w:r>
    </w:p>
    <w:p>
      <w:r>
        <w:t xml:space="preserve">Le </w:t>
      </w:r>
      <w:proofErr w:type="spellStart"/>
      <w:r>
        <w:t>gene</w:t>
      </w:r>
      <w:proofErr w:type="spellEnd"/>
      <w:r>
        <w:t xml:space="preserve"> de </w:t>
      </w:r>
      <w:proofErr w:type="spellStart"/>
      <w:r>
        <w:t>reference</w:t>
      </w:r>
      <w:proofErr w:type="spellEnd"/>
      <w:r>
        <w:t xml:space="preserve"> doit avoir un Cp </w:t>
      </w:r>
      <w:proofErr w:type="spellStart"/>
      <w:r>
        <w:t>simillaire</w:t>
      </w:r>
      <w:proofErr w:type="spellEnd"/>
      <w:r>
        <w:t xml:space="preserve"> pour chaque </w:t>
      </w:r>
      <w:proofErr w:type="gramStart"/>
      <w:r>
        <w:t>échantillon.(</w:t>
      </w:r>
      <w:proofErr w:type="gramEnd"/>
      <w:r>
        <w:t>expression constante).</w:t>
      </w:r>
    </w:p>
    <w:p>
      <w:r>
        <w:t>Rmq : un Ct grand indique que le gène est faiblement exprimé.</w:t>
      </w:r>
      <w:r>
        <w:tab/>
      </w:r>
    </w:p>
    <w:p>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m:t>
          </m:r>
        </m:oMath>
      </m:oMathPara>
    </w:p>
    <w:p>
      <w:pPr>
        <w:rPr>
          <w:lang w:val="en-GB"/>
        </w:rPr>
      </w:pPr>
      <w:r>
        <w:rPr>
          <w:lang w:val="en-GB"/>
        </w:rPr>
        <w:t>The guidelines below are critical for proper use of the standard curve method for absolute quantitation:</w:t>
      </w:r>
    </w:p>
    <w:p>
      <w:pPr>
        <w:rPr>
          <w:lang w:val="en-GB"/>
        </w:rPr>
      </w:pPr>
    </w:p>
    <w:p>
      <w:pPr>
        <w:rPr>
          <w:lang w:val="en-GB"/>
        </w:rPr>
      </w:pPr>
      <w:r>
        <w:rPr>
          <w:lang w:val="en-GB"/>
        </w:rPr>
        <w:lastRenderedPageBreak/>
        <w:t>It is important that the DNA or RNA be a single, pure species. For example, plasmid DNA prepared from E. coli often is contaminated with RNA, which increases the A260 measurement and inflates the copy number determined for the plasmid.</w:t>
      </w:r>
    </w:p>
    <w:p>
      <w:pPr>
        <w:rPr>
          <w:lang w:val="en-GB"/>
        </w:rPr>
      </w:pPr>
      <w:r>
        <w:rPr>
          <w:lang w:val="en-GB"/>
        </w:rPr>
        <w:t>Accurate pipetting is required because the standards must be diluted over several orders of magnitude. Plasmid DNA or in vitro transcribed RNA must be concentrated in order to measure an accurate A260 value. This concentrated DNA or RNA must then be diluted 106–1012 -fold to be at a concentration similar to the target in biological samples.</w:t>
      </w:r>
    </w:p>
    <w:p>
      <w:pPr>
        <w:rPr>
          <w:lang w:val="en-GB"/>
        </w:rPr>
      </w:pPr>
      <w:r>
        <w:rPr>
          <w:lang w:val="en-GB"/>
        </w:rPr>
        <w:t>The stability of the diluted standards must be considered, especially for RNA. Divide diluted standards into small aliquots, store at –80 °C, and thaw only once before use.</w:t>
      </w:r>
    </w:p>
    <w:p>
      <w:pPr>
        <w:rPr>
          <w:lang w:val="en-GB"/>
        </w:rPr>
      </w:pPr>
      <w:r>
        <w:rPr>
          <w:lang w:val="en-GB"/>
        </w:rPr>
        <w:t xml:space="preserve"> It is generally not possible to use DNA as a standard for absolute quantitation of RNA because there is no control for the efficiency of the reverse transcription step.</w:t>
      </w:r>
    </w:p>
    <w:p>
      <w:pPr>
        <w:pStyle w:val="Titre1"/>
      </w:pPr>
      <w:proofErr w:type="spellStart"/>
      <w:r>
        <w:t>ddPCR</w:t>
      </w:r>
      <w:proofErr w:type="spellEnd"/>
    </w:p>
    <w:p>
      <w:proofErr w:type="spellStart"/>
      <w:r>
        <w:t>goutelette</w:t>
      </w:r>
      <w:proofErr w:type="spellEnd"/>
      <w:r>
        <w:t xml:space="preserve"> de 1nL sur la loi de Poisson.</w:t>
      </w:r>
    </w:p>
    <w:p>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-D×1000</m:t>
              </m:r>
            </m:num>
            <m:den>
              <m:sSub>
                <m:sSubPr>
                  <m:ctrlPr>
                    <w:rPr>
                      <w:rFonts w:ascii="Cambria Math" w:hAnsi="Cambria Math"/>
                      <w:i/>
                    </w:rPr>
                  </m:ctrlPr>
                </m:sSubPr>
                <m:e>
                  <m:r>
                    <w:rPr>
                      <w:rFonts w:ascii="Cambria Math" w:hAnsi="Cambria Math"/>
                    </w:rPr>
                    <m:t>V</m:t>
                  </m:r>
                </m:e>
                <m:sub>
                  <m:r>
                    <w:rPr>
                      <w:rFonts w:ascii="Cambria Math" w:hAnsi="Cambria Math"/>
                    </w:rPr>
                    <m:t>d</m:t>
                  </m:r>
                </m:sub>
              </m:sSub>
            </m:den>
          </m:f>
          <m:r>
            <m:rPr>
              <m:sty m:val="p"/>
            </m:rPr>
            <w:rPr>
              <w:rFonts w:ascii="Cambria Math" w:hAnsi="Cambria Math"/>
            </w:rPr>
            <m:t>ln⁡</m:t>
          </m:r>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R</m:t>
              </m:r>
            </m:den>
          </m:f>
          <m:r>
            <w:rPr>
              <w:rFonts w:ascii="Cambria Math" w:eastAsiaTheme="minorEastAsia" w:hAnsi="Cambria Math"/>
            </w:rPr>
            <m:t>)</m:t>
          </m:r>
        </m:oMath>
      </m:oMathPara>
    </w:p>
    <w:p>
      <w:pPr>
        <w:rPr>
          <w:rFonts w:eastAsiaTheme="minorEastAsia"/>
        </w:rPr>
      </w:pPr>
      <w:r>
        <w:rPr>
          <w:rFonts w:eastAsiaTheme="minorEastAsia"/>
        </w:rPr>
        <w:t>Avec :</w:t>
      </w:r>
    </w:p>
    <w:p>
      <w:pPr>
        <w:pStyle w:val="Paragraphedeliste"/>
        <w:numPr>
          <w:ilvl w:val="0"/>
          <w:numId w:val="27"/>
        </w:numPr>
        <w:rPr>
          <w:rFonts w:eastAsiaTheme="minorEastAsia"/>
        </w:rPr>
      </w:pPr>
      <m:oMath>
        <m:r>
          <w:rPr>
            <w:rFonts w:ascii="Cambria Math" w:hAnsi="Cambria Math"/>
          </w:rPr>
          <m:t>T</m:t>
        </m:r>
      </m:oMath>
      <w:r>
        <w:rPr>
          <w:rFonts w:eastAsiaTheme="minorEastAsia"/>
        </w:rPr>
        <w:t xml:space="preserve"> concentration absolue copies par </w:t>
      </w:r>
      <w:proofErr w:type="spellStart"/>
      <w:r>
        <w:rPr>
          <w:rFonts w:eastAsiaTheme="minorEastAsia"/>
        </w:rPr>
        <w:t>nL</w:t>
      </w:r>
      <w:proofErr w:type="spellEnd"/>
      <w:r>
        <w:rPr>
          <w:rFonts w:eastAsiaTheme="minorEastAsia"/>
        </w:rPr>
        <w:t>.</w:t>
      </w:r>
    </w:p>
    <w:p>
      <w:pPr>
        <w:pStyle w:val="Paragraphedeliste"/>
        <w:numPr>
          <w:ilvl w:val="0"/>
          <w:numId w:val="27"/>
        </w:numPr>
        <w:rPr>
          <w:rFonts w:eastAsiaTheme="minorEastAsia"/>
        </w:rPr>
      </w:pPr>
      <m:oMath>
        <m:r>
          <w:rPr>
            <w:rFonts w:ascii="Cambria Math" w:hAnsi="Cambria Math"/>
          </w:rPr>
          <m:t>D</m:t>
        </m:r>
      </m:oMath>
      <w:r>
        <w:rPr>
          <w:rFonts w:eastAsiaTheme="minorEastAsia"/>
        </w:rPr>
        <w:t xml:space="preserve"> facteur de dilution.</w:t>
      </w:r>
    </w:p>
    <w:p>
      <w:pPr>
        <w:pStyle w:val="Paragraphedeliste"/>
        <w:numPr>
          <w:ilvl w:val="0"/>
          <w:numId w:val="27"/>
        </w:num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d</m:t>
            </m:r>
          </m:sub>
        </m:sSub>
      </m:oMath>
      <w:r>
        <w:rPr>
          <w:rFonts w:eastAsiaTheme="minorEastAsia"/>
        </w:rPr>
        <w:t>volume moyen des gouttelettes</w:t>
      </w:r>
    </w:p>
    <w:p>
      <w:pPr>
        <w:pStyle w:val="Paragraphedeliste"/>
        <w:numPr>
          <w:ilvl w:val="0"/>
          <w:numId w:val="27"/>
        </w:numPr>
        <w:rPr>
          <w:rFonts w:eastAsiaTheme="minorEastAsia"/>
        </w:rPr>
      </w:pPr>
      <w:r>
        <w:rPr>
          <w:rFonts w:eastAsiaTheme="minorEastAsia"/>
        </w:rPr>
        <w:t>P nombre de gouttelettes positives.</w:t>
      </w:r>
    </w:p>
    <w:p>
      <w:pPr>
        <w:pStyle w:val="Paragraphedeliste"/>
        <w:numPr>
          <w:ilvl w:val="0"/>
          <w:numId w:val="27"/>
        </w:numPr>
        <w:rPr>
          <w:rFonts w:eastAsiaTheme="minorEastAsia"/>
        </w:rPr>
      </w:pPr>
      <w:r>
        <w:rPr>
          <w:rFonts w:eastAsiaTheme="minorEastAsia"/>
        </w:rPr>
        <w:t>P nombre de gouttelettes total.</w:t>
      </w:r>
    </w:p>
    <w:p>
      <w:r>
        <w:t>Répartition des fragments suit la loi de poisson.</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t>PCR en temps réel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A245C"/>
    <w:multiLevelType w:val="hybridMultilevel"/>
    <w:tmpl w:val="D83C3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205A36"/>
    <w:multiLevelType w:val="hybridMultilevel"/>
    <w:tmpl w:val="20548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D3354F"/>
    <w:multiLevelType w:val="hybridMultilevel"/>
    <w:tmpl w:val="8D4C2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362B1F"/>
    <w:multiLevelType w:val="hybridMultilevel"/>
    <w:tmpl w:val="EF6234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D6529B"/>
    <w:multiLevelType w:val="hybridMultilevel"/>
    <w:tmpl w:val="8034E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303C6A"/>
    <w:multiLevelType w:val="hybridMultilevel"/>
    <w:tmpl w:val="FD88E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515F85"/>
    <w:multiLevelType w:val="hybridMultilevel"/>
    <w:tmpl w:val="644E93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7F4ED3"/>
    <w:multiLevelType w:val="hybridMultilevel"/>
    <w:tmpl w:val="7ED4F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A00BB6"/>
    <w:multiLevelType w:val="hybridMultilevel"/>
    <w:tmpl w:val="D8D85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B10B82"/>
    <w:multiLevelType w:val="hybridMultilevel"/>
    <w:tmpl w:val="39A4C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9E29D4"/>
    <w:multiLevelType w:val="hybridMultilevel"/>
    <w:tmpl w:val="E5CEC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202807"/>
    <w:multiLevelType w:val="hybridMultilevel"/>
    <w:tmpl w:val="ABD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2D261D"/>
    <w:multiLevelType w:val="hybridMultilevel"/>
    <w:tmpl w:val="B094C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C44232"/>
    <w:multiLevelType w:val="hybridMultilevel"/>
    <w:tmpl w:val="6394BB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D41378"/>
    <w:multiLevelType w:val="hybridMultilevel"/>
    <w:tmpl w:val="420A09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D8137D"/>
    <w:multiLevelType w:val="hybridMultilevel"/>
    <w:tmpl w:val="CB1EC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C27FAD"/>
    <w:multiLevelType w:val="hybridMultilevel"/>
    <w:tmpl w:val="D006F4A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4" w15:restartNumberingAfterBreak="0">
    <w:nsid w:val="6DD25228"/>
    <w:multiLevelType w:val="hybridMultilevel"/>
    <w:tmpl w:val="349CA1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E98080D"/>
    <w:multiLevelType w:val="hybridMultilevel"/>
    <w:tmpl w:val="25BCF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273646"/>
    <w:multiLevelType w:val="hybridMultilevel"/>
    <w:tmpl w:val="A302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8A14C4"/>
    <w:multiLevelType w:val="multilevel"/>
    <w:tmpl w:val="980A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44107888">
    <w:abstractNumId w:val="21"/>
  </w:num>
  <w:num w:numId="2" w16cid:durableId="2022850622">
    <w:abstractNumId w:val="9"/>
  </w:num>
  <w:num w:numId="3" w16cid:durableId="895437192">
    <w:abstractNumId w:val="22"/>
  </w:num>
  <w:num w:numId="4" w16cid:durableId="525217164">
    <w:abstractNumId w:val="20"/>
  </w:num>
  <w:num w:numId="5" w16cid:durableId="1069839195">
    <w:abstractNumId w:val="28"/>
  </w:num>
  <w:num w:numId="6" w16cid:durableId="1516965719">
    <w:abstractNumId w:val="10"/>
  </w:num>
  <w:num w:numId="7" w16cid:durableId="1993748721">
    <w:abstractNumId w:val="0"/>
  </w:num>
  <w:num w:numId="8" w16cid:durableId="839806923">
    <w:abstractNumId w:val="12"/>
  </w:num>
  <w:num w:numId="9" w16cid:durableId="1812600172">
    <w:abstractNumId w:val="7"/>
  </w:num>
  <w:num w:numId="10" w16cid:durableId="578247605">
    <w:abstractNumId w:val="1"/>
  </w:num>
  <w:num w:numId="11" w16cid:durableId="1632710369">
    <w:abstractNumId w:val="11"/>
  </w:num>
  <w:num w:numId="12" w16cid:durableId="1113095858">
    <w:abstractNumId w:val="4"/>
  </w:num>
  <w:num w:numId="13" w16cid:durableId="2128499486">
    <w:abstractNumId w:val="14"/>
  </w:num>
  <w:num w:numId="14" w16cid:durableId="1142581503">
    <w:abstractNumId w:val="5"/>
  </w:num>
  <w:num w:numId="15" w16cid:durableId="10232279">
    <w:abstractNumId w:val="15"/>
  </w:num>
  <w:num w:numId="16" w16cid:durableId="609164632">
    <w:abstractNumId w:val="23"/>
  </w:num>
  <w:num w:numId="17" w16cid:durableId="210920941">
    <w:abstractNumId w:val="2"/>
  </w:num>
  <w:num w:numId="18" w16cid:durableId="205535059">
    <w:abstractNumId w:val="26"/>
  </w:num>
  <w:num w:numId="19" w16cid:durableId="53701501">
    <w:abstractNumId w:val="16"/>
  </w:num>
  <w:num w:numId="20" w16cid:durableId="1958441804">
    <w:abstractNumId w:val="25"/>
  </w:num>
  <w:num w:numId="21" w16cid:durableId="1940718160">
    <w:abstractNumId w:val="24"/>
  </w:num>
  <w:num w:numId="22" w16cid:durableId="1872719811">
    <w:abstractNumId w:val="19"/>
  </w:num>
  <w:num w:numId="23" w16cid:durableId="1852985913">
    <w:abstractNumId w:val="3"/>
  </w:num>
  <w:num w:numId="24" w16cid:durableId="602540470">
    <w:abstractNumId w:val="13"/>
  </w:num>
  <w:num w:numId="25" w16cid:durableId="1608587123">
    <w:abstractNumId w:val="17"/>
  </w:num>
  <w:num w:numId="26" w16cid:durableId="294990916">
    <w:abstractNumId w:val="18"/>
  </w:num>
  <w:num w:numId="27" w16cid:durableId="1249074792">
    <w:abstractNumId w:val="6"/>
  </w:num>
  <w:num w:numId="28" w16cid:durableId="2086370173">
    <w:abstractNumId w:val="27"/>
  </w:num>
  <w:num w:numId="29" w16cid:durableId="760685994">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0765">
      <w:bodyDiv w:val="1"/>
      <w:marLeft w:val="0"/>
      <w:marRight w:val="0"/>
      <w:marTop w:val="0"/>
      <w:marBottom w:val="0"/>
      <w:divBdr>
        <w:top w:val="none" w:sz="0" w:space="0" w:color="auto"/>
        <w:left w:val="none" w:sz="0" w:space="0" w:color="auto"/>
        <w:bottom w:val="none" w:sz="0" w:space="0" w:color="auto"/>
        <w:right w:val="none" w:sz="0" w:space="0" w:color="auto"/>
      </w:divBdr>
    </w:div>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6119116">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43955247">
      <w:bodyDiv w:val="1"/>
      <w:marLeft w:val="0"/>
      <w:marRight w:val="0"/>
      <w:marTop w:val="0"/>
      <w:marBottom w:val="0"/>
      <w:divBdr>
        <w:top w:val="none" w:sz="0" w:space="0" w:color="auto"/>
        <w:left w:val="none" w:sz="0" w:space="0" w:color="auto"/>
        <w:bottom w:val="none" w:sz="0" w:space="0" w:color="auto"/>
        <w:right w:val="none" w:sz="0" w:space="0" w:color="auto"/>
      </w:divBdr>
    </w:div>
    <w:div w:id="1308898918">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435982911">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3</Pages>
  <Words>822</Words>
  <Characters>4524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57</cp:revision>
  <cp:lastPrinted>2021-02-13T18:38:00Z</cp:lastPrinted>
  <dcterms:created xsi:type="dcterms:W3CDTF">2021-06-15T04:50:00Z</dcterms:created>
  <dcterms:modified xsi:type="dcterms:W3CDTF">2022-10-03T08:27:00Z</dcterms:modified>
</cp:coreProperties>
</file>