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roofErr w:type="spellStart"/>
      <w:r>
        <w:t>qPCR</w:t>
      </w:r>
      <w:proofErr w:type="spellEnd"/>
    </w:p>
    <w:p>
      <w:r>
        <w:t>mesurer la quantité de transcription d’un gène par l’ARN.</w:t>
      </w:r>
      <w:r>
        <w:br/>
        <w:t>mesurer la quantité d’ADN présent au départ.</w:t>
      </w:r>
    </w:p>
    <w:p>
      <w:r>
        <w:t>Relative absolu</w:t>
      </w:r>
    </w:p>
    <w:p/>
    <w:p>
      <w:r>
        <w:t>Révéler les fragments présent :</w:t>
      </w:r>
    </w:p>
    <w:p/>
    <w:p>
      <w:r>
        <w:t>Indirecte</w:t>
      </w:r>
    </w:p>
    <w:p>
      <w:r>
        <w:t>Directe</w:t>
      </w:r>
    </w:p>
    <w:p/>
    <w:p>
      <w:r>
        <w:t xml:space="preserve">Sondes spécifiques </w:t>
      </w:r>
    </w:p>
    <w:p>
      <w:pPr>
        <w:pStyle w:val="Paragraphedeliste"/>
        <w:numPr>
          <w:ilvl w:val="0"/>
          <w:numId w:val="24"/>
        </w:numPr>
      </w:pPr>
      <w:proofErr w:type="spellStart"/>
      <w:r>
        <w:t>Taqman</w:t>
      </w:r>
      <w:proofErr w:type="spellEnd"/>
      <w:r>
        <w:t xml:space="preserve"> La fluorescence inhibé par sa liaison avec la sonde. Lorsque la sonde est appareillée. La polymérase dégrade l’extrémité 5 ‘-3’ et libère le fluorochrome qui devient actif.</w:t>
      </w:r>
    </w:p>
    <w:p>
      <w:pPr>
        <w:pStyle w:val="Paragraphedeliste"/>
        <w:numPr>
          <w:ilvl w:val="0"/>
          <w:numId w:val="24"/>
        </w:numPr>
      </w:pPr>
      <w:r>
        <w:t>FRET Deux sondes qui lorsqu’elles sont adjacentes. Elles deviennent fluorescentes. Il y a deux fluorochromes. Le premier émet un photon capté par le seconde. Les spectre d’absorption et d’émission doivent se recouper.</w:t>
      </w:r>
    </w:p>
    <w:p>
      <w:pPr>
        <w:pStyle w:val="Paragraphedeliste"/>
        <w:numPr>
          <w:ilvl w:val="0"/>
          <w:numId w:val="24"/>
        </w:numPr>
      </w:pPr>
      <w:r>
        <w:t>Balise moléculaire. Fluorophore inhibé et lié à l’ADN.</w:t>
      </w:r>
    </w:p>
    <w:p>
      <w:r>
        <w:t>Avantages et inconvénients de chaque méthodes :</w:t>
      </w:r>
    </w:p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10B82"/>
    <w:multiLevelType w:val="hybridMultilevel"/>
    <w:tmpl w:val="39A4C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7"/>
  </w:num>
  <w:num w:numId="2" w16cid:durableId="2022850622">
    <w:abstractNumId w:val="7"/>
  </w:num>
  <w:num w:numId="3" w16cid:durableId="895437192">
    <w:abstractNumId w:val="18"/>
  </w:num>
  <w:num w:numId="4" w16cid:durableId="525217164">
    <w:abstractNumId w:val="16"/>
  </w:num>
  <w:num w:numId="5" w16cid:durableId="1069839195">
    <w:abstractNumId w:val="23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2"/>
  </w:num>
  <w:num w:numId="14" w16cid:durableId="1142581503">
    <w:abstractNumId w:val="5"/>
  </w:num>
  <w:num w:numId="15" w16cid:durableId="10232279">
    <w:abstractNumId w:val="13"/>
  </w:num>
  <w:num w:numId="16" w16cid:durableId="609164632">
    <w:abstractNumId w:val="19"/>
  </w:num>
  <w:num w:numId="17" w16cid:durableId="210920941">
    <w:abstractNumId w:val="2"/>
  </w:num>
  <w:num w:numId="18" w16cid:durableId="205535059">
    <w:abstractNumId w:val="22"/>
  </w:num>
  <w:num w:numId="19" w16cid:durableId="53701501">
    <w:abstractNumId w:val="14"/>
  </w:num>
  <w:num w:numId="20" w16cid:durableId="1958441804">
    <w:abstractNumId w:val="21"/>
  </w:num>
  <w:num w:numId="21" w16cid:durableId="1940718160">
    <w:abstractNumId w:val="20"/>
  </w:num>
  <w:num w:numId="22" w16cid:durableId="1872719811">
    <w:abstractNumId w:val="15"/>
  </w:num>
  <w:num w:numId="23" w16cid:durableId="1852985913">
    <w:abstractNumId w:val="3"/>
  </w:num>
  <w:num w:numId="24" w16cid:durableId="602540470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53</cp:revision>
  <cp:lastPrinted>2021-02-13T18:38:00Z</cp:lastPrinted>
  <dcterms:created xsi:type="dcterms:W3CDTF">2021-06-15T04:50:00Z</dcterms:created>
  <dcterms:modified xsi:type="dcterms:W3CDTF">2022-09-22T20:53:00Z</dcterms:modified>
</cp:coreProperties>
</file>