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Les protéines</w:t>
      </w:r>
    </w:p>
    <w:p>
      <w:r>
        <w:rPr>
          <w:rStyle w:val="Accentuation"/>
        </w:rPr>
        <w:t>Transloquer</w:t>
      </w:r>
      <w:r>
        <w:t xml:space="preserve"> déplacer d'un endroit à un autre.</w:t>
      </w:r>
    </w:p>
    <w:p>
      <w:r>
        <w:t>Les protéines peuvent être classées en trois types :</w:t>
      </w:r>
    </w:p>
    <w:p>
      <w:pPr>
        <w:pStyle w:val="Paragraphedeliste"/>
        <w:numPr>
          <w:ilvl w:val="0"/>
          <w:numId w:val="33"/>
        </w:numPr>
      </w:pPr>
      <w:r>
        <w:t>Fibreuse. Elles sont en forme de filament et ne sont généralement pas solubles. Elles jouent un rôle structurel. Par exemple, le collagène, kératines …</w:t>
      </w:r>
    </w:p>
    <w:p>
      <w:pPr>
        <w:pStyle w:val="Paragraphedeliste"/>
        <w:numPr>
          <w:ilvl w:val="0"/>
          <w:numId w:val="33"/>
        </w:numPr>
      </w:pPr>
      <w:r>
        <w:t xml:space="preserve">Globuleuse ou </w:t>
      </w:r>
      <w:proofErr w:type="spellStart"/>
      <w:r>
        <w:t>sphéroprotéines</w:t>
      </w:r>
      <w:proofErr w:type="spellEnd"/>
      <w:r>
        <w:t>. Elles sont sphériques et solubles. Elles servent d’enzymes, de transporteurs ou de messagers.</w:t>
      </w:r>
    </w:p>
    <w:p>
      <w:pPr>
        <w:pStyle w:val="Paragraphedeliste"/>
        <w:numPr>
          <w:ilvl w:val="0"/>
          <w:numId w:val="33"/>
        </w:numPr>
      </w:pPr>
      <w:r>
        <w:t>Membranaire.</w:t>
      </w:r>
    </w:p>
    <w:p>
      <w:r>
        <w:t>La chaîne peptidique est suffisante pour donner la formation active aux protéines. Dans certain cas, la conformation est adoptée à la suite du clivage d’une partie de la séquence des aa comme pour l’insuline.</w:t>
      </w:r>
    </w:p>
    <w:p>
      <w:r>
        <w:t>Il existe des protéines qui facilitent la mise en conformation comme les protéines chaperonnes.</w:t>
      </w:r>
    </w:p>
    <w:p>
      <w:proofErr w:type="spellStart"/>
      <w:r>
        <w:rPr>
          <w:rStyle w:val="Accentuation"/>
        </w:rPr>
        <w:t>Heat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shock</w:t>
      </w:r>
      <w:proofErr w:type="spellEnd"/>
      <w:r>
        <w:rPr>
          <w:rStyle w:val="Accentuation"/>
        </w:rPr>
        <w:t xml:space="preserve"> proteins (</w:t>
      </w:r>
      <w:proofErr w:type="spellStart"/>
      <w:r>
        <w:rPr>
          <w:rStyle w:val="Accentuation"/>
        </w:rPr>
        <w:t>Hsp</w:t>
      </w:r>
      <w:proofErr w:type="spellEnd"/>
      <w:r>
        <w:rPr>
          <w:rStyle w:val="Accentuation"/>
        </w:rPr>
        <w:t xml:space="preserve">) </w:t>
      </w:r>
      <w:r>
        <w:t>type de protéines chaperonnes produites en condition de stress cellulaire thermique.</w:t>
      </w:r>
    </w:p>
    <w:p>
      <w:pPr>
        <w:pStyle w:val="Titre2"/>
      </w:pPr>
      <w:r>
        <w:t>Modification post traduction</w:t>
      </w:r>
    </w:p>
    <w:p>
      <w:r>
        <w:t>Les modifications traductionnelles des protéines permettent :</w:t>
      </w:r>
    </w:p>
    <w:p>
      <w:pPr>
        <w:pStyle w:val="Paragraphedeliste"/>
        <w:numPr>
          <w:ilvl w:val="0"/>
          <w:numId w:val="12"/>
        </w:numPr>
      </w:pPr>
      <w:r>
        <w:t>Réguler l’activité des protéines.</w:t>
      </w:r>
    </w:p>
    <w:p>
      <w:pPr>
        <w:pStyle w:val="Paragraphedeliste"/>
        <w:numPr>
          <w:ilvl w:val="0"/>
          <w:numId w:val="12"/>
        </w:numPr>
      </w:pPr>
      <w:r>
        <w:t>Les « étiqueter » afin qu’elles soient reconnues par d’autres molécules ou par des systèmes de dégradation.</w:t>
      </w:r>
    </w:p>
    <w:p>
      <w:pPr>
        <w:pStyle w:val="Paragraphedeliste"/>
        <w:numPr>
          <w:ilvl w:val="0"/>
          <w:numId w:val="12"/>
        </w:numPr>
      </w:pPr>
      <w:r>
        <w:t>Les ancrer dans une membrane.</w:t>
      </w:r>
    </w:p>
    <w:p>
      <w:pPr>
        <w:pStyle w:val="Paragraphedeliste"/>
        <w:numPr>
          <w:ilvl w:val="0"/>
          <w:numId w:val="12"/>
        </w:numPr>
      </w:pPr>
      <w:r>
        <w:t>Les intégrer à une cascade de signalisation.</w:t>
      </w:r>
    </w:p>
    <w:p>
      <w:pPr>
        <w:pStyle w:val="Paragraphedeliste"/>
        <w:numPr>
          <w:ilvl w:val="0"/>
          <w:numId w:val="12"/>
        </w:numPr>
      </w:pPr>
      <w:r>
        <w:t>Les « adresser » à un compartiment cellulaire.</w:t>
      </w:r>
    </w:p>
    <w:p>
      <w:pPr>
        <w:pStyle w:val="Paragraphedeliste"/>
        <w:numPr>
          <w:ilvl w:val="0"/>
          <w:numId w:val="12"/>
        </w:numPr>
      </w:pPr>
      <w:r>
        <w:t>Définir une identité immunologique (groupes sanguins).</w:t>
      </w:r>
    </w:p>
    <w:p>
      <w:pPr>
        <w:pStyle w:val="Paragraphedeliste"/>
        <w:numPr>
          <w:ilvl w:val="0"/>
          <w:numId w:val="12"/>
        </w:numPr>
      </w:pPr>
      <w:r>
        <w:t>Conférer de nouvelles propriétés.</w:t>
      </w:r>
    </w:p>
    <w:p>
      <w:pPr>
        <w:pStyle w:val="Titre2"/>
      </w:pPr>
      <w:r>
        <w:t>L’adressage des protéines</w:t>
      </w:r>
    </w:p>
    <w:p>
      <w:pPr>
        <w:jc w:val="left"/>
      </w:pPr>
      <w:r>
        <w:t>Les protéines sont adressées au compartiment de destination grâce à une séquence de leur chaine peptidique appelée séquence signale ou facteur d’adressage qui se situe généralement en N-</w:t>
      </w:r>
      <w:proofErr w:type="spellStart"/>
      <w:r>
        <w:t>term</w:t>
      </w:r>
      <w:proofErr w:type="spellEnd"/>
      <w:r>
        <w:t>.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736"/>
        <w:gridCol w:w="35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33" w:type="dxa"/>
          </w:tcPr>
          <w:p>
            <w:r>
              <w:t>Destination</w:t>
            </w:r>
          </w:p>
        </w:tc>
        <w:tc>
          <w:tcPr>
            <w:tcW w:w="2537" w:type="dxa"/>
          </w:tcPr>
          <w:p>
            <w:r>
              <w:t>Séquence signale</w:t>
            </w:r>
          </w:p>
        </w:tc>
      </w:tr>
      <w:tr>
        <w:tc>
          <w:tcPr>
            <w:tcW w:w="2633" w:type="dxa"/>
          </w:tcPr>
          <w:p>
            <w:r>
              <w:t>Réticulum endoplasmique</w:t>
            </w:r>
          </w:p>
        </w:tc>
        <w:tc>
          <w:tcPr>
            <w:tcW w:w="2537" w:type="dxa"/>
          </w:tcPr>
          <w:p>
            <w:r>
              <w:t>SRF</w:t>
            </w:r>
          </w:p>
        </w:tc>
      </w:tr>
      <w:tr>
        <w:tc>
          <w:tcPr>
            <w:tcW w:w="2633" w:type="dxa"/>
          </w:tcPr>
          <w:p>
            <w:r>
              <w:t>Mitochondrie</w:t>
            </w:r>
          </w:p>
        </w:tc>
        <w:tc>
          <w:tcPr>
            <w:tcW w:w="2537" w:type="dxa"/>
          </w:tcPr>
          <w:p>
            <w:r>
              <w:t>MSF</w:t>
            </w:r>
          </w:p>
        </w:tc>
      </w:tr>
      <w:tr>
        <w:tc>
          <w:tcPr>
            <w:tcW w:w="2633" w:type="dxa"/>
          </w:tcPr>
          <w:p>
            <w:r>
              <w:t>Noyau</w:t>
            </w:r>
          </w:p>
        </w:tc>
        <w:tc>
          <w:tcPr>
            <w:tcW w:w="2537" w:type="dxa"/>
          </w:tcPr>
          <w:p>
            <w:r>
              <w:t>NLS</w:t>
            </w:r>
          </w:p>
        </w:tc>
      </w:tr>
    </w:tbl>
    <w:p>
      <w:pPr>
        <w:pStyle w:val="Titre3"/>
      </w:pPr>
      <w:r>
        <w:t>L’adressage au noyau</w:t>
      </w:r>
    </w:p>
    <w:p>
      <w:r>
        <w:t>Pour qu’une protéine puisse intégrer le noyau, il faut qu’elle possède une séquence signal appelée NLS (</w:t>
      </w:r>
      <w:proofErr w:type="spellStart"/>
      <w:r>
        <w:t>Nuclear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signal). </w:t>
      </w:r>
    </w:p>
    <w:p>
      <w:pPr>
        <w:pStyle w:val="Paragraphedeliste"/>
        <w:numPr>
          <w:ilvl w:val="0"/>
          <w:numId w:val="32"/>
        </w:numPr>
      </w:pPr>
      <w:r>
        <w:t>Une protéine appelée importine vient se fixer sur la protéine à destination du noyau.</w:t>
      </w:r>
    </w:p>
    <w:p>
      <w:pPr>
        <w:pStyle w:val="Paragraphedeliste"/>
        <w:numPr>
          <w:ilvl w:val="0"/>
          <w:numId w:val="32"/>
        </w:numPr>
      </w:pPr>
      <w:r>
        <w:t xml:space="preserve">Le complexe est transloqué par le </w:t>
      </w:r>
      <w:proofErr w:type="spellStart"/>
      <w:r>
        <w:t>pore</w:t>
      </w:r>
      <w:proofErr w:type="spellEnd"/>
      <w:r>
        <w:t xml:space="preserve"> nucléaire appelé nucléoporines.</w:t>
      </w:r>
    </w:p>
    <w:p>
      <w:pPr>
        <w:pStyle w:val="Titre3"/>
      </w:pPr>
      <w:r>
        <w:t>Adressage aux mitochondries</w:t>
      </w:r>
    </w:p>
    <w:p>
      <w:r>
        <w:t>Les membranes des mitochondries sont imperméables. Pour être transloquer dans la mitochondrie, une protéine est maintenue sous forme d’une chaine de polypeptides déroulée grâce à des protéines chaperonnes qui reconnaissent le motif terminal.</w:t>
      </w:r>
    </w:p>
    <w:p>
      <w:r>
        <w:t>Ensuite le passage des membrane se fait par deux systèmes de transport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8"/>
        <w:gridCol w:w="3667"/>
      </w:tblGrid>
      <w:tr>
        <w:tc>
          <w:tcPr>
            <w:tcW w:w="3668" w:type="dxa"/>
          </w:tcPr>
          <w:p>
            <w:r>
              <w:t xml:space="preserve">Membrane interne TIM (In) </w:t>
            </w:r>
          </w:p>
        </w:tc>
        <w:tc>
          <w:tcPr>
            <w:tcW w:w="3667" w:type="dxa"/>
          </w:tcPr>
          <w:p>
            <w:r>
              <w:t>Membrane externe TOM (Out)</w:t>
            </w:r>
          </w:p>
        </w:tc>
      </w:tr>
    </w:tbl>
    <w:p>
      <w:pPr>
        <w:pStyle w:val="Titre3"/>
      </w:pPr>
      <w:r>
        <w:t>Adressage au réticulum endoplasmique</w:t>
      </w:r>
    </w:p>
    <w:p>
      <w:r>
        <w:t>L’adressage des protéines au RE est appelé voie de sécrétion. La translocation peut se faire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689"/>
        <w:gridCol w:w="4646"/>
      </w:tblGrid>
      <w:tr>
        <w:tc>
          <w:tcPr>
            <w:tcW w:w="2689" w:type="dxa"/>
          </w:tcPr>
          <w:p>
            <w:r>
              <w:t>Post traductionnelle</w:t>
            </w:r>
          </w:p>
        </w:tc>
        <w:tc>
          <w:tcPr>
            <w:tcW w:w="4646" w:type="dxa"/>
          </w:tcPr>
          <w:p>
            <w:r>
              <w:t>Co traductionnelle (en même temps que la synthèse)</w:t>
            </w:r>
          </w:p>
        </w:tc>
      </w:tr>
    </w:tbl>
    <w:p>
      <w:r>
        <w:rPr>
          <w:u w:val="single"/>
        </w:rPr>
        <w:lastRenderedPageBreak/>
        <w:t>Rmq :</w:t>
      </w:r>
      <w:r>
        <w:t xml:space="preserve"> la translocation </w:t>
      </w:r>
      <w:proofErr w:type="spellStart"/>
      <w:r>
        <w:t>co</w:t>
      </w:r>
      <w:proofErr w:type="spellEnd"/>
      <w:r>
        <w:t>-traductionnelle est présente essentiellement chez les eucaryotes complexes.</w:t>
      </w:r>
    </w:p>
    <w:p>
      <w:r>
        <w:t>L’entrée se faire par un complexe protéique appelé sec 61 ou translocon. Il est inséré dans la membrane du RE et il possède des plusieurs sites pouvant servir à :</w:t>
      </w:r>
    </w:p>
    <w:p>
      <w:pPr>
        <w:pStyle w:val="Paragraphedeliste"/>
        <w:numPr>
          <w:ilvl w:val="0"/>
          <w:numId w:val="29"/>
        </w:numPr>
      </w:pPr>
      <w:r>
        <w:t>Cliver la séquence signale, une fois que la chaine peptidique a pénétrée dans la lumière du RE.</w:t>
      </w:r>
    </w:p>
    <w:p>
      <w:pPr>
        <w:pStyle w:val="Paragraphedeliste"/>
        <w:numPr>
          <w:ilvl w:val="0"/>
          <w:numId w:val="28"/>
        </w:numPr>
      </w:pPr>
      <w:r>
        <w:t>Réaliser une modification post traductionnelle.</w:t>
      </w:r>
    </w:p>
    <w:p>
      <w:r>
        <w:t>Le translocon est toujours obstrué pour maintenir des concentrations différentes de petites molécules entre le cytosol et le lumen du RE par exemple, de protons ou de Ca</w:t>
      </w:r>
      <w:r>
        <w:rPr>
          <w:vertAlign w:val="superscript"/>
        </w:rPr>
        <w:t>2+</w:t>
      </w:r>
      <w:r>
        <w:t>. Il l’est soit par :</w:t>
      </w:r>
    </w:p>
    <w:p>
      <w:pPr>
        <w:pStyle w:val="Paragraphedeliste"/>
        <w:numPr>
          <w:ilvl w:val="0"/>
          <w:numId w:val="28"/>
        </w:numPr>
      </w:pPr>
      <w:r>
        <w:t>Par le ribosome lors de la translocation.</w:t>
      </w:r>
    </w:p>
    <w:p>
      <w:pPr>
        <w:pStyle w:val="Paragraphedeliste"/>
        <w:numPr>
          <w:ilvl w:val="0"/>
          <w:numId w:val="28"/>
        </w:numPr>
      </w:pPr>
      <w:r>
        <w:t>Une protéine BIP par défaut.</w:t>
      </w:r>
    </w:p>
    <w:p>
      <w:r>
        <w:t>La protéine peut subir des modification post traductionnelle au niveau du transposon comme l’ajout de :</w:t>
      </w:r>
    </w:p>
    <w:p>
      <w:pPr>
        <w:pStyle w:val="Paragraphedeliste"/>
        <w:numPr>
          <w:ilvl w:val="0"/>
          <w:numId w:val="30"/>
        </w:numPr>
      </w:pPr>
      <w:r>
        <w:t>Ponts disulfure.</w:t>
      </w:r>
    </w:p>
    <w:p>
      <w:pPr>
        <w:pStyle w:val="Paragraphedeliste"/>
        <w:numPr>
          <w:ilvl w:val="0"/>
          <w:numId w:val="30"/>
        </w:numPr>
      </w:pPr>
      <w:r>
        <w:t>Polysaccharide. Elle a lieu lors de la présence d’un séquence particulière dans la chaine peptidique.</w:t>
      </w:r>
    </w:p>
    <w:p>
      <w:r>
        <w:t>L’ajout d’un motif de N-glycolisation permet d’ajouter un site de :</w:t>
      </w:r>
    </w:p>
    <w:p>
      <w:pPr>
        <w:pStyle w:val="Paragraphedeliste"/>
        <w:numPr>
          <w:ilvl w:val="0"/>
          <w:numId w:val="45"/>
        </w:numPr>
      </w:pPr>
      <w:r>
        <w:t>De reconnaissance qui servira à recruter des protéines qui aideront la séquence peptidiques à acquérir sa conformation.</w:t>
      </w:r>
    </w:p>
    <w:p>
      <w:pPr>
        <w:pStyle w:val="Paragraphedeliste"/>
        <w:numPr>
          <w:ilvl w:val="0"/>
          <w:numId w:val="26"/>
        </w:numPr>
        <w:jc w:val="left"/>
      </w:pPr>
      <w:r>
        <w:t>Avec une information d’adressage.</w:t>
      </w:r>
    </w:p>
    <w:p>
      <w:pPr>
        <w:pStyle w:val="Paragraphedeliste"/>
        <w:numPr>
          <w:ilvl w:val="0"/>
          <w:numId w:val="26"/>
        </w:numPr>
        <w:jc w:val="left"/>
      </w:pPr>
      <w:r>
        <w:t>Une protection notamment contre les protéolyses.</w:t>
      </w:r>
    </w:p>
    <w:p>
      <w:pPr>
        <w:pStyle w:val="Paragraphedeliste"/>
        <w:numPr>
          <w:ilvl w:val="0"/>
          <w:numId w:val="26"/>
        </w:numPr>
        <w:jc w:val="left"/>
      </w:pPr>
      <w:r>
        <w:t>D’adhésion cellulaire.</w:t>
      </w:r>
    </w:p>
    <w:p>
      <w:r>
        <w:t>Le sucre subit ensuite un processus de maturation 2 grands types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122"/>
        <w:gridCol w:w="5213"/>
      </w:tblGrid>
      <w:tr>
        <w:tc>
          <w:tcPr>
            <w:tcW w:w="2122" w:type="dxa"/>
          </w:tcPr>
          <w:p>
            <w:r>
              <w:t xml:space="preserve">Oligosaccharides </w:t>
            </w:r>
          </w:p>
        </w:tc>
        <w:tc>
          <w:tcPr>
            <w:tcW w:w="5213" w:type="dxa"/>
          </w:tcPr>
          <w:p>
            <w:r>
              <w:t>Complexes qui sont riches en mannose et sont adresser aux lysosomes.</w:t>
            </w:r>
          </w:p>
        </w:tc>
      </w:tr>
    </w:tbl>
    <w:p>
      <w:r>
        <w:t>Les protéines du RE sont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rPr>
          <w:trHeight w:val="721"/>
        </w:trPr>
        <w:tc>
          <w:tcPr>
            <w:tcW w:w="3667" w:type="dxa"/>
          </w:tcPr>
          <w:p>
            <w:r>
              <w:t>Transportées vers l’appareil de Golgi</w:t>
            </w:r>
          </w:p>
        </w:tc>
        <w:tc>
          <w:tcPr>
            <w:tcW w:w="3668" w:type="dxa"/>
          </w:tcPr>
          <w:p>
            <w:r>
              <w:t>Résidantes du RE si elles possèdent la séquence KDEL.</w:t>
            </w:r>
          </w:p>
        </w:tc>
      </w:tr>
    </w:tbl>
    <w:p>
      <w:r>
        <w:rPr>
          <w:u w:val="single"/>
        </w:rPr>
        <w:t>NB :</w:t>
      </w:r>
      <w:r>
        <w:t xml:space="preserve"> KDEL interagit avec des récepteurs KDER.</w:t>
      </w:r>
    </w:p>
    <w:p>
      <w:r>
        <w:t>L’exocytose du RE se fait par un système protéines type clé-serrure.</w:t>
      </w:r>
    </w:p>
    <w:p>
      <w:r>
        <w:t>L’adressage des protéines au RE se fait dans des vésicules possédant des clathrine.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Biologie cellulaire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6CE4"/>
    <w:multiLevelType w:val="hybridMultilevel"/>
    <w:tmpl w:val="4858D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FF"/>
    <w:multiLevelType w:val="hybridMultilevel"/>
    <w:tmpl w:val="40EE7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C25B2"/>
    <w:multiLevelType w:val="hybridMultilevel"/>
    <w:tmpl w:val="9AECC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2669C"/>
    <w:multiLevelType w:val="hybridMultilevel"/>
    <w:tmpl w:val="8E6AE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D6956"/>
    <w:multiLevelType w:val="hybridMultilevel"/>
    <w:tmpl w:val="B5283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1026"/>
    <w:multiLevelType w:val="hybridMultilevel"/>
    <w:tmpl w:val="71765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7A8F"/>
    <w:multiLevelType w:val="hybridMultilevel"/>
    <w:tmpl w:val="194E1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597A"/>
    <w:multiLevelType w:val="hybridMultilevel"/>
    <w:tmpl w:val="D7989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9569E"/>
    <w:multiLevelType w:val="hybridMultilevel"/>
    <w:tmpl w:val="86480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90262"/>
    <w:multiLevelType w:val="hybridMultilevel"/>
    <w:tmpl w:val="17103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B35B4"/>
    <w:multiLevelType w:val="hybridMultilevel"/>
    <w:tmpl w:val="04EE7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E0CF2"/>
    <w:multiLevelType w:val="hybridMultilevel"/>
    <w:tmpl w:val="AE58EB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63757"/>
    <w:multiLevelType w:val="hybridMultilevel"/>
    <w:tmpl w:val="614CF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28D1"/>
    <w:multiLevelType w:val="hybridMultilevel"/>
    <w:tmpl w:val="3B1269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B3BE4"/>
    <w:multiLevelType w:val="hybridMultilevel"/>
    <w:tmpl w:val="B9A81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606"/>
    <w:multiLevelType w:val="hybridMultilevel"/>
    <w:tmpl w:val="390A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51789"/>
    <w:multiLevelType w:val="hybridMultilevel"/>
    <w:tmpl w:val="39943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94C00"/>
    <w:multiLevelType w:val="hybridMultilevel"/>
    <w:tmpl w:val="C6A43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02581"/>
    <w:multiLevelType w:val="hybridMultilevel"/>
    <w:tmpl w:val="FC503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D0B14"/>
    <w:multiLevelType w:val="hybridMultilevel"/>
    <w:tmpl w:val="6AD6E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220E2"/>
    <w:multiLevelType w:val="hybridMultilevel"/>
    <w:tmpl w:val="608A0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47DED"/>
    <w:multiLevelType w:val="hybridMultilevel"/>
    <w:tmpl w:val="8FE6C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975CC"/>
    <w:multiLevelType w:val="hybridMultilevel"/>
    <w:tmpl w:val="CBDA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3478C"/>
    <w:multiLevelType w:val="hybridMultilevel"/>
    <w:tmpl w:val="06646840"/>
    <w:lvl w:ilvl="0" w:tplc="BBC8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CA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8C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A8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9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81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4F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A1D6A"/>
    <w:multiLevelType w:val="hybridMultilevel"/>
    <w:tmpl w:val="2688B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04613"/>
    <w:multiLevelType w:val="hybridMultilevel"/>
    <w:tmpl w:val="355EDD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586BBF"/>
    <w:multiLevelType w:val="hybridMultilevel"/>
    <w:tmpl w:val="992EE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42AED"/>
    <w:multiLevelType w:val="hybridMultilevel"/>
    <w:tmpl w:val="02B68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85A58"/>
    <w:multiLevelType w:val="hybridMultilevel"/>
    <w:tmpl w:val="3954B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04CCD"/>
    <w:multiLevelType w:val="hybridMultilevel"/>
    <w:tmpl w:val="39829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6655B"/>
    <w:multiLevelType w:val="hybridMultilevel"/>
    <w:tmpl w:val="33464F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25A6D2B"/>
    <w:multiLevelType w:val="hybridMultilevel"/>
    <w:tmpl w:val="C7B4E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C6C9A"/>
    <w:multiLevelType w:val="hybridMultilevel"/>
    <w:tmpl w:val="37A87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B1685"/>
    <w:multiLevelType w:val="hybridMultilevel"/>
    <w:tmpl w:val="352EA7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C213A3"/>
    <w:multiLevelType w:val="hybridMultilevel"/>
    <w:tmpl w:val="21401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E2A1C"/>
    <w:multiLevelType w:val="hybridMultilevel"/>
    <w:tmpl w:val="4C04B3F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9B34AAE"/>
    <w:multiLevelType w:val="hybridMultilevel"/>
    <w:tmpl w:val="7CD20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34039"/>
    <w:multiLevelType w:val="hybridMultilevel"/>
    <w:tmpl w:val="1908B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56694"/>
    <w:multiLevelType w:val="hybridMultilevel"/>
    <w:tmpl w:val="F5AA2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D60BA"/>
    <w:multiLevelType w:val="hybridMultilevel"/>
    <w:tmpl w:val="2B64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3D57"/>
    <w:multiLevelType w:val="hybridMultilevel"/>
    <w:tmpl w:val="4792F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43C21"/>
    <w:multiLevelType w:val="hybridMultilevel"/>
    <w:tmpl w:val="E662C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CF13F0"/>
    <w:multiLevelType w:val="hybridMultilevel"/>
    <w:tmpl w:val="0F22D9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250DF"/>
    <w:multiLevelType w:val="hybridMultilevel"/>
    <w:tmpl w:val="766A2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381064">
    <w:abstractNumId w:val="23"/>
  </w:num>
  <w:num w:numId="2" w16cid:durableId="1784688769">
    <w:abstractNumId w:val="2"/>
  </w:num>
  <w:num w:numId="3" w16cid:durableId="159658385">
    <w:abstractNumId w:val="39"/>
  </w:num>
  <w:num w:numId="4" w16cid:durableId="366685520">
    <w:abstractNumId w:val="29"/>
  </w:num>
  <w:num w:numId="5" w16cid:durableId="731539675">
    <w:abstractNumId w:val="35"/>
  </w:num>
  <w:num w:numId="6" w16cid:durableId="1237206509">
    <w:abstractNumId w:val="13"/>
  </w:num>
  <w:num w:numId="7" w16cid:durableId="1709604241">
    <w:abstractNumId w:val="38"/>
  </w:num>
  <w:num w:numId="8" w16cid:durableId="1344891978">
    <w:abstractNumId w:val="41"/>
  </w:num>
  <w:num w:numId="9" w16cid:durableId="17119325">
    <w:abstractNumId w:val="18"/>
  </w:num>
  <w:num w:numId="10" w16cid:durableId="969825208">
    <w:abstractNumId w:val="27"/>
  </w:num>
  <w:num w:numId="11" w16cid:durableId="994528175">
    <w:abstractNumId w:val="6"/>
  </w:num>
  <w:num w:numId="12" w16cid:durableId="1470784138">
    <w:abstractNumId w:val="8"/>
  </w:num>
  <w:num w:numId="13" w16cid:durableId="98960576">
    <w:abstractNumId w:val="30"/>
  </w:num>
  <w:num w:numId="14" w16cid:durableId="275410764">
    <w:abstractNumId w:val="26"/>
  </w:num>
  <w:num w:numId="15" w16cid:durableId="2081052041">
    <w:abstractNumId w:val="19"/>
  </w:num>
  <w:num w:numId="16" w16cid:durableId="12607800">
    <w:abstractNumId w:val="9"/>
  </w:num>
  <w:num w:numId="17" w16cid:durableId="286274574">
    <w:abstractNumId w:val="17"/>
  </w:num>
  <w:num w:numId="18" w16cid:durableId="1706756150">
    <w:abstractNumId w:val="44"/>
  </w:num>
  <w:num w:numId="19" w16cid:durableId="140584021">
    <w:abstractNumId w:val="15"/>
  </w:num>
  <w:num w:numId="20" w16cid:durableId="499783557">
    <w:abstractNumId w:val="1"/>
  </w:num>
  <w:num w:numId="21" w16cid:durableId="1031759051">
    <w:abstractNumId w:val="16"/>
  </w:num>
  <w:num w:numId="22" w16cid:durableId="360474292">
    <w:abstractNumId w:val="42"/>
  </w:num>
  <w:num w:numId="23" w16cid:durableId="35854901">
    <w:abstractNumId w:val="7"/>
  </w:num>
  <w:num w:numId="24" w16cid:durableId="1439645965">
    <w:abstractNumId w:val="0"/>
  </w:num>
  <w:num w:numId="25" w16cid:durableId="101463072">
    <w:abstractNumId w:val="43"/>
  </w:num>
  <w:num w:numId="26" w16cid:durableId="943801570">
    <w:abstractNumId w:val="3"/>
  </w:num>
  <w:num w:numId="27" w16cid:durableId="1181622993">
    <w:abstractNumId w:val="11"/>
  </w:num>
  <w:num w:numId="28" w16cid:durableId="1134562191">
    <w:abstractNumId w:val="40"/>
  </w:num>
  <w:num w:numId="29" w16cid:durableId="1376923820">
    <w:abstractNumId w:val="36"/>
  </w:num>
  <w:num w:numId="30" w16cid:durableId="428279190">
    <w:abstractNumId w:val="20"/>
  </w:num>
  <w:num w:numId="31" w16cid:durableId="518588189">
    <w:abstractNumId w:val="24"/>
  </w:num>
  <w:num w:numId="32" w16cid:durableId="2005667710">
    <w:abstractNumId w:val="25"/>
  </w:num>
  <w:num w:numId="33" w16cid:durableId="743339592">
    <w:abstractNumId w:val="5"/>
  </w:num>
  <w:num w:numId="34" w16cid:durableId="426123581">
    <w:abstractNumId w:val="32"/>
  </w:num>
  <w:num w:numId="35" w16cid:durableId="535509835">
    <w:abstractNumId w:val="28"/>
  </w:num>
  <w:num w:numId="36" w16cid:durableId="1561939945">
    <w:abstractNumId w:val="33"/>
  </w:num>
  <w:num w:numId="37" w16cid:durableId="1922329311">
    <w:abstractNumId w:val="14"/>
  </w:num>
  <w:num w:numId="38" w16cid:durableId="1140734041">
    <w:abstractNumId w:val="37"/>
  </w:num>
  <w:num w:numId="39" w16cid:durableId="1514877244">
    <w:abstractNumId w:val="21"/>
  </w:num>
  <w:num w:numId="40" w16cid:durableId="778329108">
    <w:abstractNumId w:val="10"/>
  </w:num>
  <w:num w:numId="41" w16cid:durableId="320499247">
    <w:abstractNumId w:val="31"/>
  </w:num>
  <w:num w:numId="42" w16cid:durableId="612593578">
    <w:abstractNumId w:val="4"/>
  </w:num>
  <w:num w:numId="43" w16cid:durableId="99687423">
    <w:abstractNumId w:val="22"/>
  </w:num>
  <w:num w:numId="44" w16cid:durableId="979770024">
    <w:abstractNumId w:val="34"/>
  </w:num>
  <w:num w:numId="45" w16cid:durableId="115560367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pagebreaktextspan">
    <w:name w:val="pagebreaktextspan"/>
    <w:basedOn w:val="Policepardfaut"/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7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6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0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7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</cp:revision>
  <cp:lastPrinted>2021-02-13T18:38:00Z</cp:lastPrinted>
  <dcterms:created xsi:type="dcterms:W3CDTF">2022-12-11T11:47:00Z</dcterms:created>
  <dcterms:modified xsi:type="dcterms:W3CDTF">2022-12-11T11:48:00Z</dcterms:modified>
</cp:coreProperties>
</file>