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Introduction au métabolisme</w:t>
      </w:r>
    </w:p>
    <w:p>
      <w:r>
        <w:t>La cascade de signalisation est le mécanisme par lequel une cellule répond à un signal (chimique, électrique…). Elle aboutit à la réalisation d’activités cellulaires, par exemple, la synthèse de protéines. Elle se compose de trois phases :</w:t>
      </w:r>
    </w:p>
    <w:p>
      <w:pPr>
        <w:pStyle w:val="Paragraphedeliste"/>
        <w:numPr>
          <w:ilvl w:val="0"/>
          <w:numId w:val="14"/>
        </w:numPr>
      </w:pPr>
      <w:r>
        <w:t>La réception du signal extra-cellulaire par un récepteur.</w:t>
      </w:r>
    </w:p>
    <w:p>
      <w:pPr>
        <w:pStyle w:val="Paragraphedeliste"/>
        <w:numPr>
          <w:ilvl w:val="0"/>
          <w:numId w:val="14"/>
        </w:numPr>
      </w:pPr>
      <w:r>
        <w:t>La réalisation de voies de transduction càd d’un ensemble de processus cellulaires.</w:t>
      </w:r>
    </w:p>
    <w:p>
      <w:pPr>
        <w:pStyle w:val="Paragraphedeliste"/>
        <w:numPr>
          <w:ilvl w:val="0"/>
          <w:numId w:val="14"/>
        </w:numPr>
      </w:pPr>
      <w:r>
        <w:t>La réponse cellulaire.</w:t>
      </w:r>
    </w:p>
    <w:p>
      <w:r>
        <w:rPr>
          <w:rStyle w:val="Accentuation"/>
        </w:rPr>
        <w:t xml:space="preserve">État stationnaire </w:t>
      </w:r>
      <w:r>
        <w:t>les concentrations en composés restent stables. Elles sont maintenues par la cellule grâce à des échanges de matière et d’énergie.</w:t>
      </w:r>
    </w:p>
    <w:p>
      <w:r>
        <w:t xml:space="preserve">Pour fonctionner, les cellules ont besoin d’énergie qu’elles extraient soit de : </w:t>
      </w:r>
    </w:p>
    <w:tbl>
      <w:tblPr>
        <w:tblStyle w:val="Grilledetableauclaire"/>
        <w:tblW w:w="0" w:type="auto"/>
        <w:tblLook w:val="0400" w:firstRow="0" w:lastRow="0" w:firstColumn="0" w:lastColumn="0" w:noHBand="0" w:noVBand="1"/>
      </w:tblPr>
      <w:tblGrid>
        <w:gridCol w:w="3667"/>
        <w:gridCol w:w="3668"/>
      </w:tblGrid>
      <w:tr>
        <w:tc>
          <w:tcPr>
            <w:tcW w:w="3667" w:type="dxa"/>
          </w:tcPr>
          <w:p>
            <w:r>
              <w:t>La dégradation de molécules (chimiotrophe)</w:t>
            </w:r>
          </w:p>
        </w:tc>
        <w:tc>
          <w:tcPr>
            <w:tcW w:w="3668" w:type="dxa"/>
          </w:tcPr>
          <w:p>
            <w:r>
              <w:t>La photosynthèse (phototrophe)</w:t>
            </w:r>
          </w:p>
        </w:tc>
      </w:tr>
    </w:tbl>
    <w:p>
      <w:r>
        <w:t xml:space="preserve">L’énergie libérée est stockée dans un nombre réduit de molécules telles que l’ATP ou NADPH. L’énergie chimiques pourra être libérée pour servir à : </w:t>
      </w:r>
    </w:p>
    <w:p>
      <w:pPr>
        <w:pStyle w:val="Paragraphedeliste"/>
        <w:numPr>
          <w:ilvl w:val="0"/>
          <w:numId w:val="4"/>
        </w:numPr>
      </w:pPr>
      <w:r>
        <w:t>Créer des liaisons et fabriquer des molécules plus complexes à partir de plus simples.</w:t>
      </w:r>
    </w:p>
    <w:p>
      <w:pPr>
        <w:pStyle w:val="Paragraphedeliste"/>
        <w:numPr>
          <w:ilvl w:val="0"/>
          <w:numId w:val="4"/>
        </w:numPr>
      </w:pPr>
      <w:r>
        <w:t>Lutter contre l’entropie (par exemple, en maintien un gradient chimique).</w:t>
      </w:r>
    </w:p>
    <w:p>
      <w:pPr>
        <w:pStyle w:val="Titre3"/>
      </w:pPr>
      <w:r>
        <w:t>Les molécules de stockage de l’énergie</w:t>
      </w:r>
    </w:p>
    <w:p>
      <w:r>
        <w:t>Les molécules riches en énergie sont :</w:t>
      </w:r>
    </w:p>
    <w:tbl>
      <w:tblPr>
        <w:tblStyle w:val="Grilledetableauclaire"/>
        <w:tblW w:w="0" w:type="auto"/>
        <w:tblLook w:val="0400" w:firstRow="0" w:lastRow="0" w:firstColumn="0" w:lastColumn="0" w:noHBand="0" w:noVBand="1"/>
      </w:tblPr>
      <w:tblGrid>
        <w:gridCol w:w="1129"/>
        <w:gridCol w:w="3119"/>
        <w:gridCol w:w="3087"/>
      </w:tblGrid>
      <w:tr>
        <w:tc>
          <w:tcPr>
            <w:tcW w:w="1129" w:type="dxa"/>
          </w:tcPr>
          <w:p>
            <w:pPr>
              <w:rPr>
                <w:bCs/>
              </w:rPr>
            </w:pPr>
            <w:r>
              <w:rPr>
                <w:bCs/>
              </w:rPr>
              <w:t>l'ATP</w:t>
            </w:r>
          </w:p>
        </w:tc>
        <w:tc>
          <w:tcPr>
            <w:tcW w:w="3119" w:type="dxa"/>
          </w:tcPr>
          <w:p>
            <w:pPr>
              <w:rPr>
                <w:bCs/>
              </w:rPr>
            </w:pPr>
            <w:r>
              <w:rPr>
                <w:bCs/>
              </w:rPr>
              <w:t>Les nucléotides triphosphate</w:t>
            </w:r>
          </w:p>
        </w:tc>
        <w:tc>
          <w:tcPr>
            <w:tcW w:w="3087" w:type="dxa"/>
          </w:tcPr>
          <w:p>
            <w:pPr>
              <w:rPr>
                <w:bCs/>
              </w:rPr>
            </w:pPr>
            <w:r>
              <w:rPr>
                <w:bCs/>
              </w:rPr>
              <w:t>Les dérivés nicotinamides</w:t>
            </w:r>
          </w:p>
        </w:tc>
      </w:tr>
    </w:tbl>
    <w:p>
      <w:r>
        <w:t>L’ATP est formée d’un adénine et d’un ribose (adénosine) et de plusieurs groupements phosphates.</w:t>
      </w:r>
    </w:p>
    <w:p>
      <w:r>
        <w:t xml:space="preserve">La rupture d’une liaison phosphate-phosphate comme pour l’hydrolyse de l’ATP libère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r>
          <w:rPr>
            <w:rFonts w:ascii="Cambria Math" w:eastAsiaTheme="minorEastAsia" w:hAnsi="Cambria Math"/>
          </w:rPr>
          <m:t>=30,5 kJ.</m:t>
        </m:r>
        <m:sSup>
          <m:sSupPr>
            <m:ctrlPr>
              <w:rPr>
                <w:rFonts w:ascii="Cambria Math" w:eastAsiaTheme="minorEastAsia" w:hAnsi="Cambria Math"/>
                <w:i/>
              </w:rPr>
            </m:ctrlPr>
          </m:sSupPr>
          <m:e>
            <m:r>
              <w:rPr>
                <w:rFonts w:ascii="Cambria Math" w:eastAsiaTheme="minorEastAsia" w:hAnsi="Cambria Math"/>
              </w:rPr>
              <m:t>mol</m:t>
            </m:r>
          </m:e>
          <m:sup>
            <m:r>
              <w:rPr>
                <w:rFonts w:ascii="Cambria Math" w:eastAsiaTheme="minorEastAsia" w:hAnsi="Cambria Math"/>
              </w:rPr>
              <m:t>-1</m:t>
            </m:r>
          </m:sup>
        </m:sSup>
        <m:r>
          <w:rPr>
            <w:rFonts w:ascii="Cambria Math" w:eastAsiaTheme="minorEastAsia" w:hAnsi="Cambria Math"/>
          </w:rPr>
          <m:t>=7.3kcal.</m:t>
        </m:r>
        <m:sSup>
          <m:sSupPr>
            <m:ctrlPr>
              <w:rPr>
                <w:rFonts w:ascii="Cambria Math" w:eastAsiaTheme="minorEastAsia" w:hAnsi="Cambria Math"/>
                <w:i/>
              </w:rPr>
            </m:ctrlPr>
          </m:sSupPr>
          <m:e>
            <m:r>
              <w:rPr>
                <w:rFonts w:ascii="Cambria Math" w:eastAsiaTheme="minorEastAsia" w:hAnsi="Cambria Math"/>
              </w:rPr>
              <m:t>mol</m:t>
            </m:r>
          </m:e>
          <m:sup>
            <m:r>
              <w:rPr>
                <w:rFonts w:ascii="Cambria Math" w:eastAsiaTheme="minorEastAsia" w:hAnsi="Cambria Math"/>
              </w:rPr>
              <m:t>-1</m:t>
            </m:r>
          </m:sup>
        </m:sSup>
      </m:oMath>
      <w:r>
        <w:t xml:space="preserve"> en condition standard (1atm et 25 C°) et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r>
          <w:rPr>
            <w:rFonts w:ascii="Cambria Math" w:eastAsiaTheme="minorEastAsia" w:hAnsi="Cambria Math"/>
          </w:rPr>
          <m:t>=-50</m:t>
        </m:r>
      </m:oMath>
      <w:r>
        <w:rPr>
          <w:rFonts w:eastAsiaTheme="minorEastAsia"/>
        </w:rPr>
        <w:t xml:space="preserve"> </w:t>
      </w:r>
      <m:oMath>
        <m:r>
          <w:rPr>
            <w:rFonts w:ascii="Cambria Math" w:eastAsiaTheme="minorEastAsia" w:hAnsi="Cambria Math"/>
          </w:rPr>
          <m:t>kJ.</m:t>
        </m:r>
        <m:sSup>
          <m:sSupPr>
            <m:ctrlPr>
              <w:rPr>
                <w:rFonts w:ascii="Cambria Math" w:eastAsiaTheme="minorEastAsia" w:hAnsi="Cambria Math"/>
                <w:i/>
              </w:rPr>
            </m:ctrlPr>
          </m:sSupPr>
          <m:e>
            <m:r>
              <w:rPr>
                <w:rFonts w:ascii="Cambria Math" w:eastAsiaTheme="minorEastAsia" w:hAnsi="Cambria Math"/>
              </w:rPr>
              <m:t>mol</m:t>
            </m:r>
          </m:e>
          <m:sup>
            <m:r>
              <w:rPr>
                <w:rFonts w:ascii="Cambria Math" w:eastAsiaTheme="minorEastAsia" w:hAnsi="Cambria Math"/>
              </w:rPr>
              <m:t>-1</m:t>
            </m:r>
          </m:sup>
        </m:sSup>
      </m:oMath>
      <w:r>
        <w:rPr>
          <w:rFonts w:eastAsiaTheme="minorEastAsia"/>
        </w:rPr>
        <w:t xml:space="preserve"> à 37 °C.</w:t>
      </w:r>
    </w:p>
    <w:p>
      <w:r>
        <w:rPr>
          <w:rStyle w:val="Accentuation"/>
        </w:rPr>
        <w:t>Chimiosmose</w:t>
      </w:r>
      <w:r>
        <w:t xml:space="preserve"> processus d’utilisation du gradient électronique pour effectuer un travail. C’est la chimiosmose qui permet la synthèse de l’ATP.</w:t>
      </w:r>
    </w:p>
    <w:p>
      <w:r>
        <w:rPr>
          <w:rStyle w:val="Accentuation"/>
        </w:rPr>
        <w:t>Rendement</w:t>
      </w:r>
      <w:r>
        <w:t xml:space="preserve"> biomasse formée (g)/substrat consommé</w:t>
      </w:r>
    </w:p>
    <w:p>
      <w:pPr>
        <w:pStyle w:val="Titre2"/>
      </w:pPr>
      <w:r>
        <w:t>Introduction aux réactions métaboliques</w:t>
      </w:r>
    </w:p>
    <w:p>
      <w:r>
        <w:t>Le métabolisme possède deux composantes, les activités :</w:t>
      </w:r>
    </w:p>
    <w:tbl>
      <w:tblPr>
        <w:tblStyle w:val="Grilledetableauclaire"/>
        <w:tblW w:w="0" w:type="auto"/>
        <w:tblLook w:val="0400" w:firstRow="0" w:lastRow="0" w:firstColumn="0" w:lastColumn="0" w:noHBand="0" w:noVBand="1"/>
      </w:tblPr>
      <w:tblGrid>
        <w:gridCol w:w="3667"/>
        <w:gridCol w:w="3668"/>
      </w:tblGrid>
      <w:tr>
        <w:tc>
          <w:tcPr>
            <w:tcW w:w="3667" w:type="dxa"/>
          </w:tcPr>
          <w:p>
            <w:r>
              <w:t>Anaboliques (synthèse de molécules)</w:t>
            </w:r>
          </w:p>
        </w:tc>
        <w:tc>
          <w:tcPr>
            <w:tcW w:w="3668" w:type="dxa"/>
          </w:tcPr>
          <w:p>
            <w:r>
              <w:t>Cataboliques (dégradation de molécules)</w:t>
            </w:r>
          </w:p>
        </w:tc>
      </w:tr>
    </w:tbl>
    <w:p>
      <w:r>
        <w:t>L’activité anabolique consiste à additionner de petites molécules simples pour en former des plus complexes. Cette opération nécessite de l’énergie.</w:t>
      </w:r>
    </w:p>
    <w:p>
      <w:r>
        <w:rPr>
          <w:u w:val="single"/>
        </w:rPr>
        <w:t>Rmq :</w:t>
      </w:r>
      <w:r>
        <w:t xml:space="preserve"> Une réaction thermodynamiquement impossible càd endergonique peut se dérouler si elle est couplée avec une réaction exergonique.</w:t>
      </w:r>
    </w:p>
    <w:p>
      <w:r>
        <w:rPr>
          <w:rStyle w:val="Accentuation"/>
        </w:rPr>
        <w:t>Voie métabolique</w:t>
      </w:r>
      <w:r>
        <w:t xml:space="preserve"> successions de réactions intermédiaires qui permettent d’obtenir un produit.</w:t>
      </w:r>
    </w:p>
    <w:p>
      <w:r>
        <w:rPr>
          <w:u w:val="single"/>
        </w:rPr>
        <w:t>Rmq :</w:t>
      </w:r>
      <w:r>
        <w:t xml:space="preserve"> certains intermédiaires servent dans plusieurs voies métaboliques.</w:t>
      </w:r>
    </w:p>
    <w:p>
      <w:pPr>
        <w:pStyle w:val="Titre2"/>
      </w:pPr>
      <w:r>
        <w:t>Compartimentation de l’organisme</w:t>
      </w:r>
    </w:p>
    <w:p>
      <w:r>
        <w:t xml:space="preserve">L’apparition des compartiments a permis : </w:t>
      </w:r>
    </w:p>
    <w:p>
      <w:pPr>
        <w:pStyle w:val="Paragraphedeliste"/>
        <w:numPr>
          <w:ilvl w:val="0"/>
          <w:numId w:val="5"/>
        </w:numPr>
      </w:pPr>
      <w:r>
        <w:t>De facilité la rencontre entre les substrats.</w:t>
      </w:r>
    </w:p>
    <w:p>
      <w:pPr>
        <w:pStyle w:val="Paragraphedeliste"/>
        <w:numPr>
          <w:ilvl w:val="0"/>
          <w:numId w:val="5"/>
        </w:numPr>
      </w:pPr>
      <w:r>
        <w:t>à des réactions antagonistes de pouvoir se dérouler au même moment dans la cellule.</w:t>
      </w:r>
    </w:p>
    <w:p>
      <w:r>
        <w:t>On trouve des compartiments à la fois au niveau :</w:t>
      </w:r>
    </w:p>
    <w:p>
      <w:pPr>
        <w:pStyle w:val="Paragraphedeliste"/>
        <w:numPr>
          <w:ilvl w:val="0"/>
          <w:numId w:val="13"/>
        </w:numPr>
      </w:pPr>
      <w:r>
        <w:t>Cellulaire (Cellulaire mitochondrie, cytosol, lysosome, REL, peroxysome).</w:t>
      </w:r>
    </w:p>
    <w:p>
      <w:pPr>
        <w:pStyle w:val="Paragraphedeliste"/>
        <w:numPr>
          <w:ilvl w:val="0"/>
          <w:numId w:val="13"/>
        </w:numPr>
      </w:pPr>
      <w:r>
        <w:t>Tissulaire (par exemple, le foie produit du glucose).</w:t>
      </w:r>
    </w:p>
    <w:p>
      <w:r>
        <w:rPr>
          <w:u w:val="single"/>
        </w:rPr>
        <w:lastRenderedPageBreak/>
        <w:t>Rmq :</w:t>
      </w:r>
      <w:r>
        <w:t xml:space="preserve"> Il est possible de catégoriser les organes en fonction de leur rôle : utilisateur, de stockage ou synthétiseur.</w:t>
      </w:r>
    </w:p>
    <w:p>
      <w:pPr>
        <w:pStyle w:val="Titre2"/>
      </w:pPr>
      <w:r>
        <w:t>Réaction</w:t>
      </w:r>
    </w:p>
    <w:p>
      <w:r>
        <w:t>Pour qu’une réaction chimique est lieu, il faut que les molécules atteignent un niveau d’énergie plus élevé que celui initial appelé état de transition. Les réactions principales sont :</w:t>
      </w:r>
    </w:p>
    <w:p>
      <w:pPr>
        <w:pStyle w:val="Paragraphedeliste"/>
        <w:numPr>
          <w:ilvl w:val="0"/>
          <w:numId w:val="12"/>
        </w:numPr>
      </w:pPr>
      <w:r>
        <w:t>Hydrolyse (hydrolase).</w:t>
      </w:r>
    </w:p>
    <w:p>
      <w:pPr>
        <w:pStyle w:val="Paragraphedeliste"/>
        <w:numPr>
          <w:ilvl w:val="0"/>
          <w:numId w:val="12"/>
        </w:numPr>
      </w:pPr>
      <w:r>
        <w:t>Addition/élimination.</w:t>
      </w:r>
    </w:p>
    <w:p>
      <w:pPr>
        <w:pStyle w:val="Paragraphedeliste"/>
        <w:numPr>
          <w:ilvl w:val="0"/>
          <w:numId w:val="12"/>
        </w:numPr>
      </w:pPr>
      <w:r>
        <w:t>Isomérisation (isomérase) transfert d’un groupement au sein d’une molécule.</w:t>
      </w:r>
    </w:p>
    <w:p>
      <w:pPr>
        <w:pStyle w:val="Paragraphedeliste"/>
        <w:numPr>
          <w:ilvl w:val="0"/>
          <w:numId w:val="12"/>
        </w:numPr>
      </w:pPr>
      <w:r>
        <w:t xml:space="preserve">Transfert de groupe (transférase) transfert d’un groupement entre deux molécules. </w:t>
      </w:r>
    </w:p>
    <w:p>
      <w:pPr>
        <w:pStyle w:val="Paragraphedeliste"/>
        <w:numPr>
          <w:ilvl w:val="0"/>
          <w:numId w:val="12"/>
        </w:numPr>
      </w:pPr>
      <w:r>
        <w:t>Oxydo-réduction (oxydoréductase). Elle utilise deux sortes de co-enzymes NADH et FADH</w:t>
      </w:r>
      <w:r>
        <w:rPr>
          <w:vertAlign w:val="subscript"/>
        </w:rPr>
        <w:t>2</w:t>
      </w:r>
      <w:r>
        <w:t>.</w:t>
      </w:r>
    </w:p>
    <w:p>
      <w:pPr>
        <w:pStyle w:val="Paragraphedeliste"/>
        <w:numPr>
          <w:ilvl w:val="0"/>
          <w:numId w:val="12"/>
        </w:numPr>
      </w:pPr>
      <w:r>
        <w:t>Ligation (ligase) liaison entre deux substrats. Ce type de réaction nécessite de l’ATP.</w:t>
      </w:r>
    </w:p>
    <w:p>
      <w:r>
        <w:rPr>
          <w:u w:val="single"/>
        </w:rPr>
        <w:t>Rmq :</w:t>
      </w:r>
      <w:r>
        <w:t xml:space="preserve"> Les réactions où l’état de transition est inférieur au niveau d’énergie sont spontanées et par définition, elles ont déjà eu lieu. </w:t>
      </w:r>
    </w:p>
    <w:p>
      <w:r>
        <w:t>Les réactions font intervenir des transporteurs.</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Particules échangées</w:t>
            </w:r>
          </w:p>
        </w:tc>
        <w:tc>
          <w:tcPr>
            <w:tcW w:w="3668" w:type="dxa"/>
          </w:tcPr>
          <w:p>
            <w:r>
              <w:t>Transporteurs</w:t>
            </w:r>
          </w:p>
        </w:tc>
      </w:tr>
      <w:tr>
        <w:tc>
          <w:tcPr>
            <w:tcW w:w="3667" w:type="dxa"/>
          </w:tcPr>
          <w:p>
            <w:r>
              <w:t>Groupement acyle (ex : cétone)</w:t>
            </w:r>
          </w:p>
        </w:tc>
        <w:tc>
          <w:tcPr>
            <w:tcW w:w="3668" w:type="dxa"/>
          </w:tcPr>
          <w:p>
            <w:r>
              <w:t>Coenzyme A</w:t>
            </w:r>
          </w:p>
        </w:tc>
      </w:tr>
      <w:tr>
        <w:tc>
          <w:tcPr>
            <w:tcW w:w="3667" w:type="dxa"/>
          </w:tcPr>
          <w:p>
            <w:r>
              <w:t>Électrons</w:t>
            </w:r>
          </w:p>
        </w:tc>
        <w:tc>
          <w:tcPr>
            <w:tcW w:w="3668" w:type="dxa"/>
          </w:tcPr>
          <w:p>
            <w:r>
              <w:t>NADH FADH</w:t>
            </w:r>
            <w:r>
              <w:rPr>
                <w:vertAlign w:val="subscript"/>
              </w:rPr>
              <w:t>2</w:t>
            </w:r>
          </w:p>
        </w:tc>
      </w:tr>
      <w:tr>
        <w:tc>
          <w:tcPr>
            <w:tcW w:w="3667" w:type="dxa"/>
          </w:tcPr>
          <w:p>
            <w:r>
              <w:t>Énergie</w:t>
            </w:r>
          </w:p>
        </w:tc>
        <w:tc>
          <w:tcPr>
            <w:tcW w:w="3668" w:type="dxa"/>
          </w:tcPr>
          <w:p>
            <w:r>
              <w:t xml:space="preserve">ATP </w:t>
            </w:r>
          </w:p>
        </w:tc>
      </w:tr>
    </w:tbl>
    <w:p>
      <w:pPr>
        <w:pStyle w:val="Titre3"/>
      </w:pPr>
      <w:r>
        <w:t>Les enzymes</w:t>
      </w:r>
    </w:p>
    <w:p>
      <w:r>
        <w:t>Les enzymes sont des protéines qui jouent le rôle de catalyseur. Elles servent à faciliter la réaction càd à augmenter sa vitesse en :</w:t>
      </w:r>
    </w:p>
    <w:p>
      <w:pPr>
        <w:pStyle w:val="Paragraphedeliste"/>
        <w:numPr>
          <w:ilvl w:val="0"/>
          <w:numId w:val="1"/>
        </w:numPr>
      </w:pPr>
      <w:r>
        <w:t>Diminuant la barrière énergétique de la réaction.</w:t>
      </w:r>
    </w:p>
    <w:p>
      <w:pPr>
        <w:pStyle w:val="Paragraphedeliste"/>
        <w:numPr>
          <w:ilvl w:val="0"/>
          <w:numId w:val="1"/>
        </w:numPr>
      </w:pPr>
      <w:r>
        <w:t>Facilitant la rencontre et le positionnement des groupements réactionnels.</w:t>
      </w:r>
    </w:p>
    <w:p>
      <w:r>
        <w:t>La régulation de l’activité métabolique peut se faire par :</w:t>
      </w:r>
    </w:p>
    <w:p>
      <w:pPr>
        <w:pStyle w:val="Paragraphedeliste"/>
        <w:numPr>
          <w:ilvl w:val="0"/>
          <w:numId w:val="3"/>
        </w:numPr>
      </w:pPr>
      <w:r>
        <w:t>La régulation de la quantité d’enzymes disponible. Elle dépend de l’activités de dégradation et de synthèse pré ou post traductionnelle.</w:t>
      </w:r>
    </w:p>
    <w:p>
      <w:pPr>
        <w:pStyle w:val="Paragraphedeliste"/>
        <w:numPr>
          <w:ilvl w:val="0"/>
          <w:numId w:val="2"/>
        </w:numPr>
      </w:pPr>
      <w:r>
        <w:t>La catalyse enzymatique. Par exemple, l’ajout de groupement sur certaines protéines permet de modifier l’activité de l’enzyme comme pour les enzymes digestives qui adoptent leur conformation active à la suite d’une coupure d’une partie de la chaine peptidique.</w:t>
      </w:r>
    </w:p>
    <w:p>
      <w:pPr>
        <w:pStyle w:val="Paragraphedeliste"/>
        <w:numPr>
          <w:ilvl w:val="0"/>
          <w:numId w:val="2"/>
        </w:numPr>
      </w:pPr>
      <w:r>
        <w:t>L’accessibilité du substrat. Par exemple, la quantité de glucose dans la cellule dépend du nombre de molécules phosphorylées.</w:t>
      </w:r>
    </w:p>
    <w:p>
      <w:r>
        <w:t>Les site de contrôle sont souvent des étapes irréversibles.</w:t>
      </w:r>
    </w:p>
    <w:p>
      <w:pPr>
        <w:pStyle w:val="Titre3"/>
      </w:pPr>
      <w:r>
        <w:t>Régulation des enzymes</w:t>
      </w:r>
    </w:p>
    <w:p>
      <w:r>
        <w:t>Le rétrocontrôle enzymatique peut être :</w:t>
      </w:r>
    </w:p>
    <w:tbl>
      <w:tblPr>
        <w:tblStyle w:val="Grilledetableauclaire"/>
        <w:tblW w:w="0" w:type="auto"/>
        <w:tblLook w:val="0400" w:firstRow="0" w:lastRow="0" w:firstColumn="0" w:lastColumn="0" w:noHBand="0" w:noVBand="1"/>
      </w:tblPr>
      <w:tblGrid>
        <w:gridCol w:w="3667"/>
        <w:gridCol w:w="3668"/>
      </w:tblGrid>
      <w:tr>
        <w:tc>
          <w:tcPr>
            <w:tcW w:w="3667" w:type="dxa"/>
          </w:tcPr>
          <w:p>
            <w:r>
              <w:t>Positif</w:t>
            </w:r>
          </w:p>
        </w:tc>
        <w:tc>
          <w:tcPr>
            <w:tcW w:w="3668" w:type="dxa"/>
          </w:tcPr>
          <w:p>
            <w:r>
              <w:t>Négatif (ou inhibiteur)</w:t>
            </w:r>
          </w:p>
        </w:tc>
      </w:tr>
    </w:tbl>
    <w:p>
      <w:r>
        <w:t>L’inhibiteur peut être réversible ou irréversible. Dans le deuxième cas, site de liaison est permanent sur le site actif (compétitif) ou non (non compétitif).</w:t>
      </w:r>
    </w:p>
    <w:p>
      <w:pPr>
        <w:pStyle w:val="Titre2"/>
      </w:pPr>
      <w:r>
        <w:t>La catabolisme</w:t>
      </w:r>
    </w:p>
    <w:p>
      <w:r>
        <w:t>Le catabolisme consiste en :</w:t>
      </w:r>
    </w:p>
    <w:p>
      <w:pPr>
        <w:pStyle w:val="Paragraphedeliste"/>
        <w:numPr>
          <w:ilvl w:val="0"/>
          <w:numId w:val="6"/>
        </w:numPr>
      </w:pPr>
      <w:r>
        <w:t>La dégradation de macromolécules en petites unités :</w:t>
      </w:r>
    </w:p>
    <w:p>
      <w:pPr>
        <w:pStyle w:val="Paragraphedeliste"/>
        <w:numPr>
          <w:ilvl w:val="1"/>
          <w:numId w:val="6"/>
        </w:numPr>
      </w:pPr>
      <w:r>
        <w:t>Les lipides en acide gras et glycérols par les lipases.</w:t>
      </w:r>
    </w:p>
    <w:p>
      <w:pPr>
        <w:pStyle w:val="Paragraphedeliste"/>
        <w:numPr>
          <w:ilvl w:val="1"/>
          <w:numId w:val="6"/>
        </w:numPr>
      </w:pPr>
      <w:r>
        <w:t>Les protéines en acide aminées par les protéases (appelé aussi peptidases). Elles subissent une dénaturation par la diminution du pH pour pouvoir être dégradées.</w:t>
      </w:r>
    </w:p>
    <w:p>
      <w:pPr>
        <w:pStyle w:val="Paragraphedeliste"/>
        <w:numPr>
          <w:ilvl w:val="1"/>
          <w:numId w:val="6"/>
        </w:numPr>
      </w:pPr>
      <w:r>
        <w:t>Les polysaccharides (polymère de sucres) en glucose et sucres simples par les glycosidases.</w:t>
      </w:r>
    </w:p>
    <w:p>
      <w:pPr>
        <w:pStyle w:val="Paragraphedeliste"/>
        <w:numPr>
          <w:ilvl w:val="0"/>
          <w:numId w:val="6"/>
        </w:numPr>
      </w:pPr>
      <w:r>
        <w:lastRenderedPageBreak/>
        <w:t xml:space="preserve">Une partie des plus petites unités est transformée en un nombre restreint de molécules appelées métabolites comme le pyruvate ou l’acétyl-coA. Par exemple : </w:t>
      </w:r>
    </w:p>
    <w:p>
      <w:pPr>
        <w:pStyle w:val="Paragraphedeliste"/>
        <w:numPr>
          <w:ilvl w:val="1"/>
          <w:numId w:val="6"/>
        </w:numPr>
      </w:pPr>
      <w:r>
        <w:t>l’oxydation complète de l’acétyl-coA sert à produire les molécules énergétiques notamment l’ATP au cours du cycle de l’acide citrique et de la phosphorylation oxydative.</w:t>
      </w:r>
    </w:p>
    <w:p>
      <w:pPr>
        <w:pStyle w:val="Paragraphedeliste"/>
        <w:numPr>
          <w:ilvl w:val="1"/>
          <w:numId w:val="6"/>
        </w:numPr>
      </w:pPr>
      <w:r>
        <w:t>Le pyruvate sera utilisé dans la fermentation alcoolique, la respiration aérobie et la production de lactate dans les cellules musculaires.</w:t>
      </w:r>
    </w:p>
    <w:p>
      <w:pPr>
        <w:rPr>
          <w:highlight w:val="yellow"/>
        </w:rPr>
      </w:pPr>
      <w:r>
        <w:rPr>
          <w:u w:val="single"/>
        </w:rPr>
        <w:t>Rmq :</w:t>
      </w:r>
      <w:r>
        <w:t xml:space="preserve"> seuls les nucléotides issus de la dégradation de ADN, ARN par les nucléases ne peuvent pas être utilisés pour fabriquer de l’énergie.</w:t>
      </w:r>
    </w:p>
    <w:p>
      <w:pPr>
        <w:pStyle w:val="Titre1"/>
        <w:rPr>
          <w:rFonts w:eastAsiaTheme="minorEastAsia"/>
        </w:rPr>
      </w:pPr>
      <w:r>
        <w:rPr>
          <w:rFonts w:eastAsiaTheme="minorEastAsia"/>
        </w:rPr>
        <w:t>La respiration cellulaire</w:t>
      </w:r>
    </w:p>
    <w:p>
      <w:r>
        <w:t>La respiration cellulaire consiste à extraire l’énergie du acétyl-CoA en utilisant du dioxygène pour recharger l’ADP en ATP. Elle a lieu dans les mitochondries et est composée :</w:t>
      </w:r>
    </w:p>
    <w:p>
      <w:pPr>
        <w:pStyle w:val="Paragraphedeliste"/>
        <w:numPr>
          <w:ilvl w:val="0"/>
          <w:numId w:val="20"/>
        </w:numPr>
      </w:pPr>
      <w:r>
        <w:t>Du cycle de l’acide citrique (cycle de Krebs).</w:t>
      </w:r>
    </w:p>
    <w:p>
      <w:pPr>
        <w:pStyle w:val="Paragraphedeliste"/>
        <w:numPr>
          <w:ilvl w:val="0"/>
          <w:numId w:val="20"/>
        </w:numPr>
      </w:pPr>
      <w:r>
        <w:t>De la phosphorylation oxydative.</w:t>
      </w:r>
    </w:p>
    <w:p>
      <w:r>
        <w:t>L’énergie stockée dans l’ATP pourra être libérée pour réaliser :</w:t>
      </w:r>
    </w:p>
    <w:p>
      <w:pPr>
        <w:pStyle w:val="Paragraphedeliste"/>
        <w:numPr>
          <w:ilvl w:val="0"/>
          <w:numId w:val="27"/>
        </w:numPr>
      </w:pPr>
      <w:r>
        <w:t>Les mouvements des flagelles</w:t>
      </w:r>
    </w:p>
    <w:p>
      <w:pPr>
        <w:pStyle w:val="Paragraphedeliste"/>
        <w:numPr>
          <w:ilvl w:val="0"/>
          <w:numId w:val="27"/>
        </w:numPr>
      </w:pPr>
      <w:r>
        <w:t>Le transport actif de solutés</w:t>
      </w:r>
    </w:p>
    <w:p>
      <w:pPr>
        <w:pStyle w:val="Paragraphedeliste"/>
        <w:numPr>
          <w:ilvl w:val="0"/>
          <w:numId w:val="27"/>
        </w:numPr>
      </w:pPr>
      <w:r>
        <w:t>La polymérisation</w:t>
      </w:r>
    </w:p>
    <w:p>
      <w:pPr>
        <w:pStyle w:val="Paragraphedeliste"/>
        <w:numPr>
          <w:ilvl w:val="0"/>
          <w:numId w:val="27"/>
        </w:numPr>
      </w:pPr>
      <w:r>
        <w:t>La contraction musculaire</w:t>
      </w:r>
    </w:p>
    <w:p>
      <w:r>
        <w:rPr>
          <w:u w:val="single"/>
        </w:rPr>
        <w:t>Rmq :</w:t>
      </w:r>
      <w:r>
        <w:t xml:space="preserve"> la glycolyse est le mécanisme qui génère la majorité de l’acétyl-coA et donc de l’énergie dans les cellule aérobies. Une mole de glucose permet de produire en moyenne 32 moles ATP.</w:t>
      </w:r>
    </w:p>
    <w:p>
      <w:pPr>
        <w:pStyle w:val="Titre3"/>
      </w:pPr>
      <w:r>
        <w:t>La mitochondrie</w:t>
      </w:r>
    </w:p>
    <w:p>
      <w:pPr>
        <w:jc w:val="left"/>
      </w:pPr>
      <w:r>
        <w:t>La mitochondrie est composée de :</w:t>
      </w:r>
    </w:p>
    <w:p>
      <w:pPr>
        <w:pStyle w:val="Paragraphedeliste"/>
        <w:numPr>
          <w:ilvl w:val="0"/>
          <w:numId w:val="22"/>
        </w:numPr>
      </w:pPr>
      <w:r>
        <w:t>Une membrane externe est perméable protéines canaux = porine, transporteur laisse passer les protéines (TOM et TIM).</w:t>
      </w:r>
    </w:p>
    <w:p>
      <w:pPr>
        <w:pStyle w:val="Paragraphedeliste"/>
        <w:numPr>
          <w:ilvl w:val="0"/>
          <w:numId w:val="22"/>
        </w:numPr>
      </w:pPr>
      <w:r>
        <w:t>Une membrane interne comportant de nombreux replie appeler crête qui augmente sa surface. C’est le lieu de la chaine respiratoire.</w:t>
      </w:r>
    </w:p>
    <w:p>
      <w:pPr>
        <w:pStyle w:val="Paragraphedeliste"/>
        <w:numPr>
          <w:ilvl w:val="0"/>
          <w:numId w:val="22"/>
        </w:numPr>
      </w:pPr>
      <w:r>
        <w:t>La matrice mitochondriale qui contient notamment de l’ADN et des ribosomes servant à la synthèse de protéines spécifiques.</w:t>
      </w:r>
      <w:r>
        <w:rPr>
          <w:rFonts w:ascii="Arial" w:hAnsi="Arial" w:cs="Arial"/>
          <w:color w:val="202122"/>
          <w:sz w:val="21"/>
          <w:szCs w:val="21"/>
          <w:shd w:val="clear" w:color="auto" w:fill="FFFFFF"/>
        </w:rPr>
        <w:t xml:space="preserve"> </w:t>
      </w:r>
    </w:p>
    <w:p>
      <w:pPr>
        <w:pStyle w:val="Titre2"/>
      </w:pPr>
      <w:r>
        <w:t>Production d’acétyle coA pour le cycle de l’acide citrique</w:t>
      </w:r>
    </w:p>
    <w:p>
      <w:r>
        <w:t>Le cycle de l’acide citrique a comme substrat l’acétyl-coA. Il est produit à partir</w:t>
      </w:r>
    </w:p>
    <w:p>
      <w:pPr>
        <w:pStyle w:val="Paragraphedeliste"/>
        <w:numPr>
          <w:ilvl w:val="0"/>
          <w:numId w:val="24"/>
        </w:numPr>
      </w:pPr>
      <w:r>
        <w:t>De l’oxydation du glucose.</w:t>
      </w:r>
    </w:p>
    <w:p>
      <w:pPr>
        <w:pStyle w:val="Paragraphedeliste"/>
        <w:numPr>
          <w:ilvl w:val="0"/>
          <w:numId w:val="24"/>
        </w:numPr>
      </w:pPr>
      <w:r>
        <w:t>D’acide gras découpés en morceaux de deux carbones (groupement acétyle) au cours de la béta oxydation. Cela a lieu dans la mitochondrie. Au cours de cette réaction, il y a production de FADH</w:t>
      </w:r>
      <w:r>
        <w:rPr>
          <w:vertAlign w:val="subscript"/>
        </w:rPr>
        <w:t>2</w:t>
      </w:r>
      <w:r>
        <w:t>.</w:t>
      </w:r>
    </w:p>
    <w:p>
      <w:r>
        <w:rPr>
          <w:u w:val="single"/>
        </w:rPr>
        <w:t>Rmq :</w:t>
      </w:r>
      <w:r>
        <w:t xml:space="preserve"> Une partie de l’acétyl-coA est modifiée pour produire certains acides aminés. </w:t>
      </w:r>
    </w:p>
    <w:p>
      <w:pPr>
        <w:pStyle w:val="Titre2"/>
      </w:pPr>
      <w:r>
        <w:t>Le cycle de l’acide citrique (ou cycle de Krebs)</w:t>
      </w:r>
    </w:p>
    <w:p>
      <w:r>
        <w:t>Le cycle de l’acide citrique qui produit 2x ATP, 3x NADH, 1x FADH</w:t>
      </w:r>
      <w:r>
        <w:rPr>
          <w:vertAlign w:val="subscript"/>
        </w:rPr>
        <w:t>2</w:t>
      </w:r>
      <w:r>
        <w:t>. Ces deux derniers serviront notamment à la phosphorylation oxydative. Le cycle libère deux CO</w:t>
      </w:r>
      <w:r>
        <w:rPr>
          <w:vertAlign w:val="subscript"/>
        </w:rPr>
        <w:t>2</w:t>
      </w:r>
      <w:r>
        <w:t>.</w:t>
      </w:r>
    </w:p>
    <w:p>
      <w:r>
        <w:t>Le cycle se déroule en huit étapes avec notamment :</w:t>
      </w:r>
    </w:p>
    <w:p>
      <w:pPr>
        <w:pStyle w:val="Paragraphedeliste"/>
        <w:numPr>
          <w:ilvl w:val="0"/>
          <w:numId w:val="23"/>
        </w:numPr>
      </w:pPr>
      <w:r>
        <w:t>L’acétyl-coA est ajouté à une molécule d’oxaloacétate pour produire du citrate.</w:t>
      </w:r>
    </w:p>
    <w:p>
      <w:pPr>
        <w:pStyle w:val="Paragraphedeliste"/>
        <w:numPr>
          <w:ilvl w:val="0"/>
          <w:numId w:val="23"/>
        </w:numPr>
      </w:pPr>
      <w:r>
        <w:t>Les électrons sont apportés au NAD</w:t>
      </w:r>
      <w:r>
        <w:rPr>
          <w:vertAlign w:val="superscript"/>
        </w:rPr>
        <w:t>+</w:t>
      </w:r>
      <w:r>
        <w:t xml:space="preserve"> par la déshydrogénase qui devient du NADH.</w:t>
      </w:r>
    </w:p>
    <w:p>
      <w:pPr>
        <w:pStyle w:val="Paragraphedeliste"/>
      </w:pPr>
      <w:r>
        <w:rPr>
          <w:noProof/>
        </w:rPr>
        <w:drawing>
          <wp:inline distT="0" distB="0" distL="0" distR="0">
            <wp:extent cx="3554095" cy="640080"/>
            <wp:effectExtent l="0" t="0" r="8255"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4095" cy="640080"/>
                    </a:xfrm>
                    <a:prstGeom prst="rect">
                      <a:avLst/>
                    </a:prstGeom>
                    <a:noFill/>
                  </pic:spPr>
                </pic:pic>
              </a:graphicData>
            </a:graphic>
          </wp:inline>
        </w:drawing>
      </w:r>
    </w:p>
    <w:p>
      <w:pPr>
        <w:pStyle w:val="Paragraphedeliste"/>
        <w:numPr>
          <w:ilvl w:val="0"/>
          <w:numId w:val="23"/>
        </w:numPr>
      </w:pPr>
      <w:r>
        <w:lastRenderedPageBreak/>
        <w:t>Le malate est retransformé en oxaloacétate et du NADH est produit.</w:t>
      </w:r>
    </w:p>
    <w:p>
      <w:r>
        <w:rPr>
          <w:u w:val="single"/>
        </w:rPr>
        <w:t>Rmq :</w:t>
      </w:r>
      <w:r>
        <w:t xml:space="preserve"> le NAD</w:t>
      </w:r>
      <w:r>
        <w:rPr>
          <w:vertAlign w:val="superscript"/>
        </w:rPr>
        <w:t>+</w:t>
      </w:r>
      <w:r>
        <w:t xml:space="preserve"> est un dérivé de la vitamine B</w:t>
      </w:r>
      <w:r>
        <w:rPr>
          <w:vertAlign w:val="subscript"/>
        </w:rPr>
        <w:t>3</w:t>
      </w:r>
      <w:r>
        <w:t>.</w:t>
      </w:r>
    </w:p>
    <w:p>
      <w:pPr>
        <w:pStyle w:val="Titre2"/>
      </w:pPr>
      <w:r>
        <w:t>Phosphorylation oxydative</w:t>
      </w:r>
    </w:p>
    <w:p>
      <w:r>
        <w:t>La phosphorylation oxydative est l’étape qui produit 90% de l’ATP. Il est composé de deux étapes :</w:t>
      </w:r>
    </w:p>
    <w:p>
      <w:pPr>
        <w:pStyle w:val="Paragraphedeliste"/>
        <w:numPr>
          <w:ilvl w:val="0"/>
          <w:numId w:val="25"/>
        </w:numPr>
      </w:pPr>
      <w:r>
        <w:t>La chaine de transport d’électrons qui créer le gradient de H</w:t>
      </w:r>
      <w:r>
        <w:rPr>
          <w:vertAlign w:val="superscript"/>
        </w:rPr>
        <w:t>+</w:t>
      </w:r>
      <w:r>
        <w:t>.</w:t>
      </w:r>
    </w:p>
    <w:p>
      <w:pPr>
        <w:pStyle w:val="Paragraphedeliste"/>
        <w:numPr>
          <w:ilvl w:val="0"/>
          <w:numId w:val="25"/>
        </w:numPr>
      </w:pPr>
      <w:r>
        <w:t>La chimiosmose qui phosphoryle l’ADP en ATP.</w:t>
      </w:r>
    </w:p>
    <w:p>
      <w:pPr>
        <w:pStyle w:val="Titre3"/>
        <w:rPr>
          <w:rFonts w:eastAsiaTheme="minorEastAsia"/>
        </w:rPr>
      </w:pPr>
      <w:r>
        <w:rPr>
          <w:rFonts w:eastAsiaTheme="minorEastAsia"/>
        </w:rPr>
        <w:t>Chaine de transport</w:t>
      </w:r>
    </w:p>
    <w:p>
      <w:r>
        <w:t>Les électrons sont apportés à la chaine de transport par le NAHD (et le FADH</w:t>
      </w:r>
      <w:r>
        <w:rPr>
          <w:vertAlign w:val="subscript"/>
        </w:rPr>
        <w:t>2</w:t>
      </w:r>
      <w:r>
        <w:t>) puis ils sont transférés par une succession de transporteurs dont le niveau d’électronégativité augmente au fur et à mesure ce qui a pour effet de les attirer et de libérer de progressivement l’énergie. L’élément le plus électronégatif, le dioxygène, se trouve en bout de chaine. Il se combine avec quatre protons (H</w:t>
      </w:r>
      <w:r>
        <w:rPr>
          <w:vertAlign w:val="superscript"/>
        </w:rPr>
        <w:t>+</w:t>
      </w:r>
      <w:r>
        <w:t>) et quatre électrons pour former deux molécules d’eau. Durant leur trajet, l’énergie totale libérée est de -222kJ/mol.</w:t>
      </w:r>
    </w:p>
    <w:p>
      <w:r>
        <w:rPr>
          <w:u w:val="single"/>
        </w:rPr>
        <w:t>Rmq :</w:t>
      </w:r>
      <w:r>
        <w:t xml:space="preserve"> En absence de dioxygène, l’accepteur final peut être substitué par l’ion sulfate S0</w:t>
      </w:r>
      <w:r>
        <w:rPr>
          <w:vertAlign w:val="subscript"/>
        </w:rPr>
        <w:t>4</w:t>
      </w:r>
      <w:r>
        <w:rPr>
          <w:vertAlign w:val="superscript"/>
        </w:rPr>
        <w:t>2-</w:t>
      </w:r>
      <w:r>
        <w:t xml:space="preserve"> qui se combine pour former du H</w:t>
      </w:r>
      <w:r>
        <w:rPr>
          <w:vertAlign w:val="subscript"/>
        </w:rPr>
        <w:t>2</w:t>
      </w:r>
      <w:r>
        <w:t>S (qui confère une odeur d’œuf pourri). C’est la respiration anaérobie.</w:t>
      </w:r>
    </w:p>
    <w:p>
      <w:r>
        <w:t>Les chaines de transport d’électrons sont enchâssées dans :</w:t>
      </w:r>
    </w:p>
    <w:tbl>
      <w:tblPr>
        <w:tblStyle w:val="Grilledetableauclaire"/>
        <w:tblW w:w="0" w:type="auto"/>
        <w:tblLook w:val="0400" w:firstRow="0" w:lastRow="0" w:firstColumn="0" w:lastColumn="0" w:noHBand="0" w:noVBand="1"/>
      </w:tblPr>
      <w:tblGrid>
        <w:gridCol w:w="3667"/>
        <w:gridCol w:w="3668"/>
      </w:tblGrid>
      <w:tr>
        <w:tc>
          <w:tcPr>
            <w:tcW w:w="3667" w:type="dxa"/>
          </w:tcPr>
          <w:p>
            <w:r>
              <w:t>Eucaryotes dans la membrane des mitochondries.</w:t>
            </w:r>
          </w:p>
        </w:tc>
        <w:tc>
          <w:tcPr>
            <w:tcW w:w="3668" w:type="dxa"/>
          </w:tcPr>
          <w:p>
            <w:r>
              <w:t>Procaryotes dans la membrane plasmique.</w:t>
            </w:r>
          </w:p>
        </w:tc>
      </w:tr>
    </w:tbl>
    <w:p>
      <w:r>
        <w:t>La chaine de transport est constituée d’une succession de complexes multiprotéiques qui contient les accepteurs et qui sont associés à des groupements non protéiques appelés prosthétiques.</w:t>
      </w:r>
    </w:p>
    <w:p>
      <w:r>
        <w:t>Le NADH présent dans la matrice mitochondriale apport les électrons au complexe I. Puis ils passent successivement entre les accepteurs :</w:t>
      </w:r>
    </w:p>
    <w:p>
      <w:pPr>
        <w:pStyle w:val="Paragraphedeliste"/>
        <w:numPr>
          <w:ilvl w:val="0"/>
          <w:numId w:val="26"/>
        </w:numPr>
      </w:pPr>
      <w:r>
        <w:t>Complexe I (ou complexe II pour le FADH</w:t>
      </w:r>
      <w:r>
        <w:rPr>
          <w:vertAlign w:val="subscript"/>
        </w:rPr>
        <w:t>2</w:t>
      </w:r>
      <w:r>
        <w:t>) avec comme accepteur la flavine mononucléotide (FMN) puis un Fe-S.</w:t>
      </w:r>
    </w:p>
    <w:p>
      <w:pPr>
        <w:pStyle w:val="Paragraphedeliste"/>
        <w:numPr>
          <w:ilvl w:val="0"/>
          <w:numId w:val="26"/>
        </w:numPr>
      </w:pPr>
      <w:r>
        <w:t>Les électrons sont apportés au complexe III par une ubiquinone appelés coenzyme Q, qui est mobile dans la membrane.</w:t>
      </w:r>
    </w:p>
    <w:p>
      <w:pPr>
        <w:pStyle w:val="Paragraphedeliste"/>
        <w:numPr>
          <w:ilvl w:val="0"/>
          <w:numId w:val="26"/>
        </w:numPr>
      </w:pPr>
      <w:r>
        <w:t>Complexe III avec comme accepteur un cytochrome puis Fe-S puis un cytochrome.</w:t>
      </w:r>
    </w:p>
    <w:p>
      <w:pPr>
        <w:pStyle w:val="Paragraphedeliste"/>
        <w:numPr>
          <w:ilvl w:val="0"/>
          <w:numId w:val="26"/>
        </w:numPr>
      </w:pPr>
      <w:r>
        <w:t>Un cytochrome libre apporte les électrons au complexe IV.</w:t>
      </w:r>
    </w:p>
    <w:p>
      <w:pPr>
        <w:pStyle w:val="Paragraphedeliste"/>
        <w:numPr>
          <w:ilvl w:val="0"/>
          <w:numId w:val="26"/>
        </w:numPr>
      </w:pPr>
      <w:r>
        <w:t>Complexe IV composé de deux cytochromes.</w:t>
      </w:r>
    </w:p>
    <w:p>
      <w:pPr>
        <w:pStyle w:val="Paragraphedeliste"/>
        <w:numPr>
          <w:ilvl w:val="0"/>
          <w:numId w:val="26"/>
        </w:numPr>
      </w:pPr>
      <w:r>
        <w:t>À la fin les électrons se combinent avec le dioxygène O</w:t>
      </w:r>
      <w:r>
        <w:rPr>
          <w:vertAlign w:val="subscript"/>
        </w:rPr>
        <w:t>2</w:t>
      </w:r>
      <w:r>
        <w:t xml:space="preserve"> (accepteur final) et deux H</w:t>
      </w:r>
      <w:r>
        <w:rPr>
          <w:vertAlign w:val="superscript"/>
        </w:rPr>
        <w:t>+</w:t>
      </w:r>
      <w:r>
        <w:t xml:space="preserve"> présent dans la matrice, pour former de 2H</w:t>
      </w:r>
      <w:r>
        <w:rPr>
          <w:vertAlign w:val="subscript"/>
        </w:rPr>
        <w:t>2</w:t>
      </w:r>
      <w:r>
        <w:t>0.</w:t>
      </w:r>
    </w:p>
    <w:p>
      <w:r>
        <w:t>Au cours de leur voyage, les électrons font fonctionner des pompes à protons, présent dans le complexe I, III, et IV, qui transfèrent des H</w:t>
      </w:r>
      <w:r>
        <w:rPr>
          <w:vertAlign w:val="superscript"/>
        </w:rPr>
        <w:t>+</w:t>
      </w:r>
      <w:r>
        <w:t xml:space="preserve"> de la matrice mitochondriale à l’espace intermembranaire (au total 3 pour NADH et 2 pour FADH).</w:t>
      </w:r>
    </w:p>
    <w:p>
      <w:r>
        <w:rPr>
          <w:u w:val="single"/>
        </w:rPr>
        <w:t>Rmq :</w:t>
      </w:r>
      <w:r>
        <w:t xml:space="preserve"> FADH peut remplacer NADH en donnant ses électrons au complexe II qui ne produit pas de gradient. Les électrons produiront 33% d’énergie en moins.</w:t>
      </w:r>
    </w:p>
    <w:p>
      <w:r>
        <w:rPr>
          <w:u w:val="single"/>
        </w:rPr>
        <w:t>Rmq :</w:t>
      </w:r>
      <w:r>
        <w:t xml:space="preserve"> le cyanure est un inhibiteur des cytochromes.</w:t>
      </w:r>
    </w:p>
    <w:p>
      <w:r>
        <w:t>Le NADH entre dans la mitochondrie par un système de navette. Le NADH sert à transformer l’oxaloacétate en malate. C’est ce dernier qui est transloquer puis retransformer en oxaloacétate pour régénérer de l’NADH.</w:t>
      </w:r>
    </w:p>
    <w:p>
      <w:r>
        <w:t>Le FADH</w:t>
      </w:r>
      <w:r>
        <w:rPr>
          <w:vertAlign w:val="subscript"/>
        </w:rPr>
        <w:t xml:space="preserve">2 </w:t>
      </w:r>
      <w:r>
        <w:t>est transporté par les n</w:t>
      </w:r>
      <w:r>
        <w:rPr>
          <w:rFonts w:eastAsia="Open Sans Light" w:cs="Open Sans Light"/>
        </w:rPr>
        <w:t>avettes G3P/DHAP.</w:t>
      </w:r>
    </w:p>
    <w:p>
      <w:pPr>
        <w:pStyle w:val="Titre3"/>
        <w:rPr>
          <w:rFonts w:eastAsiaTheme="minorEastAsia"/>
        </w:rPr>
      </w:pPr>
      <w:r>
        <w:rPr>
          <w:rFonts w:eastAsiaTheme="minorEastAsia"/>
        </w:rPr>
        <w:t>Phosphorylation oxydative</w:t>
      </w:r>
    </w:p>
    <w:p>
      <w:r>
        <w:t>La phosphorylation oxydative utilise le gradient d’H</w:t>
      </w:r>
      <w:r>
        <w:rPr>
          <w:vertAlign w:val="superscript"/>
        </w:rPr>
        <w:t>+</w:t>
      </w:r>
      <w:r>
        <w:t xml:space="preserve"> créé par les complexes de la chaine de transport dans l’espace intermembranaire. Le gradient ionique est ensuite dissipé pour régénérer au maximum entre 26 et 28 </w:t>
      </w:r>
      <w:r>
        <w:lastRenderedPageBreak/>
        <w:t>molécules d’ATP en négligeant les pertes et l’utilisation du gradient H</w:t>
      </w:r>
      <w:r>
        <w:rPr>
          <w:vertAlign w:val="superscript"/>
        </w:rPr>
        <w:t>+</w:t>
      </w:r>
      <w:r>
        <w:t xml:space="preserve"> dans d’autres processus.</w:t>
      </w:r>
    </w:p>
    <w:p>
      <w:pPr>
        <w:pStyle w:val="Titre2"/>
      </w:pPr>
      <w:r>
        <w:t>Bilan</w:t>
      </w:r>
    </w:p>
    <w:p>
      <w:r>
        <w:t>La glycolyse a un rendement de 34% comparativement au moteur de voiture qui est de 25%. En comptant la glycolyse, une molécule de glucose permet de produire 32 molécules d’ATP.</w:t>
      </w:r>
    </w:p>
    <w:p>
      <w:pPr>
        <w:rPr>
          <w:highlight w:val="yellow"/>
        </w:rPr>
      </w:pPr>
      <w:r>
        <w:rPr>
          <w:u w:val="single"/>
        </w:rPr>
        <w:t>Rmq :</w:t>
      </w:r>
      <w:r>
        <w:t xml:space="preserve"> Une partie de l’énergie est dissipée sous forme de chaleur n’est pas totalement perdue puisqu’elle sert au maintien de notre température corporelle.</w:t>
      </w:r>
    </w:p>
    <w:p>
      <w:pPr>
        <w:pStyle w:val="Titre1"/>
      </w:pPr>
      <w:r>
        <w:t>Métabolisme du glucose</w:t>
      </w:r>
    </w:p>
    <w:p>
      <w:r>
        <w:t>Le sucre entre dans la fabrication de nombreux constituants comme les graisses, les aa, les nucléosides.</w:t>
      </w:r>
    </w:p>
    <w:p>
      <w:pPr>
        <w:pStyle w:val="Paragraphedeliste"/>
        <w:numPr>
          <w:ilvl w:val="0"/>
          <w:numId w:val="16"/>
        </w:numPr>
      </w:pPr>
      <w:r>
        <w:t>Oxydation par la voie des pentoses P.</w:t>
      </w:r>
    </w:p>
    <w:p>
      <w:pPr>
        <w:pStyle w:val="Paragraphedeliste"/>
        <w:numPr>
          <w:ilvl w:val="0"/>
          <w:numId w:val="16"/>
        </w:numPr>
      </w:pPr>
      <w:r>
        <w:t>Oxydation par glycolyse.</w:t>
      </w:r>
    </w:p>
    <w:p>
      <w:pPr>
        <w:pStyle w:val="Paragraphedeliste"/>
        <w:numPr>
          <w:ilvl w:val="0"/>
          <w:numId w:val="16"/>
        </w:numPr>
      </w:pPr>
      <w:r>
        <w:t>Mise en réserve sous forme de glycogène dans le foie et les muscles.</w:t>
      </w:r>
    </w:p>
    <w:p>
      <w:pPr>
        <w:pStyle w:val="Paragraphedeliste"/>
        <w:numPr>
          <w:ilvl w:val="0"/>
          <w:numId w:val="16"/>
        </w:numPr>
      </w:pPr>
      <w:r>
        <w:t>Synthèse de polymères structuraux.</w:t>
      </w:r>
    </w:p>
    <w:p>
      <w:r>
        <w:t>Le glucose circule dans les cellules par diffusion facilitée grâce à des transporteur GUT. Il ne peut plus circuler lorsqu’il est transformé en glucose-6-phosphate qui sert alors à :</w:t>
      </w:r>
    </w:p>
    <w:p>
      <w:pPr>
        <w:pStyle w:val="Paragraphedeliste"/>
        <w:numPr>
          <w:ilvl w:val="0"/>
          <w:numId w:val="18"/>
        </w:numPr>
      </w:pPr>
      <w:r>
        <w:t>La glycolyse pour produire du pyruvate grâce à l’enzyme exokinase.</w:t>
      </w:r>
    </w:p>
    <w:p>
      <w:pPr>
        <w:pStyle w:val="Paragraphedeliste"/>
        <w:numPr>
          <w:ilvl w:val="0"/>
          <w:numId w:val="17"/>
        </w:numPr>
      </w:pPr>
      <w:r>
        <w:t>Etre déphosphorylé par une glucose-6-phosphatase présente dans le foie et les reins pour redevenir du glucose et être relâché dans le sang pour maintenir la glycémie. La régulation de la glucose-6-phosphatase se fait par une hormone, le glucagon.</w:t>
      </w:r>
    </w:p>
    <w:p>
      <w:pPr>
        <w:pStyle w:val="Titre2"/>
      </w:pPr>
      <w:r>
        <w:t>Les sources de glucose</w:t>
      </w:r>
    </w:p>
    <w:p>
      <w:r>
        <w:t>Le glucose-6-phosphate peut être fabriqué à partir de la dégradation de :</w:t>
      </w:r>
    </w:p>
    <w:tbl>
      <w:tblPr>
        <w:tblStyle w:val="Grilledetableauclaire"/>
        <w:tblW w:w="0" w:type="auto"/>
        <w:tblLook w:val="0400" w:firstRow="0" w:lastRow="0" w:firstColumn="0" w:lastColumn="0" w:noHBand="0" w:noVBand="1"/>
      </w:tblPr>
      <w:tblGrid>
        <w:gridCol w:w="4673"/>
        <w:gridCol w:w="1589"/>
        <w:gridCol w:w="1073"/>
      </w:tblGrid>
      <w:tr>
        <w:tc>
          <w:tcPr>
            <w:tcW w:w="4673" w:type="dxa"/>
          </w:tcPr>
          <w:p>
            <w:pPr>
              <w:rPr>
                <w:bCs/>
              </w:rPr>
            </w:pPr>
            <w:r>
              <w:rPr>
                <w:bCs/>
              </w:rPr>
              <w:t>Du lait (disaccharide : Glucose + Galactose)</w:t>
            </w:r>
          </w:p>
        </w:tc>
        <w:tc>
          <w:tcPr>
            <w:tcW w:w="1589" w:type="dxa"/>
          </w:tcPr>
          <w:p>
            <w:pPr>
              <w:rPr>
                <w:bCs/>
              </w:rPr>
            </w:pPr>
            <w:r>
              <w:rPr>
                <w:bCs/>
              </w:rPr>
              <w:t>Galactose</w:t>
            </w:r>
          </w:p>
        </w:tc>
        <w:tc>
          <w:tcPr>
            <w:tcW w:w="1073" w:type="dxa"/>
          </w:tcPr>
          <w:p>
            <w:pPr>
              <w:rPr>
                <w:bCs/>
              </w:rPr>
            </w:pPr>
            <w:r>
              <w:rPr>
                <w:bCs/>
              </w:rPr>
              <w:t>Fructose</w:t>
            </w:r>
          </w:p>
        </w:tc>
      </w:tr>
    </w:tbl>
    <w:p>
      <w:r>
        <w:rPr>
          <w:rStyle w:val="Accentuation"/>
        </w:rPr>
        <w:t>Glycogénolyse</w:t>
      </w:r>
      <w:r>
        <w:t xml:space="preserve"> processus qui sert à fabriquer des glucose-6-phosphate à partir du glycogène.</w:t>
      </w:r>
    </w:p>
    <w:p>
      <w:r>
        <w:rPr>
          <w:rStyle w:val="Accentuation"/>
        </w:rPr>
        <w:t>Gluconéogenèse</w:t>
      </w:r>
      <w:r>
        <w:t xml:space="preserve"> production de glucose à partir de précurseurs comme le glycérol, le lactate, les acides aminés.</w:t>
      </w:r>
    </w:p>
    <w:p>
      <w:pPr>
        <w:pStyle w:val="Titre3"/>
      </w:pPr>
      <w:r>
        <w:t>Néoglucogénèse</w:t>
      </w:r>
    </w:p>
    <w:p>
      <w:r>
        <w:t>La glycogénèse est une voie métabolique qui permet la production de glucose à partir de deux pyruvates pour maintenir la glycémie constante. Elle sert notamment aux globules rouges ou à certaines cellules du cerveau qui ne sont pas capables de produire leur énergie à partir de molécules autres que le glucose.</w:t>
      </w:r>
    </w:p>
    <w:p>
      <w:r>
        <w:rPr>
          <w:u w:val="single"/>
        </w:rPr>
        <w:t>Rmq :</w:t>
      </w:r>
      <w:r>
        <w:t xml:space="preserve"> les globules rouges ne possèdent pas de mitochondries et produisent leur ATP par fermentation lactique.</w:t>
      </w:r>
    </w:p>
    <w:p>
      <w:r>
        <w:t>La glycogénèse est régulée par le glucagon, une hormone.</w:t>
      </w:r>
    </w:p>
    <w:p>
      <w:r>
        <w:rPr>
          <w:u w:val="single"/>
        </w:rPr>
        <w:t>Rmq :</w:t>
      </w:r>
      <w:r>
        <w:t xml:space="preserve"> Elle est particulièrement active en cas de jeûne.</w:t>
      </w:r>
    </w:p>
    <w:p>
      <w:r>
        <w:t>Plusieurs précurseurs peuvent servir de substrats :</w:t>
      </w:r>
    </w:p>
    <w:p>
      <w:pPr>
        <w:pStyle w:val="Paragraphedeliste"/>
        <w:numPr>
          <w:ilvl w:val="0"/>
          <w:numId w:val="21"/>
        </w:numPr>
      </w:pPr>
      <w:r>
        <w:t>certains acides aminés.</w:t>
      </w:r>
    </w:p>
    <w:p>
      <w:pPr>
        <w:pStyle w:val="Paragraphedeliste"/>
        <w:numPr>
          <w:ilvl w:val="0"/>
          <w:numId w:val="21"/>
        </w:numPr>
      </w:pPr>
      <w:r>
        <w:t>le lactate.</w:t>
      </w:r>
    </w:p>
    <w:p>
      <w:pPr>
        <w:pStyle w:val="Paragraphedeliste"/>
        <w:numPr>
          <w:ilvl w:val="0"/>
          <w:numId w:val="21"/>
        </w:numPr>
      </w:pPr>
      <w:r>
        <w:t>le glycérol. Lorsqu’il est transformé, il y a production de corps cétoniques qui confère à l’haleine une odeur rance.</w:t>
      </w:r>
    </w:p>
    <w:p>
      <w:pPr>
        <w:pStyle w:val="Paragraphedeliste"/>
        <w:numPr>
          <w:ilvl w:val="0"/>
          <w:numId w:val="21"/>
        </w:numPr>
      </w:pPr>
      <w:r>
        <w:t>le pyruvate</w:t>
      </w:r>
    </w:p>
    <w:p>
      <w:r>
        <w:t xml:space="preserve">Trois organes sont capables de réaliser la glycogenèse : le foie (principalement), les reins et l’intestin. </w:t>
      </w:r>
    </w:p>
    <w:p>
      <w:pPr>
        <w:pStyle w:val="Titre2"/>
      </w:pPr>
      <w:r>
        <w:t>La glycolyse</w:t>
      </w:r>
    </w:p>
    <w:p>
      <w:r>
        <w:t xml:space="preserve">La glycolyse est l’ensemble des réactions qui permet de transformer le glucose-6-phosphate en deux pyruvates : </w:t>
      </w:r>
      <w:r>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2 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w:p>
    <w:p>
      <w:r>
        <w:lastRenderedPageBreak/>
        <w:t>Le procédé nécessite un investissement deux molécules d’ATP pour être initié et génère 4 ATP et 2 NADH.</w:t>
      </w:r>
    </w:p>
    <w:p>
      <w:r>
        <w:t>La réaction consiste à :</w:t>
      </w:r>
    </w:p>
    <w:p>
      <w:pPr>
        <w:pStyle w:val="Paragraphedeliste"/>
        <w:numPr>
          <w:ilvl w:val="0"/>
          <w:numId w:val="19"/>
        </w:numPr>
      </w:pPr>
      <w:r>
        <w:t>Ajout d’un groupement phosphate qui empêche la molécule de sucre de sortir de la cellule et qui la rend plus réactive. Cette étape nécessite l’utilisation d’un ATP et est catalysée par une hexokynase dans les cellules musculaires et une glucokynase dans le foie et le pancréas.</w:t>
      </w:r>
    </w:p>
    <w:p>
      <w:pPr>
        <w:pStyle w:val="Paragraphedeliste"/>
        <w:numPr>
          <w:ilvl w:val="0"/>
          <w:numId w:val="19"/>
        </w:numPr>
      </w:pPr>
      <w:r>
        <w:t>Transfert d’une groupement au sein de la molécule pour produire un fructose.</w:t>
      </w:r>
    </w:p>
    <w:p>
      <w:pPr>
        <w:pStyle w:val="Paragraphedeliste"/>
        <w:numPr>
          <w:ilvl w:val="0"/>
          <w:numId w:val="19"/>
        </w:numPr>
      </w:pPr>
      <w:r>
        <w:t>Ajout d’un nouveau groupement phosphate. Cette étape nécessite l’utilisation d’un ATP et est catalysé par la phosphofructokinase.</w:t>
      </w:r>
    </w:p>
    <w:p>
      <w:pPr>
        <w:pStyle w:val="Paragraphedeliste"/>
        <w:numPr>
          <w:ilvl w:val="0"/>
          <w:numId w:val="19"/>
        </w:numPr>
      </w:pPr>
      <w:r>
        <w:t>Clivage.</w:t>
      </w:r>
    </w:p>
    <w:p>
      <w:pPr>
        <w:pStyle w:val="Paragraphedeliste"/>
        <w:numPr>
          <w:ilvl w:val="0"/>
          <w:numId w:val="19"/>
        </w:numPr>
      </w:pPr>
      <w:r>
        <w:t>Récupération et oxydation pour obtenir deux pyruvates.</w:t>
      </w:r>
    </w:p>
    <w:p>
      <w:r>
        <w:rPr>
          <w:u w:val="single"/>
        </w:rPr>
        <w:t>Rmq :</w:t>
      </w:r>
      <w:r>
        <w:t xml:space="preserve"> le départ de la glycolyse est l’embranchement de nombreuses voies de synthèse comme celle qui conduit à produire du ribulose pour la fabrication des nucléotides ou des triglycérides.</w:t>
      </w:r>
    </w:p>
    <w:p>
      <w:r>
        <w:t>Les deux pyruvates peuvent ensuite servir dans :</w:t>
      </w:r>
    </w:p>
    <w:tbl>
      <w:tblPr>
        <w:tblStyle w:val="Grilledetableauclaire"/>
        <w:tblW w:w="0" w:type="auto"/>
        <w:tblLook w:val="0400" w:firstRow="0" w:lastRow="0" w:firstColumn="0" w:lastColumn="0" w:noHBand="0" w:noVBand="1"/>
      </w:tblPr>
      <w:tblGrid>
        <w:gridCol w:w="3964"/>
        <w:gridCol w:w="3371"/>
      </w:tblGrid>
      <w:tr>
        <w:tc>
          <w:tcPr>
            <w:tcW w:w="3964" w:type="dxa"/>
          </w:tcPr>
          <w:p>
            <w:r>
              <w:t>Un prolongement de la glycolyse appelé fermentation</w:t>
            </w:r>
          </w:p>
        </w:tc>
        <w:tc>
          <w:tcPr>
            <w:tcW w:w="3371" w:type="dxa"/>
          </w:tcPr>
          <w:p>
            <w:r>
              <w:t>La respiration cellulaire</w:t>
            </w:r>
          </w:p>
        </w:tc>
      </w:tr>
    </w:tbl>
    <w:p>
      <w:pPr>
        <w:pStyle w:val="Titre3"/>
      </w:pPr>
      <w:r>
        <w:t>La respiration cellulaire</w:t>
      </w:r>
    </w:p>
    <w:p>
      <w:r>
        <w:t>Le pyruvate est ensuite converti en actétyl-CoA dans les mitochondries pour être utilisé pour la respiration :</w:t>
      </w:r>
    </w:p>
    <w:p>
      <w:pPr>
        <w:pStyle w:val="Paragraphedeliste"/>
        <w:rPr>
          <w:rFonts w:eastAsiaTheme="minorEastAsia"/>
        </w:rPr>
      </w:pPr>
      <m:oMathPara>
        <m:oMath>
          <m:r>
            <w:rPr>
              <w:rFonts w:ascii="Cambria Math" w:hAnsi="Cambria Math"/>
            </w:rPr>
            <m:t>Pyruvate+CoA-SH+</m:t>
          </m:r>
          <m:sSup>
            <m:sSupPr>
              <m:ctrlPr>
                <w:rPr>
                  <w:rFonts w:ascii="Cambria Math" w:hAnsi="Cambria Math"/>
                  <w:i/>
                </w:rPr>
              </m:ctrlPr>
            </m:sSupPr>
            <m:e>
              <m:r>
                <w:rPr>
                  <w:rFonts w:ascii="Cambria Math" w:hAnsi="Cambria Math"/>
                </w:rPr>
                <m:t>NAD</m:t>
              </m:r>
            </m:e>
            <m:sup>
              <m:r>
                <w:rPr>
                  <w:rFonts w:ascii="Cambria Math" w:hAnsi="Cambria Math"/>
                </w:rPr>
                <m:t>+</m:t>
              </m:r>
            </m:sup>
          </m:sSup>
          <m:r>
            <w:rPr>
              <w:rFonts w:ascii="Cambria Math" w:hAnsi="Cambria Math"/>
            </w:rPr>
            <m:t>→</m:t>
          </m:r>
          <m:r>
            <w:rPr>
              <w:rFonts w:ascii="Cambria Math" w:eastAsiaTheme="minorEastAsia" w:hAnsi="Cambria Math"/>
            </w:rPr>
            <m:t>Acétyl-CoA + NADH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m:oMathPara>
    </w:p>
    <w:p>
      <w:pPr>
        <w:pStyle w:val="Titre2"/>
      </w:pPr>
      <w:r>
        <w:t>La fermentation</w:t>
      </w:r>
    </w:p>
    <w:p>
      <w:r>
        <w:t xml:space="preserve">La fermentation est le prolongement de la glycolyse : le pyruvate est transformé pour devenir un accepteur d’électron Elle permet de produire </w:t>
      </w:r>
      <w:r>
        <w:t>deux molécules d’ATP et régénérer le NAD</w:t>
      </w:r>
      <w:r>
        <w:rPr>
          <w:vertAlign w:val="superscript"/>
        </w:rPr>
        <w:t>+</w:t>
      </w:r>
      <w:r>
        <w:t xml:space="preserve"> pour la glycolyse. Il existe deux types de fermentation :</w:t>
      </w:r>
    </w:p>
    <w:tbl>
      <w:tblPr>
        <w:tblStyle w:val="Grilledetableauclaire"/>
        <w:tblW w:w="0" w:type="auto"/>
        <w:tblLook w:val="0400" w:firstRow="0" w:lastRow="0" w:firstColumn="0" w:lastColumn="0" w:noHBand="0" w:noVBand="1"/>
      </w:tblPr>
      <w:tblGrid>
        <w:gridCol w:w="3823"/>
        <w:gridCol w:w="3512"/>
      </w:tblGrid>
      <w:tr>
        <w:tc>
          <w:tcPr>
            <w:tcW w:w="3823" w:type="dxa"/>
          </w:tcPr>
          <w:p>
            <w:r>
              <w:t>Alcoolique qui produit de l’éthanol.</w:t>
            </w:r>
          </w:p>
        </w:tc>
        <w:tc>
          <w:tcPr>
            <w:tcW w:w="3512" w:type="dxa"/>
          </w:tcPr>
          <w:p>
            <w:r>
              <w:t>Lactique qui produit du lactate.</w:t>
            </w:r>
          </w:p>
        </w:tc>
      </w:tr>
      <w:tr>
        <w:trPr>
          <w:trHeight w:val="382"/>
        </w:trPr>
        <w:tc>
          <w:tcPr>
            <w:tcW w:w="3823" w:type="dxa"/>
          </w:tcPr>
          <w:p>
            <m:oMathPara>
              <m:oMath>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O+-C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O</m:t>
                </m:r>
                <m:r>
                  <w:rPr>
                    <w:rFonts w:ascii="Cambria Math" w:eastAsiaTheme="minorEastAsia" w:hAnsi="Cambria Math"/>
                  </w:rPr>
                  <m:t>H</m:t>
                </m:r>
              </m:oMath>
            </m:oMathPara>
          </w:p>
        </w:tc>
        <w:tc>
          <w:tcPr>
            <w:tcW w:w="3512" w:type="dxa"/>
          </w:tcPr>
          <w:p>
            <m:oMathPara>
              <m:oMath>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5</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m:oMathPara>
          </w:p>
        </w:tc>
      </w:tr>
    </w:tbl>
    <w:p>
      <w:r>
        <w:t>Dans la fermentation alcoolique, le pyruvate libère deux CO</w:t>
      </w:r>
      <w:r>
        <w:rPr>
          <w:vertAlign w:val="subscript"/>
        </w:rPr>
        <w:t>2</w:t>
      </w:r>
      <w:r>
        <w:t xml:space="preserve"> avant d’être réduit contrairement à la fermentation lactique où il directement réduit.</w:t>
      </w:r>
    </w:p>
    <w:p>
      <w:r>
        <w:t xml:space="preserve">Effet de Crabtree : La concentration de glucose régule les enzymes de la respiration. Lorsqu’elle est trop élevée, ces dernières sont inhibées. C’est notamment le cas pour les levures. C’est ce phénomène qui est exploité dans la vinification lorsque le raisin est cueilli bien mur pour être riche en sucre. </w:t>
      </w:r>
    </w:p>
    <w:p>
      <w:pPr>
        <w:pStyle w:val="Titre3"/>
      </w:pPr>
      <w:r>
        <w:t>Fermentation lactique</w:t>
      </w:r>
    </w:p>
    <w:p>
      <w:r>
        <w:t>Les cellules musculaires produisent de l’ATP en utilisant la fermentation lactique lorsque l’oxygène vient à manquer. C’est notamment le cas lorsque l’on débute une activité physique. Le lactate est ensuite transporté au foie pour être converti en pyruvate.</w:t>
      </w:r>
    </w:p>
    <w:p>
      <w:r>
        <w:t>Il semblerait que la glycolyse est une origine ancienne. Elle serait apparue avant que l’atmosphère est été saturé en dioxygène.</w:t>
      </w:r>
    </w:p>
    <w:p>
      <w:r>
        <w:t>Il existe trois types de fermentation lactique :</w:t>
      </w:r>
    </w:p>
    <w:tbl>
      <w:tblPr>
        <w:tblStyle w:val="Grilledetableauclaire"/>
        <w:tblW w:w="0" w:type="auto"/>
        <w:tblLook w:val="0420" w:firstRow="1" w:lastRow="0" w:firstColumn="0" w:lastColumn="0" w:noHBand="0" w:noVBand="1"/>
      </w:tblPr>
      <w:tblGrid>
        <w:gridCol w:w="2122"/>
        <w:gridCol w:w="2768"/>
        <w:gridCol w:w="2445"/>
      </w:tblGrid>
      <w:tr>
        <w:trPr>
          <w:cnfStyle w:val="100000000000" w:firstRow="1" w:lastRow="0" w:firstColumn="0" w:lastColumn="0" w:oddVBand="0" w:evenVBand="0" w:oddHBand="0" w:evenHBand="0" w:firstRowFirstColumn="0" w:firstRowLastColumn="0" w:lastRowFirstColumn="0" w:lastRowLastColumn="0"/>
        </w:trPr>
        <w:tc>
          <w:tcPr>
            <w:tcW w:w="2122" w:type="dxa"/>
          </w:tcPr>
          <w:p>
            <w:r>
              <w:t>Fermentation</w:t>
            </w:r>
          </w:p>
        </w:tc>
        <w:tc>
          <w:tcPr>
            <w:tcW w:w="2768" w:type="dxa"/>
          </w:tcPr>
          <w:p>
            <w:r>
              <w:t>Déchets métaboliques</w:t>
            </w:r>
          </w:p>
        </w:tc>
        <w:tc>
          <w:tcPr>
            <w:tcW w:w="2445" w:type="dxa"/>
          </w:tcPr>
          <w:p>
            <w:r>
              <w:t>Espèces</w:t>
            </w:r>
          </w:p>
        </w:tc>
      </w:tr>
      <w:tr>
        <w:tc>
          <w:tcPr>
            <w:tcW w:w="2122" w:type="dxa"/>
          </w:tcPr>
          <w:p>
            <w:r>
              <w:t>Homolactique</w:t>
            </w:r>
          </w:p>
        </w:tc>
        <w:tc>
          <w:tcPr>
            <w:tcW w:w="2768" w:type="dxa"/>
          </w:tcPr>
          <w:p>
            <w:r>
              <w:t>H</w:t>
            </w:r>
            <w:r>
              <w:rPr>
                <w:vertAlign w:val="superscript"/>
              </w:rPr>
              <w:t>+</w:t>
            </w:r>
          </w:p>
        </w:tc>
        <w:tc>
          <w:tcPr>
            <w:tcW w:w="2445" w:type="dxa"/>
          </w:tcPr>
          <w:p>
            <w:r>
              <w:t>streptocoques</w:t>
            </w:r>
          </w:p>
        </w:tc>
      </w:tr>
      <w:tr>
        <w:tc>
          <w:tcPr>
            <w:tcW w:w="2122" w:type="dxa"/>
          </w:tcPr>
          <w:p>
            <w:r>
              <w:t>Hétérolactique</w:t>
            </w:r>
          </w:p>
        </w:tc>
        <w:tc>
          <w:tcPr>
            <w:tcW w:w="2768" w:type="dxa"/>
          </w:tcPr>
          <w:p>
            <w:r>
              <w:t>CO</w:t>
            </w:r>
            <w:r>
              <w:rPr>
                <w:vertAlign w:val="subscript"/>
              </w:rPr>
              <w:t xml:space="preserve">2 </w:t>
            </w:r>
            <w:r>
              <w:t>et H</w:t>
            </w:r>
            <w:r>
              <w:rPr>
                <w:vertAlign w:val="superscript"/>
              </w:rPr>
              <w:t>+</w:t>
            </w:r>
          </w:p>
        </w:tc>
        <w:tc>
          <w:tcPr>
            <w:tcW w:w="2445" w:type="dxa"/>
          </w:tcPr>
          <w:p>
            <w:r>
              <w:t>lactobacilles</w:t>
            </w:r>
          </w:p>
        </w:tc>
      </w:tr>
      <w:tr>
        <w:tc>
          <w:tcPr>
            <w:tcW w:w="2122" w:type="dxa"/>
          </w:tcPr>
          <w:p>
            <w:r>
              <w:t xml:space="preserve">Acéto-lactique </w:t>
            </w:r>
          </w:p>
        </w:tc>
        <w:tc>
          <w:tcPr>
            <w:tcW w:w="2768" w:type="dxa"/>
          </w:tcPr>
          <w:p>
            <w:r>
              <w:t>acide lactique et acétique</w:t>
            </w:r>
          </w:p>
        </w:tc>
        <w:tc>
          <w:tcPr>
            <w:tcW w:w="2445" w:type="dxa"/>
          </w:tcPr>
          <w:p>
            <w:r>
              <w:t>bifidobacterium</w:t>
            </w:r>
          </w:p>
        </w:tc>
      </w:tr>
    </w:tbl>
    <w:p>
      <w:r>
        <w:rPr>
          <w:u w:val="single"/>
        </w:rPr>
        <w:t>Rmq :</w:t>
      </w:r>
      <w:r>
        <w:t xml:space="preserve"> la fermentation lactique est utilisée dans la production du fromage.</w:t>
      </w:r>
    </w:p>
    <w:p>
      <w:pPr>
        <w:pStyle w:val="Titre3"/>
      </w:pPr>
      <w:r>
        <w:t>La fermentation alcoolique</w:t>
      </w:r>
    </w:p>
    <w:p>
      <w:r>
        <w:t>La fermentation alcoolique peut être prolongée par la fermentation acétique qui sert à produire du vinaigre.</w:t>
      </w:r>
    </w:p>
    <w:p>
      <w:pPr>
        <w:pStyle w:val="Titre1"/>
      </w:pPr>
      <w:r>
        <w:lastRenderedPageBreak/>
        <w:t>Le métabolisme associé aux lipides</w:t>
      </w:r>
    </w:p>
    <w:p>
      <w:r>
        <w:t>La digestion et l’assimilation des lipides a lieu :</w:t>
      </w:r>
    </w:p>
    <w:p>
      <w:pPr>
        <w:pStyle w:val="Paragraphedeliste"/>
        <w:numPr>
          <w:ilvl w:val="0"/>
          <w:numId w:val="9"/>
        </w:numPr>
      </w:pPr>
      <w:r>
        <w:t>Au cours de la digestion, les triglycérides découpés en acides gras et le glycérol et les autres molécules liposolubles comme le cholestérol traversent la paroi des cellules intestinales, les entérocytes.</w:t>
      </w:r>
    </w:p>
    <w:p>
      <w:pPr>
        <w:pStyle w:val="Paragraphedeliste"/>
        <w:numPr>
          <w:ilvl w:val="0"/>
          <w:numId w:val="9"/>
        </w:numPr>
      </w:pPr>
      <w:r>
        <w:t>À l’intérieur de la cellule, les acides gras et le glycérol s’assemblent pour former des triglycérides.</w:t>
      </w:r>
    </w:p>
    <w:p>
      <w:pPr>
        <w:pStyle w:val="Paragraphedeliste"/>
        <w:numPr>
          <w:ilvl w:val="0"/>
          <w:numId w:val="9"/>
        </w:numPr>
      </w:pPr>
      <w:r>
        <w:t>Les lipides sont entourés par un complexe formé de lipides et de lipoprotéines, appelé chylomicron, pour permettre leur transport.</w:t>
      </w:r>
    </w:p>
    <w:p>
      <w:pPr>
        <w:pStyle w:val="Paragraphedeliste"/>
        <w:numPr>
          <w:ilvl w:val="0"/>
          <w:numId w:val="9"/>
        </w:numPr>
      </w:pPr>
      <w:r>
        <w:t>Les chylomicrons, appelés LDL, sont acheminés vers les tissus pour la production d’énergie et le stockage (adipocyte).</w:t>
      </w:r>
    </w:p>
    <w:p>
      <w:pPr>
        <w:pStyle w:val="Paragraphedeliste"/>
        <w:numPr>
          <w:ilvl w:val="0"/>
          <w:numId w:val="9"/>
        </w:numPr>
      </w:pPr>
      <w:r>
        <w:t>Les chylomicrons qui n’ont pas été utilisés, appelés HDL, sont traités par le foie.</w:t>
      </w:r>
    </w:p>
    <w:p>
      <w:r>
        <w:t>Les</w:t>
      </w:r>
      <w:r>
        <w:rPr>
          <w:rStyle w:val="Accentuation"/>
        </w:rPr>
        <w:t xml:space="preserve"> </w:t>
      </w:r>
      <w:r>
        <w:t>chylomicrons sont stabilisés par des apolipoprotéines, un complexe.</w:t>
      </w:r>
    </w:p>
    <w:p>
      <w:r>
        <w:rPr>
          <w:rStyle w:val="Accentuation"/>
        </w:rPr>
        <w:t>Chylomicrons (CM)</w:t>
      </w:r>
      <w:r>
        <w:t xml:space="preserve"> structure de protéines et de lipides formant une vésicule et entourant les triglycérides.  </w:t>
      </w:r>
    </w:p>
    <w:p>
      <w:pPr>
        <w:pStyle w:val="Titre3"/>
      </w:pPr>
      <w:r>
        <w:t>Stockage et libération des acides gras</w:t>
      </w:r>
    </w:p>
    <w:p>
      <w:r>
        <w:t xml:space="preserve">Les acides gras sont stockés dans les cellules adipeuses. Des lipases présentes sur la membrane plasmique du côté du lumen des veines libèrent les lipides des chylomicrons qui, à cause de leur propriétés hydrophobes, vont dans les adipocytes. </w:t>
      </w:r>
    </w:p>
    <w:p>
      <w:r>
        <w:t>La libération des lipides survient en réponse à certaines hormones, par exemple, l’adrénaline qui transportée dans le sang par une protéine, l’albumine.</w:t>
      </w:r>
    </w:p>
    <w:p>
      <w:pPr>
        <w:pStyle w:val="Titre2"/>
      </w:pPr>
      <w:r>
        <w:t>Production d’énergie à partir d’acides gras</w:t>
      </w:r>
    </w:p>
    <w:p>
      <w:r>
        <w:t>Les acides gras peuvent être transformés en acétyl-coA pour servir de substrat à la respiration cellulaire. Cette réaction a lieu dans la mitochondrie et se déroule suivant :</w:t>
      </w:r>
    </w:p>
    <w:p>
      <w:pPr>
        <w:pStyle w:val="Paragraphedeliste"/>
        <w:numPr>
          <w:ilvl w:val="0"/>
          <w:numId w:val="11"/>
        </w:numPr>
      </w:pPr>
      <w:r>
        <w:t>Les AG sont activés par l’ajout d’un Co pour former de l’acyl-CoA.</w:t>
      </w:r>
    </w:p>
    <w:p>
      <w:pPr>
        <w:pStyle w:val="Paragraphedeliste"/>
        <w:numPr>
          <w:ilvl w:val="0"/>
          <w:numId w:val="11"/>
        </w:numPr>
      </w:pPr>
      <w:r>
        <w:t>La translocation de l’acyl-coA dans les mitochondries càd le passage de la membrane mitochondirenne. Elle a lieu grâce à une translocase. L’acétyl-coA est transporté par un carnitimn.</w:t>
      </w:r>
    </w:p>
    <w:p>
      <w:pPr>
        <w:pStyle w:val="Paragraphedeliste"/>
        <w:numPr>
          <w:ilvl w:val="0"/>
          <w:numId w:val="11"/>
        </w:numPr>
      </w:pPr>
      <w:r>
        <w:t xml:space="preserve">L’acyl-coA est transformé en acétyl-coA par une réaction de Beta-oxydation qui se déroule en quatre étapes : </w:t>
      </w:r>
    </w:p>
    <w:p>
      <w:pPr>
        <w:pStyle w:val="Paragraphedeliste"/>
        <w:numPr>
          <w:ilvl w:val="1"/>
          <w:numId w:val="11"/>
        </w:numPr>
      </w:pPr>
      <w:r>
        <w:t>La perte de deux carbones et la réduction d’un FAD</w:t>
      </w:r>
      <w:r>
        <w:rPr>
          <w:vertAlign w:val="superscript"/>
        </w:rPr>
        <w:t>+</w:t>
      </w:r>
      <w:r>
        <w:t>.</w:t>
      </w:r>
    </w:p>
    <w:p>
      <w:pPr>
        <w:pStyle w:val="Paragraphedeliste"/>
        <w:numPr>
          <w:ilvl w:val="1"/>
          <w:numId w:val="11"/>
        </w:numPr>
      </w:pPr>
      <w:r>
        <w:t>Hydratation.</w:t>
      </w:r>
    </w:p>
    <w:p>
      <w:pPr>
        <w:pStyle w:val="Paragraphedeliste"/>
        <w:numPr>
          <w:ilvl w:val="1"/>
          <w:numId w:val="11"/>
        </w:numPr>
      </w:pPr>
      <w:r>
        <w:t>La réduction d’un NAD</w:t>
      </w:r>
      <w:r>
        <w:rPr>
          <w:vertAlign w:val="superscript"/>
        </w:rPr>
        <w:t>+</w:t>
      </w:r>
      <w:r>
        <w:t>.</w:t>
      </w:r>
    </w:p>
    <w:p>
      <w:pPr>
        <w:pStyle w:val="Paragraphedeliste"/>
        <w:numPr>
          <w:ilvl w:val="1"/>
          <w:numId w:val="11"/>
        </w:numPr>
      </w:pPr>
      <w:r>
        <w:t>La coupure (thiolyse) par CoA.</w:t>
      </w:r>
    </w:p>
    <w:p>
      <w:r>
        <w:rPr>
          <w:u w:val="single"/>
        </w:rPr>
        <w:t>Rmq :</w:t>
      </w:r>
      <w:r>
        <w:t xml:space="preserve"> Un acide gras contient 4 fois plus d’énergie d’une molécule de glucose. C’est la raison pour laquelle il est plus difficile de perdre de la graisse.</w:t>
      </w:r>
    </w:p>
    <w:p>
      <w:pPr>
        <w:pStyle w:val="Titre1"/>
      </w:pPr>
      <w:r>
        <w:t>Les méthodes d’études des protéines</w:t>
      </w:r>
    </w:p>
    <w:p>
      <w:r>
        <w:t>Ces méthodes servent à identifier une protéine d’intérêt.</w:t>
      </w:r>
    </w:p>
    <w:p>
      <w:r>
        <w:t>Pour dénaturer (déplier) une protéine, il faut utiliser deux types de substances :</w:t>
      </w:r>
    </w:p>
    <w:p>
      <w:pPr>
        <w:pStyle w:val="Paragraphedeliste"/>
        <w:numPr>
          <w:ilvl w:val="0"/>
          <w:numId w:val="29"/>
        </w:numPr>
      </w:pPr>
      <w:r>
        <w:t>Des agents réducteurs qui suppriment les ponts disulfures</w:t>
      </w:r>
    </w:p>
    <w:p>
      <w:pPr>
        <w:pStyle w:val="Paragraphedeliste"/>
        <w:numPr>
          <w:ilvl w:val="0"/>
          <w:numId w:val="29"/>
        </w:numPr>
      </w:pPr>
      <w:r>
        <w:t>Des dénaturants de suppriment les liaisons non covalentes (hydrogène ou Van der Vaal).</w:t>
      </w:r>
    </w:p>
    <w:p>
      <w:pPr>
        <w:pStyle w:val="Titre3"/>
      </w:pPr>
      <w:r>
        <w:t>Vocabulaire</w:t>
      </w:r>
    </w:p>
    <w:p>
      <w:r>
        <w:t>Ne pas utiliser le terme tache. On parlera de bande ou de spot.</w:t>
      </w:r>
    </w:p>
    <w:p>
      <w:r>
        <w:rPr>
          <w:rStyle w:val="Accentuation"/>
        </w:rPr>
        <w:lastRenderedPageBreak/>
        <w:t>Dialyse</w:t>
      </w:r>
      <w:r>
        <w:t xml:space="preserve"> technique consistant à diminuer la concentration de molécules en créant un gradient chimique.</w:t>
      </w:r>
    </w:p>
    <w:p>
      <w:r>
        <w:rPr>
          <w:rStyle w:val="Accentuation"/>
        </w:rPr>
        <w:t>Chromatographie</w:t>
      </w:r>
      <w:r>
        <w:t xml:space="preserve"> ensemble de méthodes qui permet la séparation de composants chimiques.</w:t>
      </w:r>
    </w:p>
    <w:p>
      <w:r>
        <w:rPr>
          <w:rStyle w:val="Accentuation"/>
        </w:rPr>
        <w:t>Lyophiliser</w:t>
      </w:r>
      <w:r>
        <w:t xml:space="preserve"> méthode qui consiste à retirer l’eau d’un produit en le congelant puis en faisant évaporer la glace par une baisse de la pression.</w:t>
      </w:r>
    </w:p>
    <w:p>
      <w:r>
        <w:t>Westernblot (ou transfert de protéines) est une méthode combinatoire :</w:t>
      </w:r>
    </w:p>
    <w:p>
      <w:pPr>
        <w:pStyle w:val="Paragraphedeliste"/>
        <w:numPr>
          <w:ilvl w:val="0"/>
          <w:numId w:val="15"/>
        </w:numPr>
      </w:pPr>
      <w:r>
        <w:t>Électrophorèse sur gel.</w:t>
      </w:r>
    </w:p>
    <w:p>
      <w:pPr>
        <w:pStyle w:val="Paragraphedeliste"/>
        <w:numPr>
          <w:ilvl w:val="0"/>
          <w:numId w:val="15"/>
        </w:numPr>
      </w:pPr>
      <w:r>
        <w:t>Transfert sur une membrane.</w:t>
      </w:r>
    </w:p>
    <w:p>
      <w:pPr>
        <w:pStyle w:val="Paragraphedeliste"/>
        <w:numPr>
          <w:ilvl w:val="0"/>
          <w:numId w:val="15"/>
        </w:numPr>
      </w:pPr>
      <w:r>
        <w:t>Coloration des protéines.</w:t>
      </w:r>
    </w:p>
    <w:p>
      <w:pPr>
        <w:pStyle w:val="Titre2"/>
      </w:pPr>
      <w:r>
        <w:t>Chromatographie</w:t>
      </w:r>
    </w:p>
    <w:p>
      <w:r>
        <w:t>Il existe quatre types de chromatographie :</w:t>
      </w:r>
    </w:p>
    <w:p>
      <w:pPr>
        <w:pStyle w:val="Paragraphedeliste"/>
        <w:numPr>
          <w:ilvl w:val="0"/>
          <w:numId w:val="8"/>
        </w:numPr>
      </w:pPr>
      <w:r>
        <w:t xml:space="preserve">d’exclusion qui sépare en fonction de la taille et de la forme appelé poids moléculaire en kDa. </w:t>
      </w:r>
    </w:p>
    <w:p>
      <w:pPr>
        <w:pStyle w:val="Paragraphedeliste"/>
        <w:numPr>
          <w:ilvl w:val="0"/>
          <w:numId w:val="8"/>
        </w:numPr>
      </w:pPr>
      <w:r>
        <w:t>D’affinité qui filtre par affinité avec un ligand. Les composés se détachent progressivement (élués).</w:t>
      </w:r>
    </w:p>
    <w:p>
      <w:pPr>
        <w:pStyle w:val="Paragraphedeliste"/>
        <w:numPr>
          <w:ilvl w:val="0"/>
          <w:numId w:val="8"/>
        </w:numPr>
      </w:pPr>
      <w:r>
        <w:t>D’échange d’ions. Des billes chargées retiennent les molécules d’intérêt et sont éluées progressivement.</w:t>
      </w:r>
    </w:p>
    <w:p>
      <w:pPr>
        <w:pStyle w:val="Paragraphedeliste"/>
        <w:numPr>
          <w:ilvl w:val="0"/>
          <w:numId w:val="8"/>
        </w:numPr>
      </w:pPr>
      <w:r>
        <w:t>Sur couche mince.</w:t>
      </w:r>
    </w:p>
    <w:p>
      <w:r>
        <w:rPr>
          <w:u w:val="single"/>
        </w:rPr>
        <w:t>Rmq :</w:t>
      </w:r>
      <w:r>
        <w:t xml:space="preserve"> il existe une chromatographie qui utilise des anticorps à la place des ions. </w:t>
      </w:r>
    </w:p>
    <w:p>
      <w:pPr>
        <w:pStyle w:val="Titre3"/>
      </w:pPr>
      <w:r>
        <w:t>Chromatographie d’exclusion</w:t>
      </w:r>
    </w:p>
    <w:p>
      <w:r>
        <w:t xml:space="preserve">Les molécules passent dans des billes percées. Plus la molécule est grosse plus vite elle sortira. On a une relation linéaire entre log de la taille en fonction du volume élué. </w:t>
      </w:r>
    </w:p>
    <w:p>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mort</m:t>
            </m:r>
          </m:sub>
        </m:sSub>
      </m:oMath>
      <w:r>
        <w:rPr>
          <w:sz w:val="28"/>
          <w:szCs w:val="28"/>
        </w:rPr>
        <w:t xml:space="preserve"> </w:t>
      </w:r>
      <w:r>
        <w:t>volume d’élution des plus grosses molécules, celles qui ne peuvent pas entrer dans les billes.</w:t>
      </w:r>
    </w:p>
    <w:p>
      <w:r>
        <w:t>K</w:t>
      </w:r>
      <w:r>
        <w:rPr>
          <w:vertAlign w:val="subscript"/>
        </w:rPr>
        <w:t>a</w:t>
      </w:r>
      <w:r>
        <w:t xml:space="preserve"> coefficient de partage :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a</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élué</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mort</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total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mort</m:t>
                </m:r>
              </m:sub>
            </m:sSub>
          </m:den>
        </m:f>
      </m:oMath>
      <w:r>
        <w:rPr>
          <w:rFonts w:eastAsiaTheme="minorEastAsia"/>
        </w:rPr>
        <w:t>.</w:t>
      </w:r>
    </w:p>
    <w:p>
      <w:pPr>
        <w:pStyle w:val="Titre3"/>
      </w:pPr>
      <w:r>
        <w:t>Chromatographie d’échanges d’ions </w:t>
      </w:r>
    </w:p>
    <w:p>
      <w:r>
        <w:t>Les protéines sont mises dans une colonne échangeuse avec des billes qui possèdent une charge opposée à la protéine d’intérêt. Les protéines sont détachées progressivement par plusieurs lavages (le solvant est appelé analyte) qui cassent les interactions faibles càd de type :</w:t>
      </w:r>
    </w:p>
    <w:tbl>
      <w:tblPr>
        <w:tblStyle w:val="Grilledetableauclaire"/>
        <w:tblW w:w="0" w:type="auto"/>
        <w:tblLook w:val="0400" w:firstRow="0" w:lastRow="0" w:firstColumn="0" w:lastColumn="0" w:noHBand="0" w:noVBand="1"/>
      </w:tblPr>
      <w:tblGrid>
        <w:gridCol w:w="3667"/>
        <w:gridCol w:w="3668"/>
      </w:tblGrid>
      <w:tr>
        <w:tc>
          <w:tcPr>
            <w:tcW w:w="3667" w:type="dxa"/>
          </w:tcPr>
          <w:p>
            <w:r>
              <w:t>Hydrogènes</w:t>
            </w:r>
          </w:p>
        </w:tc>
        <w:tc>
          <w:tcPr>
            <w:tcW w:w="3668" w:type="dxa"/>
          </w:tcPr>
          <w:p>
            <w:r>
              <w:t>Van Deer Val</w:t>
            </w:r>
          </w:p>
        </w:tc>
      </w:tr>
    </w:tbl>
    <w:p>
      <w:pPr>
        <w:pStyle w:val="Titre2"/>
      </w:pPr>
      <w:r>
        <w:t>Électrophorèse</w:t>
      </w:r>
    </w:p>
    <w:p>
      <w:r>
        <w:t>Il existe plusieurs types d’électrophorèse :</w:t>
      </w:r>
    </w:p>
    <w:p>
      <w:pPr>
        <w:pStyle w:val="Paragraphedeliste"/>
        <w:numPr>
          <w:ilvl w:val="0"/>
          <w:numId w:val="28"/>
        </w:numPr>
      </w:pPr>
      <w:r>
        <w:t>En gel de polyacrylamide contenant du dodécysulfate de sodium (PAGE SDS) sépare par la taille.</w:t>
      </w:r>
    </w:p>
    <w:p>
      <w:pPr>
        <w:pStyle w:val="Paragraphedeliste"/>
        <w:numPr>
          <w:ilvl w:val="0"/>
          <w:numId w:val="28"/>
        </w:numPr>
      </w:pPr>
      <w:r>
        <w:t>Par focalisation isoélectrique (IEF) sépare par la charge électrique.</w:t>
      </w:r>
    </w:p>
    <w:p>
      <w:r>
        <w:t>L’électrophorèse 2D consiste à réaliser une séparation :</w:t>
      </w:r>
    </w:p>
    <w:tbl>
      <w:tblPr>
        <w:tblStyle w:val="Grilledetableauclaire"/>
        <w:tblW w:w="0" w:type="auto"/>
        <w:tblLook w:val="0400" w:firstRow="0" w:lastRow="0" w:firstColumn="0" w:lastColumn="0" w:noHBand="0" w:noVBand="1"/>
      </w:tblPr>
      <w:tblGrid>
        <w:gridCol w:w="4106"/>
        <w:gridCol w:w="3229"/>
      </w:tblGrid>
      <w:tr>
        <w:tc>
          <w:tcPr>
            <w:tcW w:w="4106" w:type="dxa"/>
          </w:tcPr>
          <w:p>
            <w:r>
              <w:t>en fonction du point isoélectrique (IEF)</w:t>
            </w:r>
          </w:p>
        </w:tc>
        <w:tc>
          <w:tcPr>
            <w:tcW w:w="3229" w:type="dxa"/>
          </w:tcPr>
          <w:p>
            <w:r>
              <w:t>par la taille.</w:t>
            </w:r>
          </w:p>
        </w:tc>
      </w:tr>
    </w:tbl>
    <w:p>
      <w:pPr>
        <w:pStyle w:val="Titre2"/>
      </w:pPr>
      <w:r>
        <w:t>Méthode révélation </w:t>
      </w:r>
    </w:p>
    <w:p>
      <w:r>
        <w:t xml:space="preserve">Pour révéler la présence de protéines, il est possible de colorer par : </w:t>
      </w:r>
    </w:p>
    <w:tbl>
      <w:tblPr>
        <w:tblStyle w:val="Grilledetableauclaire"/>
        <w:tblW w:w="0" w:type="auto"/>
        <w:tblLook w:val="0400" w:firstRow="0" w:lastRow="0" w:firstColumn="0" w:lastColumn="0" w:noHBand="0" w:noVBand="1"/>
      </w:tblPr>
      <w:tblGrid>
        <w:gridCol w:w="4248"/>
        <w:gridCol w:w="3087"/>
      </w:tblGrid>
      <w:tr>
        <w:tc>
          <w:tcPr>
            <w:tcW w:w="4248" w:type="dxa"/>
          </w:tcPr>
          <w:p>
            <w:r>
              <w:t>Bleu de Coomassie (non spécifique)</w:t>
            </w:r>
          </w:p>
        </w:tc>
        <w:tc>
          <w:tcPr>
            <w:tcW w:w="3087" w:type="dxa"/>
          </w:tcPr>
          <w:p>
            <w:r>
              <w:t>Antigène (spécifique)</w:t>
            </w:r>
          </w:p>
        </w:tc>
      </w:tr>
    </w:tbl>
    <w:p>
      <w:r>
        <w:rPr>
          <w:rStyle w:val="Accentuation"/>
        </w:rPr>
        <w:t>Épitope</w:t>
      </w:r>
      <w:r>
        <w:t xml:space="preserve"> région de fixation de l’anticorps.</w:t>
      </w:r>
    </w:p>
    <w:p>
      <w:pPr>
        <w:pStyle w:val="Titre2"/>
      </w:pPr>
      <w:r>
        <w:t>Purification de protéines</w:t>
      </w:r>
    </w:p>
    <w:p>
      <w:r>
        <w:rPr>
          <w:rStyle w:val="Accentuation"/>
        </w:rPr>
        <w:t>Activité spécifique</w:t>
      </w:r>
      <w:r>
        <w:t xml:space="preserve"> activité totale de la protéine étudiée par rapport à la quantité de protéines présente.</w:t>
      </w:r>
    </w:p>
    <w:p>
      <w:r>
        <w:rPr>
          <w:rStyle w:val="Accentuation"/>
        </w:rPr>
        <w:t>Rendement</w:t>
      </w:r>
      <w:r>
        <w:t xml:space="preserve"> activité de la protéine de l’étape par rapport à l’activité de départ.</w:t>
      </w:r>
    </w:p>
    <w:p>
      <w:r>
        <w:rPr>
          <w:rStyle w:val="Accentuation"/>
        </w:rPr>
        <w:lastRenderedPageBreak/>
        <w:t>Facteur de purification</w:t>
      </w:r>
      <w:r>
        <w:t xml:space="preserve"> activité spécifique de l’étape par rapport à celle de départ.</w:t>
      </w:r>
    </w:p>
    <w:tbl>
      <w:tblPr>
        <w:tblStyle w:val="Grilledetableauclaire"/>
        <w:tblW w:w="0" w:type="auto"/>
        <w:tblLook w:val="04A0" w:firstRow="1" w:lastRow="0" w:firstColumn="1"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7335" w:type="dxa"/>
          </w:tcPr>
          <w:p>
            <w:pPr>
              <w:rPr>
                <w:b w:val="0"/>
              </w:rPr>
            </w:pPr>
            <w:r>
              <w:t>Rappel et synthèse de thermodynamique et de chimie en solution :</w:t>
            </w:r>
          </w:p>
          <w:p>
            <w:pPr>
              <w:rPr>
                <w:rFonts w:eastAsiaTheme="minorEastAsia"/>
                <w:b w:val="0"/>
              </w:rPr>
            </w:pPr>
            <w:r>
              <w:rPr>
                <w:rFonts w:eastAsiaTheme="minorEastAsia"/>
                <w:b w:val="0"/>
              </w:rPr>
              <w:t xml:space="preserve">Température en K = 273+T C° </w:t>
            </w:r>
          </w:p>
          <w:p>
            <w:pPr>
              <w:rPr>
                <w:rFonts w:eastAsiaTheme="minorEastAsia"/>
                <w:b w:val="0"/>
                <w:u w:val="single"/>
              </w:rPr>
            </w:pPr>
            <w:r>
              <w:rPr>
                <w:rFonts w:eastAsiaTheme="minorEastAsia"/>
                <w:b w:val="0"/>
                <w:u w:val="single"/>
              </w:rPr>
              <w:t>Vrai pour toutes réactions !!!!</w:t>
            </w:r>
          </w:p>
          <w:p>
            <w:pPr>
              <w:pStyle w:val="Paragraphedeliste"/>
              <w:numPr>
                <w:ilvl w:val="0"/>
                <w:numId w:val="31"/>
              </w:numPr>
              <w:rPr>
                <w:rFonts w:eastAsiaTheme="minorEastAsia"/>
                <w:b w:val="0"/>
              </w:rPr>
            </w:pPr>
            <w:r>
              <w:rPr>
                <w:rFonts w:eastAsiaTheme="minorEastAsia"/>
                <w:b w:val="0"/>
              </w:rPr>
              <w:t xml:space="preserve">À l’équilibre càd quand les concentrations n’évoluent plus  </w:t>
            </w:r>
            <m:oMath>
              <m:r>
                <m:rPr>
                  <m:sty m:val="bi"/>
                </m:rPr>
                <w:rPr>
                  <w:rFonts w:ascii="Cambria Math" w:hAnsi="Cambria Math"/>
                </w:rPr>
                <m:t>∆</m:t>
              </m:r>
              <m:sSup>
                <m:sSupPr>
                  <m:ctrlPr>
                    <w:rPr>
                      <w:rFonts w:ascii="Cambria Math" w:eastAsiaTheme="minorEastAsia" w:hAnsi="Cambria Math"/>
                      <w:b w:val="0"/>
                      <w:i/>
                    </w:rPr>
                  </m:ctrlPr>
                </m:sSupPr>
                <m:e>
                  <m:r>
                    <m:rPr>
                      <m:sty m:val="bi"/>
                    </m:rPr>
                    <w:rPr>
                      <w:rFonts w:ascii="Cambria Math" w:eastAsiaTheme="minorEastAsia" w:hAnsi="Cambria Math"/>
                    </w:rPr>
                    <m:t>G</m:t>
                  </m:r>
                </m:e>
                <m:sup>
                  <m:r>
                    <m:rPr>
                      <m:sty m:val="bi"/>
                    </m:rPr>
                    <w:rPr>
                      <w:rFonts w:ascii="Cambria Math" w:eastAsiaTheme="minorEastAsia" w:hAnsi="Cambria Math"/>
                    </w:rPr>
                    <m:t>0'</m:t>
                  </m:r>
                </m:sup>
              </m:sSup>
              <m:r>
                <m:rPr>
                  <m:sty m:val="bi"/>
                </m:rPr>
                <w:rPr>
                  <w:rFonts w:ascii="Cambria Math" w:eastAsiaTheme="minorEastAsia" w:hAnsi="Cambria Math"/>
                </w:rPr>
                <m:t>=-RT.</m:t>
              </m:r>
              <m:func>
                <m:funcPr>
                  <m:ctrlPr>
                    <w:rPr>
                      <w:rFonts w:ascii="Cambria Math" w:eastAsiaTheme="minorEastAsia" w:hAnsi="Cambria Math"/>
                      <w:b w:val="0"/>
                    </w:rPr>
                  </m:ctrlPr>
                </m:funcPr>
                <m:fName>
                  <m:r>
                    <m:rPr>
                      <m:sty m:val="b"/>
                    </m:rPr>
                    <w:rPr>
                      <w:rFonts w:ascii="Cambria Math" w:eastAsiaTheme="minorEastAsia" w:hAnsi="Cambria Math"/>
                    </w:rPr>
                    <m:t>l</m:t>
                  </m:r>
                  <m:r>
                    <m:rPr>
                      <m:sty m:val="bi"/>
                    </m:rPr>
                    <w:rPr>
                      <w:rFonts w:ascii="Cambria Math" w:eastAsiaTheme="minorEastAsia" w:hAnsi="Cambria Math"/>
                    </w:rPr>
                    <m:t>n</m:t>
                  </m:r>
                </m:fName>
                <m:e>
                  <m:d>
                    <m:dPr>
                      <m:ctrlPr>
                        <w:rPr>
                          <w:rFonts w:ascii="Cambria Math" w:eastAsiaTheme="minorEastAsia" w:hAnsi="Cambria Math"/>
                          <w:b w:val="0"/>
                          <w:i/>
                        </w:rPr>
                      </m:ctrlPr>
                    </m:dPr>
                    <m:e>
                      <m:sSub>
                        <m:sSubPr>
                          <m:ctrlPr>
                            <w:rPr>
                              <w:rFonts w:ascii="Cambria Math" w:eastAsiaTheme="minorEastAsia" w:hAnsi="Cambria Math"/>
                              <w:b w:val="0"/>
                              <w:i/>
                            </w:rPr>
                          </m:ctrlPr>
                        </m:sSubPr>
                        <m:e>
                          <m:r>
                            <m:rPr>
                              <m:sty m:val="bi"/>
                            </m:rPr>
                            <w:rPr>
                              <w:rFonts w:ascii="Cambria Math" w:eastAsiaTheme="minorEastAsia" w:hAnsi="Cambria Math"/>
                            </w:rPr>
                            <m:t>K</m:t>
                          </m:r>
                        </m:e>
                        <m:sub>
                          <m:r>
                            <m:rPr>
                              <m:sty m:val="bi"/>
                            </m:rPr>
                            <w:rPr>
                              <w:rFonts w:ascii="Cambria Math" w:eastAsiaTheme="minorEastAsia" w:hAnsi="Cambria Math"/>
                            </w:rPr>
                            <m:t>eq</m:t>
                          </m:r>
                        </m:sub>
                      </m:sSub>
                    </m:e>
                  </m:d>
                </m:e>
              </m:func>
            </m:oMath>
          </w:p>
          <w:p>
            <w:pPr>
              <w:pStyle w:val="Paragraphedeliste"/>
              <w:numPr>
                <w:ilvl w:val="0"/>
                <w:numId w:val="31"/>
              </w:numPr>
              <w:rPr>
                <w:rFonts w:eastAsiaTheme="minorEastAsia"/>
                <w:b w:val="0"/>
              </w:rPr>
            </w:pPr>
            <m:oMath>
              <m:r>
                <m:rPr>
                  <m:sty m:val="bi"/>
                </m:rPr>
                <w:rPr>
                  <w:rFonts w:ascii="Cambria Math" w:hAnsi="Cambria Math"/>
                </w:rPr>
                <m:t>∆</m:t>
              </m:r>
              <m:sSup>
                <m:sSupPr>
                  <m:ctrlPr>
                    <w:rPr>
                      <w:rFonts w:ascii="Cambria Math" w:eastAsiaTheme="minorEastAsia" w:hAnsi="Cambria Math"/>
                      <w:b w:val="0"/>
                      <w:i/>
                    </w:rPr>
                  </m:ctrlPr>
                </m:sSupPr>
                <m:e>
                  <m:r>
                    <m:rPr>
                      <m:sty m:val="bi"/>
                    </m:rPr>
                    <w:rPr>
                      <w:rFonts w:ascii="Cambria Math" w:eastAsiaTheme="minorEastAsia" w:hAnsi="Cambria Math"/>
                    </w:rPr>
                    <m:t>G</m:t>
                  </m:r>
                </m:e>
                <m:sup>
                  <m:r>
                    <m:rPr>
                      <m:sty m:val="bi"/>
                    </m:rPr>
                    <w:rPr>
                      <w:rFonts w:ascii="Cambria Math" w:eastAsiaTheme="minorEastAsia" w:hAnsi="Cambria Math"/>
                    </w:rPr>
                    <m:t>0</m:t>
                  </m:r>
                </m:sup>
              </m:sSup>
              <m:r>
                <m:rPr>
                  <m:sty m:val="bi"/>
                </m:rPr>
                <w:rPr>
                  <w:rFonts w:ascii="Cambria Math" w:eastAsiaTheme="minorEastAsia" w:hAnsi="Cambria Math"/>
                </w:rPr>
                <m:t>=</m:t>
              </m:r>
              <m:r>
                <m:rPr>
                  <m:sty m:val="bi"/>
                </m:rPr>
                <w:rPr>
                  <w:rFonts w:ascii="Cambria Math" w:hAnsi="Cambria Math"/>
                </w:rPr>
                <m:t>∆</m:t>
              </m:r>
              <m:sSup>
                <m:sSupPr>
                  <m:ctrlPr>
                    <w:rPr>
                      <w:rFonts w:ascii="Cambria Math" w:eastAsiaTheme="minorEastAsia" w:hAnsi="Cambria Math"/>
                      <w:b w:val="0"/>
                      <w:i/>
                    </w:rPr>
                  </m:ctrlPr>
                </m:sSupPr>
                <m:e>
                  <m:r>
                    <m:rPr>
                      <m:sty m:val="bi"/>
                    </m:rPr>
                    <w:rPr>
                      <w:rFonts w:ascii="Cambria Math" w:eastAsiaTheme="minorEastAsia" w:hAnsi="Cambria Math"/>
                    </w:rPr>
                    <m:t>G</m:t>
                  </m:r>
                </m:e>
                <m:sup>
                  <m:sSup>
                    <m:sSupPr>
                      <m:ctrlPr>
                        <w:rPr>
                          <w:rFonts w:ascii="Cambria Math" w:eastAsiaTheme="minorEastAsia" w:hAnsi="Cambria Math"/>
                          <w:b w:val="0"/>
                          <w:i/>
                        </w:rPr>
                      </m:ctrlPr>
                    </m:sSupPr>
                    <m:e>
                      <m:r>
                        <m:rPr>
                          <m:sty m:val="bi"/>
                        </m:rPr>
                        <w:rPr>
                          <w:rFonts w:ascii="Cambria Math" w:eastAsiaTheme="minorEastAsia" w:hAnsi="Cambria Math"/>
                        </w:rPr>
                        <m:t>0</m:t>
                      </m:r>
                    </m:e>
                    <m:sup>
                      <m:r>
                        <m:rPr>
                          <m:sty m:val="bi"/>
                        </m:rPr>
                        <w:rPr>
                          <w:rFonts w:ascii="Cambria Math" w:eastAsiaTheme="minorEastAsia" w:hAnsi="Cambria Math"/>
                        </w:rPr>
                        <m:t>'</m:t>
                      </m:r>
                    </m:sup>
                  </m:sSup>
                </m:sup>
              </m:sSup>
              <m:r>
                <m:rPr>
                  <m:sty m:val="bi"/>
                </m:rPr>
                <w:rPr>
                  <w:rFonts w:ascii="Cambria Math" w:eastAsiaTheme="minorEastAsia" w:hAnsi="Cambria Math"/>
                </w:rPr>
                <m:t>+RT.</m:t>
              </m:r>
              <m:func>
                <m:funcPr>
                  <m:ctrlPr>
                    <w:rPr>
                      <w:rFonts w:ascii="Cambria Math" w:eastAsiaTheme="minorEastAsia" w:hAnsi="Cambria Math"/>
                      <w:b w:val="0"/>
                    </w:rPr>
                  </m:ctrlPr>
                </m:funcPr>
                <m:fName>
                  <m:r>
                    <m:rPr>
                      <m:sty m:val="b"/>
                    </m:rPr>
                    <w:rPr>
                      <w:rFonts w:ascii="Cambria Math" w:eastAsiaTheme="minorEastAsia" w:hAnsi="Cambria Math"/>
                    </w:rPr>
                    <m:t>l</m:t>
                  </m:r>
                  <m:r>
                    <m:rPr>
                      <m:sty m:val="bi"/>
                    </m:rPr>
                    <w:rPr>
                      <w:rFonts w:ascii="Cambria Math" w:eastAsiaTheme="minorEastAsia" w:hAnsi="Cambria Math"/>
                    </w:rPr>
                    <m:t>n</m:t>
                  </m:r>
                </m:fName>
                <m:e>
                  <m:d>
                    <m:dPr>
                      <m:ctrlPr>
                        <w:rPr>
                          <w:rFonts w:ascii="Cambria Math" w:eastAsiaTheme="minorEastAsia" w:hAnsi="Cambria Math"/>
                          <w:b w:val="0"/>
                          <w:i/>
                        </w:rPr>
                      </m:ctrlPr>
                    </m:dPr>
                    <m:e>
                      <m:r>
                        <m:rPr>
                          <m:sty m:val="bi"/>
                        </m:rPr>
                        <w:rPr>
                          <w:rFonts w:ascii="Cambria Math" w:eastAsiaTheme="minorEastAsia" w:hAnsi="Cambria Math"/>
                        </w:rPr>
                        <m:t>K</m:t>
                      </m:r>
                    </m:e>
                  </m:d>
                </m:e>
              </m:func>
            </m:oMath>
          </w:p>
          <w:p>
            <w:pPr>
              <w:rPr>
                <w:rFonts w:eastAsiaTheme="minorEastAsia"/>
                <w:b w:val="0"/>
              </w:rPr>
            </w:pPr>
          </w:p>
          <w:p>
            <w:pPr>
              <w:rPr>
                <w:rFonts w:eastAsiaTheme="minorEastAsia"/>
                <w:b w:val="0"/>
              </w:rPr>
            </w:pPr>
            <w:r>
              <w:rPr>
                <w:rFonts w:eastAsiaTheme="minorEastAsia"/>
                <w:b w:val="0"/>
              </w:rPr>
              <w:t>En plus pour les réactions d’oxydoréduction</w:t>
            </w:r>
          </w:p>
          <w:p>
            <w:pPr>
              <w:pStyle w:val="Paragraphedeliste"/>
              <w:numPr>
                <w:ilvl w:val="0"/>
                <w:numId w:val="30"/>
              </w:numPr>
              <w:rPr>
                <w:rFonts w:eastAsiaTheme="minorEastAsia"/>
                <w:b w:val="0"/>
              </w:rPr>
            </w:pPr>
            <m:oMath>
              <m:r>
                <m:rPr>
                  <m:sty m:val="bi"/>
                </m:rPr>
                <w:rPr>
                  <w:rFonts w:ascii="Cambria Math" w:hAnsi="Cambria Math"/>
                </w:rPr>
                <m:t>∆E</m:t>
              </m:r>
            </m:oMath>
            <w:r>
              <w:rPr>
                <w:rFonts w:eastAsiaTheme="minorEastAsia"/>
                <w:b w:val="0"/>
              </w:rPr>
              <w:t xml:space="preserve"> différence de potentiel entre le couple.</w:t>
            </w:r>
          </w:p>
          <w:p>
            <w:pPr>
              <w:pStyle w:val="Paragraphedeliste"/>
              <w:numPr>
                <w:ilvl w:val="0"/>
                <w:numId w:val="30"/>
              </w:numPr>
              <w:rPr>
                <w:rFonts w:eastAsiaTheme="minorEastAsia"/>
                <w:b w:val="0"/>
              </w:rPr>
            </w:pPr>
            <m:oMath>
              <m:r>
                <m:rPr>
                  <m:sty m:val="bi"/>
                </m:rPr>
                <w:rPr>
                  <w:rFonts w:ascii="Cambria Math" w:hAnsi="Cambria Math"/>
                </w:rPr>
                <m:t>∆G=-n.F.∆E</m:t>
              </m:r>
            </m:oMath>
            <w:r>
              <w:rPr>
                <w:rFonts w:eastAsiaTheme="minorEastAsia"/>
                <w:b w:val="0"/>
              </w:rPr>
              <w:t xml:space="preserve"> avec n le nbre d’électrons échangés.</w:t>
            </w:r>
          </w:p>
          <w:p>
            <w:pPr>
              <w:rPr>
                <w:rFonts w:eastAsiaTheme="minorEastAsia"/>
                <w:b w:val="0"/>
              </w:rPr>
            </w:pPr>
          </w:p>
          <w:p>
            <w:pPr>
              <w:rPr>
                <w:b w:val="0"/>
              </w:rPr>
            </w:pPr>
            <w:r>
              <w:rPr>
                <w:b w:val="0"/>
              </w:rPr>
              <w:t xml:space="preserve">Le transport entre deux compartiments </w:t>
            </w:r>
          </w:p>
          <w:p>
            <w:pPr>
              <w:pStyle w:val="Paragraphedeliste"/>
              <w:numPr>
                <w:ilvl w:val="0"/>
                <w:numId w:val="30"/>
              </w:numPr>
              <w:rPr>
                <w:rFonts w:eastAsiaTheme="minorEastAsia"/>
              </w:rPr>
            </w:pPr>
            <m:oMath>
              <m:sSub>
                <m:sSubPr>
                  <m:ctrlPr>
                    <w:rPr>
                      <w:rFonts w:ascii="Cambria Math" w:hAnsi="Cambria Math"/>
                      <w:b w:val="0"/>
                      <w:i/>
                    </w:rPr>
                  </m:ctrlPr>
                </m:sSubPr>
                <m:e>
                  <m:r>
                    <m:rPr>
                      <m:sty m:val="bi"/>
                    </m:rPr>
                    <w:rPr>
                      <w:rFonts w:ascii="Cambria Math" w:hAnsi="Cambria Math"/>
                    </w:rPr>
                    <m:t>μ</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μ</m:t>
                  </m:r>
                </m:e>
                <m:sub>
                  <m:r>
                    <m:rPr>
                      <m:sty m:val="bi"/>
                    </m:rPr>
                    <w:rPr>
                      <w:rFonts w:ascii="Cambria Math" w:hAnsi="Cambria Math"/>
                    </w:rPr>
                    <m:t>0</m:t>
                  </m:r>
                </m:sub>
              </m:sSub>
              <m:r>
                <m:rPr>
                  <m:sty m:val="bi"/>
                </m:rPr>
                <w:rPr>
                  <w:rFonts w:ascii="Cambria Math" w:eastAsiaTheme="minorEastAsia" w:hAnsi="Cambria Math"/>
                </w:rPr>
                <m:t>+R.T.</m:t>
              </m:r>
              <m:func>
                <m:funcPr>
                  <m:ctrlPr>
                    <w:rPr>
                      <w:rFonts w:ascii="Cambria Math" w:eastAsiaTheme="minorEastAsia" w:hAnsi="Cambria Math"/>
                      <w:b w:val="0"/>
                    </w:rPr>
                  </m:ctrlPr>
                </m:funcPr>
                <m:fName>
                  <m:r>
                    <m:rPr>
                      <m:sty m:val="b"/>
                    </m:rPr>
                    <w:rPr>
                      <w:rFonts w:ascii="Cambria Math" w:eastAsiaTheme="minorEastAsia" w:hAnsi="Cambria Math"/>
                    </w:rPr>
                    <m:t>ln</m:t>
                  </m:r>
                  <m:ctrlPr>
                    <w:rPr>
                      <w:rFonts w:ascii="Cambria Math" w:eastAsiaTheme="minorEastAsia" w:hAnsi="Cambria Math"/>
                      <w:b w:val="0"/>
                      <w:i/>
                    </w:rPr>
                  </m:ctrlPr>
                </m:fName>
                <m:e>
                  <m:d>
                    <m:dPr>
                      <m:begChr m:val="["/>
                      <m:endChr m:val="]"/>
                      <m:ctrlPr>
                        <w:rPr>
                          <w:rFonts w:ascii="Cambria Math" w:eastAsiaTheme="minorEastAsia" w:hAnsi="Cambria Math"/>
                          <w:b w:val="0"/>
                          <w:i/>
                        </w:rPr>
                      </m:ctrlPr>
                    </m:dPr>
                    <m:e>
                      <m:r>
                        <m:rPr>
                          <m:sty m:val="bi"/>
                        </m:rPr>
                        <w:rPr>
                          <w:rFonts w:ascii="Cambria Math" w:hAnsi="Cambria Math"/>
                        </w:rPr>
                        <m:t>S</m:t>
                      </m:r>
                    </m:e>
                  </m:d>
                </m:e>
              </m:func>
              <m:r>
                <m:rPr>
                  <m:sty m:val="bi"/>
                </m:rPr>
                <w:rPr>
                  <w:rFonts w:ascii="Cambria Math" w:eastAsiaTheme="minorEastAsia" w:hAnsi="Cambria Math"/>
                </w:rPr>
                <m:t>+z.F.</m:t>
              </m:r>
              <m:r>
                <m:rPr>
                  <m:sty m:val="bi"/>
                </m:rPr>
                <w:rPr>
                  <w:rFonts w:ascii="Cambria Math" w:hAnsi="Cambria Math"/>
                </w:rPr>
                <m:t xml:space="preserve">E </m:t>
              </m:r>
            </m:oMath>
            <w:r>
              <w:rPr>
                <w:b w:val="0"/>
              </w:rPr>
              <w:t>(Equation de Nest) elle donne le potentiel.</w:t>
            </w:r>
          </w:p>
          <w:p>
            <w:pPr>
              <w:pStyle w:val="Paragraphedeliste"/>
              <w:numPr>
                <w:ilvl w:val="0"/>
                <w:numId w:val="30"/>
              </w:numPr>
              <w:rPr>
                <w:rFonts w:eastAsiaTheme="minorEastAsia"/>
              </w:rPr>
            </w:pPr>
            <m:oMath>
              <m:r>
                <m:rPr>
                  <m:sty m:val="bi"/>
                </m:rPr>
                <w:rPr>
                  <w:rFonts w:ascii="Cambria Math" w:hAnsi="Cambria Math"/>
                </w:rPr>
                <m:t>∆G=</m:t>
              </m:r>
              <m:r>
                <m:rPr>
                  <m:sty m:val="bi"/>
                </m:rPr>
                <w:rPr>
                  <w:rFonts w:ascii="Cambria Math" w:eastAsiaTheme="minorEastAsia" w:hAnsi="Cambria Math"/>
                </w:rPr>
                <m:t>R.T.</m:t>
              </m:r>
              <m:func>
                <m:funcPr>
                  <m:ctrlPr>
                    <w:rPr>
                      <w:rFonts w:ascii="Cambria Math" w:eastAsiaTheme="minorEastAsia" w:hAnsi="Cambria Math"/>
                      <w:b w:val="0"/>
                    </w:rPr>
                  </m:ctrlPr>
                </m:funcPr>
                <m:fName>
                  <m:r>
                    <m:rPr>
                      <m:sty m:val="b"/>
                    </m:rPr>
                    <w:rPr>
                      <w:rFonts w:ascii="Cambria Math" w:eastAsiaTheme="minorEastAsia" w:hAnsi="Cambria Math"/>
                    </w:rPr>
                    <m:t>ln</m:t>
                  </m:r>
                  <m:ctrlPr>
                    <w:rPr>
                      <w:rFonts w:ascii="Cambria Math" w:eastAsiaTheme="minorEastAsia" w:hAnsi="Cambria Math"/>
                      <w:b w:val="0"/>
                      <w:i/>
                    </w:rPr>
                  </m:ctrlPr>
                </m:fName>
                <m:e>
                  <m:f>
                    <m:fPr>
                      <m:ctrlPr>
                        <w:rPr>
                          <w:rFonts w:ascii="Cambria Math" w:eastAsiaTheme="minorEastAsia" w:hAnsi="Cambria Math"/>
                          <w:b w:val="0"/>
                          <w:i/>
                        </w:rPr>
                      </m:ctrlPr>
                    </m:fPr>
                    <m:num>
                      <m:r>
                        <m:rPr>
                          <m:sty m:val="bi"/>
                        </m:rPr>
                        <w:rPr>
                          <w:rFonts w:ascii="Cambria Math" w:eastAsiaTheme="minorEastAsia" w:hAnsi="Cambria Math"/>
                        </w:rPr>
                        <m:t>final</m:t>
                      </m:r>
                    </m:num>
                    <m:den>
                      <m:r>
                        <m:rPr>
                          <m:sty m:val="bi"/>
                        </m:rPr>
                        <w:rPr>
                          <w:rFonts w:ascii="Cambria Math" w:eastAsiaTheme="minorEastAsia" w:hAnsi="Cambria Math"/>
                        </w:rPr>
                        <m:t>initial</m:t>
                      </m:r>
                    </m:den>
                  </m:f>
                </m:e>
              </m:func>
              <m:r>
                <m:rPr>
                  <m:sty m:val="bi"/>
                </m:rPr>
                <w:rPr>
                  <w:rFonts w:ascii="Cambria Math" w:eastAsiaTheme="minorEastAsia" w:hAnsi="Cambria Math"/>
                </w:rPr>
                <m:t>+z.F.</m:t>
              </m:r>
              <m:sSub>
                <m:sSubPr>
                  <m:ctrlPr>
                    <w:rPr>
                      <w:rFonts w:ascii="Cambria Math" w:eastAsiaTheme="minorEastAsia" w:hAnsi="Cambria Math"/>
                      <w:b w:val="0"/>
                      <w:i/>
                    </w:rPr>
                  </m:ctrlPr>
                </m:sSubPr>
                <m:e>
                  <m:r>
                    <m:rPr>
                      <m:sty m:val="bi"/>
                    </m:rPr>
                    <w:rPr>
                      <w:rFonts w:ascii="Cambria Math" w:eastAsiaTheme="minorEastAsia" w:hAnsi="Cambria Math"/>
                    </w:rPr>
                    <m:t>E</m:t>
                  </m:r>
                </m:e>
                <m:sub>
                  <m:r>
                    <m:rPr>
                      <m:sty m:val="bi"/>
                    </m:rPr>
                    <w:rPr>
                      <w:rFonts w:ascii="Cambria Math" w:eastAsiaTheme="minorEastAsia" w:hAnsi="Cambria Math"/>
                    </w:rPr>
                    <m:t>membranaire</m:t>
                  </m:r>
                </m:sub>
              </m:sSub>
            </m:oMath>
            <w:r>
              <w:rPr>
                <w:rFonts w:eastAsiaTheme="minorEastAsia"/>
                <w:b w:val="0"/>
              </w:rPr>
              <w:t xml:space="preserve"> avec E le potentiel entre les compartiements et z la charge de la particule échangée.</w:t>
            </w:r>
          </w:p>
          <w:p>
            <w:pPr>
              <w:rPr>
                <w:rFonts w:eastAsiaTheme="minorEastAsia"/>
                <w:b w:val="0"/>
                <w:bCs/>
              </w:rPr>
            </w:pPr>
            <w:r>
              <w:rPr>
                <w:rFonts w:eastAsiaTheme="minorEastAsia"/>
                <w:b w:val="0"/>
                <w:bCs/>
                <w:u w:val="single"/>
              </w:rPr>
              <w:t>NB :</w:t>
            </w:r>
            <w:r>
              <w:rPr>
                <w:rFonts w:eastAsiaTheme="minorEastAsia"/>
                <w:b w:val="0"/>
                <w:bCs/>
              </w:rPr>
              <w:t xml:space="preserve"> les formules d’oxydoréduction et de Nerst se ressemblent car le premier est calculé grâce au deuxième.</w:t>
            </w:r>
          </w:p>
        </w:tc>
      </w:tr>
    </w:tbl>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BMC</w:t>
    </w:r>
    <w:r>
      <w:ptab w:relativeTo="margin" w:alignment="center" w:leader="none"/>
    </w:r>
    <w:r>
      <w:t>Biochimie métabolique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03D"/>
    <w:multiLevelType w:val="hybridMultilevel"/>
    <w:tmpl w:val="FBD84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373C5A"/>
    <w:multiLevelType w:val="hybridMultilevel"/>
    <w:tmpl w:val="20B29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F9580A"/>
    <w:multiLevelType w:val="hybridMultilevel"/>
    <w:tmpl w:val="6F50DC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234B49"/>
    <w:multiLevelType w:val="hybridMultilevel"/>
    <w:tmpl w:val="081A2B54"/>
    <w:lvl w:ilvl="0" w:tplc="040C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D72AFD"/>
    <w:multiLevelType w:val="hybridMultilevel"/>
    <w:tmpl w:val="B2226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934277"/>
    <w:multiLevelType w:val="hybridMultilevel"/>
    <w:tmpl w:val="3196D6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8F315A"/>
    <w:multiLevelType w:val="hybridMultilevel"/>
    <w:tmpl w:val="048E1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7F2F26"/>
    <w:multiLevelType w:val="hybridMultilevel"/>
    <w:tmpl w:val="236C4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F021B7"/>
    <w:multiLevelType w:val="hybridMultilevel"/>
    <w:tmpl w:val="3FD68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1577FA"/>
    <w:multiLevelType w:val="hybridMultilevel"/>
    <w:tmpl w:val="8B5262E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D80D1E"/>
    <w:multiLevelType w:val="hybridMultilevel"/>
    <w:tmpl w:val="BAA83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E67891"/>
    <w:multiLevelType w:val="hybridMultilevel"/>
    <w:tmpl w:val="13D8A37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65C59F2"/>
    <w:multiLevelType w:val="hybridMultilevel"/>
    <w:tmpl w:val="C1FA2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2034F3"/>
    <w:multiLevelType w:val="hybridMultilevel"/>
    <w:tmpl w:val="3EEE88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165E29"/>
    <w:multiLevelType w:val="hybridMultilevel"/>
    <w:tmpl w:val="2AAED3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C9E2EFA"/>
    <w:multiLevelType w:val="hybridMultilevel"/>
    <w:tmpl w:val="E2D00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936081"/>
    <w:multiLevelType w:val="hybridMultilevel"/>
    <w:tmpl w:val="DC7C0C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CC5E32"/>
    <w:multiLevelType w:val="hybridMultilevel"/>
    <w:tmpl w:val="A4D4DAE6"/>
    <w:lvl w:ilvl="0" w:tplc="A24E18EE">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297FE5"/>
    <w:multiLevelType w:val="hybridMultilevel"/>
    <w:tmpl w:val="A85C6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DC65D7"/>
    <w:multiLevelType w:val="hybridMultilevel"/>
    <w:tmpl w:val="89B69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342F76"/>
    <w:multiLevelType w:val="hybridMultilevel"/>
    <w:tmpl w:val="281413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927A4A"/>
    <w:multiLevelType w:val="hybridMultilevel"/>
    <w:tmpl w:val="96B89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5B3058C"/>
    <w:multiLevelType w:val="hybridMultilevel"/>
    <w:tmpl w:val="2EE4550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F4410D0"/>
    <w:multiLevelType w:val="hybridMultilevel"/>
    <w:tmpl w:val="95A66D4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952F7C"/>
    <w:multiLevelType w:val="hybridMultilevel"/>
    <w:tmpl w:val="51B611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DA5B2A"/>
    <w:multiLevelType w:val="hybridMultilevel"/>
    <w:tmpl w:val="32789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2334F83"/>
    <w:multiLevelType w:val="hybridMultilevel"/>
    <w:tmpl w:val="5C7A46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2C6779F"/>
    <w:multiLevelType w:val="hybridMultilevel"/>
    <w:tmpl w:val="E3DAE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5021CE1"/>
    <w:multiLevelType w:val="hybridMultilevel"/>
    <w:tmpl w:val="14FA3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6C40872"/>
    <w:multiLevelType w:val="hybridMultilevel"/>
    <w:tmpl w:val="28141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BED05F2"/>
    <w:multiLevelType w:val="hybridMultilevel"/>
    <w:tmpl w:val="9C284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49651602">
    <w:abstractNumId w:val="10"/>
  </w:num>
  <w:num w:numId="2" w16cid:durableId="1647511324">
    <w:abstractNumId w:val="16"/>
  </w:num>
  <w:num w:numId="3" w16cid:durableId="964509214">
    <w:abstractNumId w:val="12"/>
  </w:num>
  <w:num w:numId="4" w16cid:durableId="399517896">
    <w:abstractNumId w:val="18"/>
  </w:num>
  <w:num w:numId="5" w16cid:durableId="938558795">
    <w:abstractNumId w:val="15"/>
  </w:num>
  <w:num w:numId="6" w16cid:durableId="1648777537">
    <w:abstractNumId w:val="11"/>
  </w:num>
  <w:num w:numId="7" w16cid:durableId="1527207380">
    <w:abstractNumId w:val="2"/>
  </w:num>
  <w:num w:numId="8" w16cid:durableId="1088888014">
    <w:abstractNumId w:val="8"/>
  </w:num>
  <w:num w:numId="9" w16cid:durableId="1905753998">
    <w:abstractNumId w:val="22"/>
  </w:num>
  <w:num w:numId="10" w16cid:durableId="435977879">
    <w:abstractNumId w:val="29"/>
  </w:num>
  <w:num w:numId="11" w16cid:durableId="1369835782">
    <w:abstractNumId w:val="26"/>
  </w:num>
  <w:num w:numId="12" w16cid:durableId="1568219907">
    <w:abstractNumId w:val="27"/>
  </w:num>
  <w:num w:numId="13" w16cid:durableId="1144928504">
    <w:abstractNumId w:val="25"/>
  </w:num>
  <w:num w:numId="14" w16cid:durableId="1748117058">
    <w:abstractNumId w:val="23"/>
  </w:num>
  <w:num w:numId="15" w16cid:durableId="440152498">
    <w:abstractNumId w:val="20"/>
  </w:num>
  <w:num w:numId="16" w16cid:durableId="2059627512">
    <w:abstractNumId w:val="4"/>
  </w:num>
  <w:num w:numId="17" w16cid:durableId="1611889887">
    <w:abstractNumId w:val="6"/>
  </w:num>
  <w:num w:numId="18" w16cid:durableId="375666628">
    <w:abstractNumId w:val="0"/>
  </w:num>
  <w:num w:numId="19" w16cid:durableId="2090610180">
    <w:abstractNumId w:val="14"/>
  </w:num>
  <w:num w:numId="20" w16cid:durableId="650790032">
    <w:abstractNumId w:val="13"/>
  </w:num>
  <w:num w:numId="21" w16cid:durableId="1242183173">
    <w:abstractNumId w:val="19"/>
  </w:num>
  <w:num w:numId="22" w16cid:durableId="1754931027">
    <w:abstractNumId w:val="30"/>
  </w:num>
  <w:num w:numId="23" w16cid:durableId="495266629">
    <w:abstractNumId w:val="5"/>
  </w:num>
  <w:num w:numId="24" w16cid:durableId="1099831848">
    <w:abstractNumId w:val="7"/>
  </w:num>
  <w:num w:numId="25" w16cid:durableId="1540432331">
    <w:abstractNumId w:val="9"/>
  </w:num>
  <w:num w:numId="26" w16cid:durableId="1458378200">
    <w:abstractNumId w:val="17"/>
  </w:num>
  <w:num w:numId="27" w16cid:durableId="1181361428">
    <w:abstractNumId w:val="3"/>
  </w:num>
  <w:num w:numId="28" w16cid:durableId="1808356179">
    <w:abstractNumId w:val="21"/>
  </w:num>
  <w:num w:numId="29" w16cid:durableId="525797604">
    <w:abstractNumId w:val="28"/>
  </w:num>
  <w:num w:numId="30" w16cid:durableId="1062483913">
    <w:abstractNumId w:val="24"/>
  </w:num>
  <w:num w:numId="31" w16cid:durableId="146290884">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01869479">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24827103">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5002534">
      <w:bodyDiv w:val="1"/>
      <w:marLeft w:val="0"/>
      <w:marRight w:val="0"/>
      <w:marTop w:val="0"/>
      <w:marBottom w:val="0"/>
      <w:divBdr>
        <w:top w:val="none" w:sz="0" w:space="0" w:color="auto"/>
        <w:left w:val="none" w:sz="0" w:space="0" w:color="auto"/>
        <w:bottom w:val="none" w:sz="0" w:space="0" w:color="auto"/>
        <w:right w:val="none" w:sz="0" w:space="0" w:color="auto"/>
      </w:divBdr>
      <w:divsChild>
        <w:div w:id="950823666">
          <w:marLeft w:val="0"/>
          <w:marRight w:val="0"/>
          <w:marTop w:val="0"/>
          <w:marBottom w:val="0"/>
          <w:divBdr>
            <w:top w:val="none" w:sz="0" w:space="0" w:color="auto"/>
            <w:left w:val="none" w:sz="0" w:space="0" w:color="auto"/>
            <w:bottom w:val="none" w:sz="0" w:space="0" w:color="auto"/>
            <w:right w:val="none" w:sz="0" w:space="0" w:color="auto"/>
          </w:divBdr>
        </w:div>
        <w:div w:id="2083939809">
          <w:marLeft w:val="0"/>
          <w:marRight w:val="0"/>
          <w:marTop w:val="0"/>
          <w:marBottom w:val="0"/>
          <w:divBdr>
            <w:top w:val="none" w:sz="0" w:space="0" w:color="auto"/>
            <w:left w:val="none" w:sz="0" w:space="0" w:color="auto"/>
            <w:bottom w:val="none" w:sz="0" w:space="0" w:color="auto"/>
            <w:right w:val="none" w:sz="0" w:space="0" w:color="auto"/>
          </w:divBdr>
        </w:div>
        <w:div w:id="325060182">
          <w:marLeft w:val="0"/>
          <w:marRight w:val="0"/>
          <w:marTop w:val="0"/>
          <w:marBottom w:val="0"/>
          <w:divBdr>
            <w:top w:val="none" w:sz="0" w:space="0" w:color="auto"/>
            <w:left w:val="none" w:sz="0" w:space="0" w:color="auto"/>
            <w:bottom w:val="none" w:sz="0" w:space="0" w:color="auto"/>
            <w:right w:val="none" w:sz="0" w:space="0" w:color="auto"/>
          </w:divBdr>
        </w:div>
        <w:div w:id="349530942">
          <w:marLeft w:val="0"/>
          <w:marRight w:val="0"/>
          <w:marTop w:val="0"/>
          <w:marBottom w:val="0"/>
          <w:divBdr>
            <w:top w:val="none" w:sz="0" w:space="0" w:color="auto"/>
            <w:left w:val="none" w:sz="0" w:space="0" w:color="auto"/>
            <w:bottom w:val="none" w:sz="0" w:space="0" w:color="auto"/>
            <w:right w:val="none" w:sz="0" w:space="0" w:color="auto"/>
          </w:divBdr>
        </w:div>
        <w:div w:id="1288468834">
          <w:marLeft w:val="0"/>
          <w:marRight w:val="0"/>
          <w:marTop w:val="0"/>
          <w:marBottom w:val="0"/>
          <w:divBdr>
            <w:top w:val="none" w:sz="0" w:space="0" w:color="auto"/>
            <w:left w:val="none" w:sz="0" w:space="0" w:color="auto"/>
            <w:bottom w:val="none" w:sz="0" w:space="0" w:color="auto"/>
            <w:right w:val="none" w:sz="0" w:space="0" w:color="auto"/>
          </w:divBdr>
        </w:div>
        <w:div w:id="1533417379">
          <w:marLeft w:val="0"/>
          <w:marRight w:val="0"/>
          <w:marTop w:val="0"/>
          <w:marBottom w:val="0"/>
          <w:divBdr>
            <w:top w:val="none" w:sz="0" w:space="0" w:color="auto"/>
            <w:left w:val="none" w:sz="0" w:space="0" w:color="auto"/>
            <w:bottom w:val="none" w:sz="0" w:space="0" w:color="auto"/>
            <w:right w:val="none" w:sz="0" w:space="0" w:color="auto"/>
          </w:divBdr>
        </w:div>
        <w:div w:id="1568951583">
          <w:marLeft w:val="0"/>
          <w:marRight w:val="0"/>
          <w:marTop w:val="0"/>
          <w:marBottom w:val="0"/>
          <w:divBdr>
            <w:top w:val="none" w:sz="0" w:space="0" w:color="auto"/>
            <w:left w:val="none" w:sz="0" w:space="0" w:color="auto"/>
            <w:bottom w:val="none" w:sz="0" w:space="0" w:color="auto"/>
            <w:right w:val="none" w:sz="0" w:space="0" w:color="auto"/>
          </w:divBdr>
        </w:div>
        <w:div w:id="905532369">
          <w:marLeft w:val="0"/>
          <w:marRight w:val="0"/>
          <w:marTop w:val="0"/>
          <w:marBottom w:val="0"/>
          <w:divBdr>
            <w:top w:val="none" w:sz="0" w:space="0" w:color="auto"/>
            <w:left w:val="none" w:sz="0" w:space="0" w:color="auto"/>
            <w:bottom w:val="none" w:sz="0" w:space="0" w:color="auto"/>
            <w:right w:val="none" w:sz="0" w:space="0" w:color="auto"/>
          </w:divBdr>
        </w:div>
        <w:div w:id="621695331">
          <w:marLeft w:val="0"/>
          <w:marRight w:val="0"/>
          <w:marTop w:val="0"/>
          <w:marBottom w:val="0"/>
          <w:divBdr>
            <w:top w:val="none" w:sz="0" w:space="0" w:color="auto"/>
            <w:left w:val="none" w:sz="0" w:space="0" w:color="auto"/>
            <w:bottom w:val="none" w:sz="0" w:space="0" w:color="auto"/>
            <w:right w:val="none" w:sz="0" w:space="0" w:color="auto"/>
          </w:divBdr>
        </w:div>
        <w:div w:id="1703088668">
          <w:marLeft w:val="0"/>
          <w:marRight w:val="0"/>
          <w:marTop w:val="0"/>
          <w:marBottom w:val="0"/>
          <w:divBdr>
            <w:top w:val="none" w:sz="0" w:space="0" w:color="auto"/>
            <w:left w:val="none" w:sz="0" w:space="0" w:color="auto"/>
            <w:bottom w:val="none" w:sz="0" w:space="0" w:color="auto"/>
            <w:right w:val="none" w:sz="0" w:space="0" w:color="auto"/>
          </w:divBdr>
        </w:div>
        <w:div w:id="924144960">
          <w:marLeft w:val="0"/>
          <w:marRight w:val="0"/>
          <w:marTop w:val="0"/>
          <w:marBottom w:val="0"/>
          <w:divBdr>
            <w:top w:val="none" w:sz="0" w:space="0" w:color="auto"/>
            <w:left w:val="none" w:sz="0" w:space="0" w:color="auto"/>
            <w:bottom w:val="none" w:sz="0" w:space="0" w:color="auto"/>
            <w:right w:val="none" w:sz="0" w:space="0" w:color="auto"/>
          </w:divBdr>
        </w:div>
        <w:div w:id="373309004">
          <w:marLeft w:val="0"/>
          <w:marRight w:val="0"/>
          <w:marTop w:val="0"/>
          <w:marBottom w:val="0"/>
          <w:divBdr>
            <w:top w:val="none" w:sz="0" w:space="0" w:color="auto"/>
            <w:left w:val="none" w:sz="0" w:space="0" w:color="auto"/>
            <w:bottom w:val="none" w:sz="0" w:space="0" w:color="auto"/>
            <w:right w:val="none" w:sz="0" w:space="0" w:color="auto"/>
          </w:divBdr>
        </w:div>
        <w:div w:id="2052924216">
          <w:marLeft w:val="0"/>
          <w:marRight w:val="0"/>
          <w:marTop w:val="0"/>
          <w:marBottom w:val="0"/>
          <w:divBdr>
            <w:top w:val="none" w:sz="0" w:space="0" w:color="auto"/>
            <w:left w:val="none" w:sz="0" w:space="0" w:color="auto"/>
            <w:bottom w:val="none" w:sz="0" w:space="0" w:color="auto"/>
            <w:right w:val="none" w:sz="0" w:space="0" w:color="auto"/>
          </w:divBdr>
        </w:div>
        <w:div w:id="780609595">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3832</TotalTime>
  <Pages>9</Pages>
  <Words>3441</Words>
  <Characters>18926</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63</cp:revision>
  <cp:lastPrinted>2021-02-13T18:38:00Z</cp:lastPrinted>
  <dcterms:created xsi:type="dcterms:W3CDTF">2021-06-15T04:50:00Z</dcterms:created>
  <dcterms:modified xsi:type="dcterms:W3CDTF">2022-06-28T12:01:00Z</dcterms:modified>
</cp:coreProperties>
</file>