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r>
        <w:t>Chaque cellule contient le même génome</w:t>
      </w:r>
    </w:p>
    <w:p>
      <w:r>
        <w:t>La capacité qu’une seule cellule puisse devenir un organisme complexe</w:t>
      </w:r>
    </w:p>
    <w:p>
      <w:r>
        <w:t>Chez les organismes unicellulaire, l’expression des gènes est une réponse aux conditions du milieu.</w:t>
      </w:r>
    </w:p>
    <w:p>
      <w:r>
        <w:t>Les Bactéries sont capables de moduler l’expression des gènes indispensables pour survivre par exemple ils ne synthétisent certaines molécules vitales que lorsqu’elles sont absentes de leur environnement.</w:t>
      </w:r>
    </w:p>
    <w:p>
      <w:r>
        <w:t>La régulation métabolique s’exerce sur la régulation de 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La synthèse d’enzymes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L’activité des enzymes.</w:t>
            </w:r>
          </w:p>
        </w:tc>
      </w:tr>
    </w:tbl>
    <w:p>
      <w:r>
        <w:t>La synthèse d’enzymes</w:t>
      </w:r>
    </w:p>
    <w:p>
      <w:r>
        <w:t>Adapter la production d’enzymes à leur besoin.</w:t>
      </w:r>
    </w:p>
    <w:p>
      <w:r>
        <w:t>Modèle de l’opéron</w:t>
      </w:r>
    </w:p>
    <w:p>
      <w:r>
        <w:t>Promoteur site ou l’ARN polymérase se lie avant de commencer la transcription.</w:t>
      </w:r>
    </w:p>
    <w:p>
      <w:r>
        <w:t>Souvent la séquence d’ARN synthétise toutes enzymes nécessaires à l’accomplissement d’une activité métabolique. Opérateur situé à l’intérieur du promoteur ou entre le promoteur et les gènes.</w:t>
      </w:r>
    </w:p>
    <w:p>
      <w:r>
        <w:t>Opéron promoteur et opérateur</w:t>
      </w:r>
    </w:p>
    <w:p>
      <w:r>
        <w:t>Réguler l’expression des gènes qui codent l’enzyme.</w:t>
      </w:r>
    </w:p>
    <w:p>
      <w:proofErr w:type="gramStart"/>
      <w:r>
        <w:t>Le opérateur</w:t>
      </w:r>
      <w:proofErr w:type="gramEnd"/>
      <w:r>
        <w:t xml:space="preserve"> est activé naturellement. Il peut être inactivé par une protéine répresseur qui empêche l’ARN polymérase de se fixer.</w:t>
      </w:r>
    </w:p>
    <w:p>
      <w:r>
        <w:t>Répresseur codé par un autre séquence avec un promoteur généralement moins vi</w:t>
      </w:r>
    </w:p>
    <w:p>
      <w:r>
        <w:t xml:space="preserve">Répresseur s’active lorsqu’il se lie avec le produit et vient se fixer sur le ARN polymérase </w:t>
      </w:r>
    </w:p>
    <w:p>
      <w:r>
        <w:t>Corépresseur.</w:t>
      </w:r>
    </w:p>
    <w:p>
      <w:r>
        <w:t xml:space="preserve">La liaison est réversible et </w:t>
      </w:r>
    </w:p>
    <w:p>
      <w:r>
        <w:t>L’activité des enzymes</w:t>
      </w:r>
    </w:p>
    <w:p>
      <w:r>
        <w:t>Il existe deux types d’opérons en fonction de l’état par défaut dans lequel ils sont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Inductible (actif)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Répressible (inactif)</w:t>
            </w:r>
          </w:p>
        </w:tc>
      </w:tr>
    </w:tbl>
    <w:p>
      <w:r>
        <w:t>Allostérique propriété d’une enzyme dont l’activité est modifiée par la liaison d’une molécule sur un site différent du site actif.</w:t>
      </w:r>
    </w:p>
    <w:p>
      <w:r>
        <w:t xml:space="preserve">Le </w:t>
      </w:r>
      <w:proofErr w:type="spellStart"/>
      <w:r>
        <w:t>represseur</w:t>
      </w:r>
      <w:proofErr w:type="spellEnd"/>
      <w:r>
        <w:t xml:space="preserve"> est </w:t>
      </w:r>
      <w:proofErr w:type="spellStart"/>
      <w:r>
        <w:t>inactivté</w:t>
      </w:r>
      <w:proofErr w:type="spellEnd"/>
      <w:r>
        <w:t xml:space="preserve"> par une molécule appelé inducteur.</w:t>
      </w:r>
    </w:p>
    <w:p>
      <w:r>
        <w:t>Régulation négative car les opérons peuvent être inactivés.</w:t>
      </w:r>
    </w:p>
    <w:p>
      <w:r>
        <w:t xml:space="preserve">positive </w:t>
      </w:r>
      <w:proofErr w:type="gramStart"/>
      <w:r>
        <w:t>lorsque une</w:t>
      </w:r>
      <w:proofErr w:type="gramEnd"/>
      <w:r>
        <w:t xml:space="preserve"> protéine de régulation déclenche la transcription.</w:t>
      </w:r>
      <w:r>
        <w:br/>
        <w:t>régulation génétique positive</w:t>
      </w:r>
    </w:p>
    <w:p>
      <w:r>
        <w:t>activateur protéine qui se lie à l’ADN et stimule la production.</w:t>
      </w:r>
    </w:p>
    <w:p>
      <w:r>
        <w:t>Qui peut se lier avec un coactivateur</w:t>
      </w:r>
    </w:p>
    <w:p>
      <w:r>
        <w:t>Les deux systèmes peuvent se coupler pour régler précisément la vitesse de production.</w:t>
      </w:r>
    </w:p>
    <w:p>
      <w:pPr>
        <w:pStyle w:val="Titre1"/>
      </w:pPr>
      <w:r>
        <w:t>Chez les Eucaryotes</w:t>
      </w:r>
    </w:p>
    <w:p>
      <w:r>
        <w:t>Les cellules humaines n’expriment au maximum 20% de leurs gènes simultanément.</w:t>
      </w:r>
    </w:p>
    <w:p>
      <w:r>
        <w:t>Chaque cellule doit utiliser un sous ensemble de gènes uniques qui correspond au rôle qu’elle doit accomplir.</w:t>
      </w:r>
    </w:p>
    <w:p>
      <w:r>
        <w:t>Expression génique différentielle</w:t>
      </w:r>
    </w:p>
    <w:p>
      <w:r>
        <w:lastRenderedPageBreak/>
        <w:t>Les facteurs de transcription doivent agirent sur les gènes au bon moment.</w:t>
      </w:r>
    </w:p>
    <w:p>
      <w:r>
        <w:t xml:space="preserve">Les stades de la régulation se fait </w:t>
      </w:r>
    </w:p>
    <w:p>
      <w:r>
        <w:t>A la transcription</w:t>
      </w:r>
    </w:p>
    <w:p>
      <w:r>
        <w:t>Dégradation de l’ARN</w:t>
      </w:r>
    </w:p>
    <w:p>
      <w:r>
        <w:t>La maturation</w:t>
      </w:r>
    </w:p>
    <w:p>
      <w:r>
        <w:t>Le transport vers le cytoplasme.</w:t>
      </w:r>
    </w:p>
    <w:p>
      <w:r>
        <w:t>L’ADN sous forme d’hétérochromatine a cause de leur forme condensée sont rarement exprimé.</w:t>
      </w:r>
    </w:p>
    <w:p>
      <w:proofErr w:type="spellStart"/>
      <w:r>
        <w:t>Actétylation</w:t>
      </w:r>
      <w:proofErr w:type="spellEnd"/>
      <w:r>
        <w:t xml:space="preserve"> (ajout d’un groupement -COCH</w:t>
      </w:r>
      <w:r>
        <w:rPr>
          <w:vertAlign w:val="subscript"/>
        </w:rPr>
        <w:t>3</w:t>
      </w:r>
      <w:r>
        <w:t xml:space="preserve">) des histones provoques un relâchement </w:t>
      </w:r>
      <w:proofErr w:type="gramStart"/>
      <w:r>
        <w:t>de la chromatide</w:t>
      </w:r>
      <w:proofErr w:type="gramEnd"/>
      <w:r>
        <w:t>.</w:t>
      </w:r>
    </w:p>
    <w:p>
      <w:r>
        <w:t>Méthylation de l’ADN rend l’ADN inactif. Enzyme méthylation. Lors de la réplication de l’ADN, réplication de la méthylation (ajout de -CH3) transmissible aux cellules filles.</w:t>
      </w:r>
    </w:p>
    <w:p>
      <w:r>
        <w:t xml:space="preserve">Une fois méthylé il restent dans </w:t>
      </w:r>
      <w:proofErr w:type="gramStart"/>
      <w:r>
        <w:t>cette état</w:t>
      </w:r>
      <w:proofErr w:type="gramEnd"/>
      <w:r>
        <w:t>.</w:t>
      </w:r>
    </w:p>
    <w:p>
      <w:proofErr w:type="gramStart"/>
      <w:r>
        <w:t>Cellule différentes</w:t>
      </w:r>
      <w:proofErr w:type="gramEnd"/>
      <w:r>
        <w:t xml:space="preserve"> partagent une même utilisation des gènes tissus spécialisés avec des cellules.</w:t>
      </w:r>
    </w:p>
    <w:p>
      <w:r>
        <w:t>Hérédité épigénétique mécanisme pas encore bien compris enzyme capable de méthylé ou de supprimer la méthylation</w:t>
      </w:r>
    </w:p>
    <w:p>
      <w:r>
        <w:t>Cancer pourrait être associé à un dérèglement de ces mécanismes.</w:t>
      </w:r>
    </w:p>
    <w:p>
      <w:r>
        <w:t>La régulation de l’initiation de la transcription.</w:t>
      </w:r>
    </w:p>
    <w:p>
      <w:r>
        <w:t>Amplification élément de contrôle site de liaison de facteurs de transcription amplificateur.</w:t>
      </w:r>
    </w:p>
    <w:p>
      <w:r>
        <w:t xml:space="preserve">Fonction de transcription spécifiques </w:t>
      </w:r>
    </w:p>
    <w:p>
      <w:proofErr w:type="gramStart"/>
      <w:r>
        <w:t>Généraux nécessaire</w:t>
      </w:r>
      <w:proofErr w:type="gramEnd"/>
      <w:r>
        <w:t xml:space="preserve"> à la transcription</w:t>
      </w:r>
    </w:p>
    <w:p>
      <w:r>
        <w:t>Amplificateur séquence de l’ADN en amont aval ou dans un intron. Unique pour chaque gène.</w:t>
      </w:r>
    </w:p>
    <w:p>
      <w:r>
        <w:t xml:space="preserve">Spécifique régule la vitesse </w:t>
      </w:r>
      <w:proofErr w:type="spellStart"/>
      <w:r>
        <w:t>acitvateur</w:t>
      </w:r>
      <w:proofErr w:type="spellEnd"/>
      <w:r>
        <w:t xml:space="preserve"> </w:t>
      </w:r>
      <w:proofErr w:type="spellStart"/>
      <w:r>
        <w:t>represseur</w:t>
      </w:r>
      <w:proofErr w:type="spellEnd"/>
      <w:r>
        <w:t>.</w:t>
      </w:r>
    </w:p>
    <w:p>
      <w:r>
        <w:t xml:space="preserve">Structure domaine de liaison </w:t>
      </w:r>
    </w:p>
    <w:p>
      <w:r>
        <w:t>Un ou plusieurs domaines d’activation</w:t>
      </w:r>
    </w:p>
    <w:p>
      <w:r>
        <w:t>Se lie aux protéines régulatrice ou composante du mécanisme de transposition</w:t>
      </w:r>
    </w:p>
    <w:p>
      <w:r>
        <w:t>Les amplificateurs loin du promoteur peuvent être rapprochées par les courbures de l’ADN induite par des protéines.</w:t>
      </w:r>
    </w:p>
    <w:p>
      <w:r>
        <w:t xml:space="preserve">Activateur et répresseur agissent directement sur </w:t>
      </w:r>
      <w:proofErr w:type="gramStart"/>
      <w:r>
        <w:t>la chromatide</w:t>
      </w:r>
      <w:proofErr w:type="gramEnd"/>
      <w:r>
        <w:t>.</w:t>
      </w:r>
    </w:p>
    <w:p>
      <w:r>
        <w:t>Le contrôle combinatoire</w:t>
      </w:r>
    </w:p>
    <w:p>
      <w:r>
        <w:t xml:space="preserve">Amplificateur a proximité du promoteur </w:t>
      </w:r>
      <w:proofErr w:type="spellStart"/>
      <w:r>
        <w:t>élement</w:t>
      </w:r>
      <w:proofErr w:type="spellEnd"/>
      <w:r>
        <w:t xml:space="preserve"> de </w:t>
      </w:r>
      <w:proofErr w:type="gramStart"/>
      <w:r>
        <w:t>contrôle proximaux</w:t>
      </w:r>
      <w:proofErr w:type="gramEnd"/>
    </w:p>
    <w:p>
      <w:proofErr w:type="spellStart"/>
      <w:r>
        <w:t>Amplificatuer</w:t>
      </w:r>
      <w:proofErr w:type="spellEnd"/>
      <w:r>
        <w:t xml:space="preserve"> peuvent être lié à facteurs de transcription spécifiques (activateur ou </w:t>
      </w:r>
      <w:proofErr w:type="gramStart"/>
      <w:r>
        <w:t>répresseur )</w:t>
      </w:r>
      <w:proofErr w:type="gramEnd"/>
      <w:r>
        <w:t xml:space="preserve"> se lient .</w:t>
      </w:r>
    </w:p>
    <w:p>
      <w:r>
        <w:t xml:space="preserve">Une grande partie de la régulation dépend des liaisons avec les activateurs </w:t>
      </w:r>
    </w:p>
    <w:p>
      <w:r>
        <w:t xml:space="preserve">Éléments du contrôle environ 10 </w:t>
      </w:r>
      <w:proofErr w:type="gramStart"/>
      <w:r>
        <w:t>nucléotide</w:t>
      </w:r>
      <w:proofErr w:type="gramEnd"/>
    </w:p>
    <w:p>
      <w:r>
        <w:t>Chaque amplificateur est un groupe d’</w:t>
      </w:r>
      <w:proofErr w:type="spellStart"/>
      <w:r>
        <w:t>élement</w:t>
      </w:r>
      <w:proofErr w:type="spellEnd"/>
      <w:r>
        <w:t xml:space="preserve"> de </w:t>
      </w:r>
      <w:proofErr w:type="spellStart"/>
      <w:r>
        <w:t>controle</w:t>
      </w:r>
      <w:proofErr w:type="spellEnd"/>
      <w:r>
        <w:t xml:space="preserve"> contient en 10 </w:t>
      </w:r>
      <w:proofErr w:type="spellStart"/>
      <w:r>
        <w:t>élemnt</w:t>
      </w:r>
      <w:proofErr w:type="spellEnd"/>
      <w:r>
        <w:t xml:space="preserve"> de contrôle</w:t>
      </w:r>
    </w:p>
    <w:p>
      <w:r>
        <w:t xml:space="preserve">Chaque </w:t>
      </w:r>
      <w:proofErr w:type="spellStart"/>
      <w:r>
        <w:t>élement</w:t>
      </w:r>
      <w:proofErr w:type="spellEnd"/>
      <w:r>
        <w:t xml:space="preserve"> de </w:t>
      </w:r>
      <w:proofErr w:type="spellStart"/>
      <w:r>
        <w:t>crontole</w:t>
      </w:r>
      <w:proofErr w:type="spellEnd"/>
      <w:r>
        <w:t xml:space="preserve"> est lié à 1 ou 2 </w:t>
      </w:r>
      <w:proofErr w:type="gramStart"/>
      <w:r>
        <w:t>facteur</w:t>
      </w:r>
      <w:proofErr w:type="gramEnd"/>
      <w:r>
        <w:t xml:space="preserve"> de transcription spécifique</w:t>
      </w:r>
    </w:p>
    <w:p>
      <w:r>
        <w:t xml:space="preserve">Les gènes qui codent pour </w:t>
      </w:r>
      <w:proofErr w:type="gramStart"/>
      <w:r>
        <w:t>des protéines impliquée</w:t>
      </w:r>
      <w:proofErr w:type="gramEnd"/>
      <w:r>
        <w:t xml:space="preserve"> dans une même voie métabolique possède ensemble d’élément de contrôle spécifique</w:t>
      </w:r>
    </w:p>
    <w:p>
      <w:r>
        <w:lastRenderedPageBreak/>
        <w:t>Souvent l’activations se fait par un message extracellulaire</w:t>
      </w:r>
    </w:p>
    <w:p>
      <w:r>
        <w:t xml:space="preserve">Réguler l’expression après la transcription 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>
    <w:pPr>
      <w:pStyle w:val="Pieddepage"/>
    </w:pPr>
    <w:r>
      <w:t>Autres</w:t>
    </w:r>
    <w:r>
      <w:ptab w:relativeTo="margin" w:alignment="center" w:leader="none"/>
    </w:r>
    <w:r>
      <w:t>La régulation de l’expression génétique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49.35pt;height:22.6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8B4DD2"/>
    <w:multiLevelType w:val="hybridMultilevel"/>
    <w:tmpl w:val="8774F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7B5DC4"/>
    <w:multiLevelType w:val="hybridMultilevel"/>
    <w:tmpl w:val="D31A17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53E83"/>
    <w:multiLevelType w:val="hybridMultilevel"/>
    <w:tmpl w:val="D7EAE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5DDF"/>
    <w:multiLevelType w:val="hybridMultilevel"/>
    <w:tmpl w:val="056EC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0D408B"/>
    <w:multiLevelType w:val="hybridMultilevel"/>
    <w:tmpl w:val="A5F09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3"/>
  </w:num>
  <w:num w:numId="3">
    <w:abstractNumId w:val="13"/>
  </w:num>
  <w:num w:numId="4">
    <w:abstractNumId w:val="2"/>
  </w:num>
  <w:num w:numId="5">
    <w:abstractNumId w:val="10"/>
  </w:num>
  <w:num w:numId="6">
    <w:abstractNumId w:val="8"/>
  </w:num>
  <w:num w:numId="7">
    <w:abstractNumId w:val="14"/>
  </w:num>
  <w:num w:numId="8">
    <w:abstractNumId w:val="27"/>
  </w:num>
  <w:num w:numId="9">
    <w:abstractNumId w:val="37"/>
  </w:num>
  <w:num w:numId="10">
    <w:abstractNumId w:val="17"/>
  </w:num>
  <w:num w:numId="11">
    <w:abstractNumId w:val="19"/>
  </w:num>
  <w:num w:numId="12">
    <w:abstractNumId w:val="5"/>
  </w:num>
  <w:num w:numId="13">
    <w:abstractNumId w:val="41"/>
  </w:num>
  <w:num w:numId="14">
    <w:abstractNumId w:val="24"/>
  </w:num>
  <w:num w:numId="15">
    <w:abstractNumId w:val="30"/>
  </w:num>
  <w:num w:numId="16">
    <w:abstractNumId w:val="44"/>
  </w:num>
  <w:num w:numId="17">
    <w:abstractNumId w:val="6"/>
  </w:num>
  <w:num w:numId="18">
    <w:abstractNumId w:val="9"/>
  </w:num>
  <w:num w:numId="19">
    <w:abstractNumId w:val="29"/>
  </w:num>
  <w:num w:numId="20">
    <w:abstractNumId w:val="40"/>
  </w:num>
  <w:num w:numId="21">
    <w:abstractNumId w:val="22"/>
  </w:num>
  <w:num w:numId="22">
    <w:abstractNumId w:val="31"/>
  </w:num>
  <w:num w:numId="23">
    <w:abstractNumId w:val="47"/>
  </w:num>
  <w:num w:numId="24">
    <w:abstractNumId w:val="43"/>
  </w:num>
  <w:num w:numId="25">
    <w:abstractNumId w:val="46"/>
  </w:num>
  <w:num w:numId="26">
    <w:abstractNumId w:val="7"/>
  </w:num>
  <w:num w:numId="27">
    <w:abstractNumId w:val="1"/>
  </w:num>
  <w:num w:numId="28">
    <w:abstractNumId w:val="38"/>
  </w:num>
  <w:num w:numId="29">
    <w:abstractNumId w:val="15"/>
  </w:num>
  <w:num w:numId="30">
    <w:abstractNumId w:val="42"/>
  </w:num>
  <w:num w:numId="31">
    <w:abstractNumId w:val="28"/>
  </w:num>
  <w:num w:numId="32">
    <w:abstractNumId w:val="3"/>
  </w:num>
  <w:num w:numId="33">
    <w:abstractNumId w:val="39"/>
  </w:num>
  <w:num w:numId="34">
    <w:abstractNumId w:val="12"/>
  </w:num>
  <w:num w:numId="35">
    <w:abstractNumId w:val="34"/>
  </w:num>
  <w:num w:numId="36">
    <w:abstractNumId w:val="45"/>
  </w:num>
  <w:num w:numId="37">
    <w:abstractNumId w:val="16"/>
  </w:num>
  <w:num w:numId="38">
    <w:abstractNumId w:val="0"/>
  </w:num>
  <w:num w:numId="39">
    <w:abstractNumId w:val="49"/>
  </w:num>
  <w:num w:numId="40">
    <w:abstractNumId w:val="21"/>
  </w:num>
  <w:num w:numId="41">
    <w:abstractNumId w:val="18"/>
  </w:num>
  <w:num w:numId="42">
    <w:abstractNumId w:val="32"/>
  </w:num>
  <w:num w:numId="43">
    <w:abstractNumId w:val="35"/>
  </w:num>
  <w:num w:numId="44">
    <w:abstractNumId w:val="48"/>
  </w:num>
  <w:num w:numId="45">
    <w:abstractNumId w:val="26"/>
  </w:num>
  <w:num w:numId="46">
    <w:abstractNumId w:val="20"/>
  </w:num>
  <w:num w:numId="47">
    <w:abstractNumId w:val="4"/>
  </w:num>
  <w:num w:numId="48">
    <w:abstractNumId w:val="11"/>
  </w:num>
  <w:num w:numId="49">
    <w:abstractNumId w:val="23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701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23</cp:revision>
  <cp:lastPrinted>2021-02-13T18:38:00Z</cp:lastPrinted>
  <dcterms:created xsi:type="dcterms:W3CDTF">2021-06-15T04:50:00Z</dcterms:created>
  <dcterms:modified xsi:type="dcterms:W3CDTF">2021-07-14T15:37:00Z</dcterms:modified>
</cp:coreProperties>
</file>