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1"/>
      </w:pPr>
      <w:r>
        <w:t>Les Bactéries et les procaryotes</w:t>
      </w:r>
    </w:p>
    <w:p>
      <w:r>
        <w:t>Les procaryotes sont presque tous des organismes unicellulaires qui mesurent en moyenne entre 0,5 et 5um (contre 10 à 100um pour les Eucaryotes).</w:t>
      </w:r>
    </w:p>
    <w:p>
      <w:r>
        <w:rPr>
          <w:u w:val="single"/>
        </w:rPr>
        <w:t>Rmq :</w:t>
      </w:r>
      <w:r>
        <w:t xml:space="preserve"> le plus gros procaryote découvert à ce jour mesure 750um.</w:t>
      </w:r>
    </w:p>
    <w:p>
      <w:pPr>
        <w:pStyle w:val="Titre2"/>
      </w:pPr>
      <w:r>
        <w:t>La structure des procaryotes</w:t>
      </w:r>
    </w:p>
    <w:p>
      <w:r>
        <w:t>Les procaryotes sont entourés d’une paroi cellulaire qui sert à</w:t>
      </w:r>
    </w:p>
    <w:tbl>
      <w:tblPr>
        <w:tblStyle w:val="Grilledetableauclaire"/>
        <w:tblW w:w="0" w:type="auto"/>
        <w:tblLook w:val="0400" w:firstRow="0" w:lastRow="0" w:firstColumn="0" w:lastColumn="0" w:noHBand="0" w:noVBand="1"/>
      </w:tblPr>
      <w:tblGrid>
        <w:gridCol w:w="3667"/>
        <w:gridCol w:w="3668"/>
      </w:tblGrid>
      <w:tr>
        <w:tc>
          <w:tcPr>
            <w:tcW w:w="3667" w:type="dxa"/>
          </w:tcPr>
          <w:p>
            <w:r>
              <w:t>Les protéger</w:t>
            </w:r>
          </w:p>
        </w:tc>
        <w:tc>
          <w:tcPr>
            <w:tcW w:w="3668" w:type="dxa"/>
          </w:tcPr>
          <w:p>
            <w:r>
              <w:t>À maintenir leur forme</w:t>
            </w:r>
          </w:p>
        </w:tc>
      </w:tr>
    </w:tbl>
    <w:p>
      <w:r>
        <w:rPr>
          <w:u w:val="single"/>
        </w:rPr>
        <w:t>Rmq :</w:t>
      </w:r>
      <w:r>
        <w:t xml:space="preserve"> La paroi les protège notamment des milieux hypotoniques.</w:t>
      </w:r>
    </w:p>
    <w:p>
      <w:r>
        <w:rPr>
          <w:u w:val="single"/>
        </w:rPr>
        <w:t>Rmq :</w:t>
      </w:r>
      <w:r>
        <w:t xml:space="preserve"> Le sel conserve les aliments car il déshydrate toutes les cellules y compris les Bactéries.</w:t>
      </w:r>
    </w:p>
    <w:p>
      <w:r>
        <w:t xml:space="preserve">La paroi est composée de peptidoglycane, un polymère de saccharoses monosaccharides relié à de courtes chaines polypeptidiques. Il y arrive des différences </w:t>
      </w:r>
    </w:p>
    <w:tbl>
      <w:tblPr>
        <w:tblStyle w:val="Grilledetableauclaire"/>
        <w:tblW w:w="5000" w:type="pct"/>
        <w:tblLook w:val="0400" w:firstRow="0" w:lastRow="0" w:firstColumn="0" w:lastColumn="0" w:noHBand="0" w:noVBand="1"/>
      </w:tblPr>
      <w:tblGrid>
        <w:gridCol w:w="3667"/>
        <w:gridCol w:w="3668"/>
      </w:tblGrid>
      <w:tr>
        <w:tc>
          <w:tcPr>
            <w:tcW w:w="3667" w:type="dxa"/>
          </w:tcPr>
          <w:p>
            <w:r>
              <w:t>Bactérie (Monosaccharide + Polypeptide)</w:t>
            </w:r>
          </w:p>
        </w:tc>
        <w:tc>
          <w:tcPr>
            <w:tcW w:w="3668" w:type="dxa"/>
          </w:tcPr>
          <w:p>
            <w:r>
              <w:t>Archée (Polysaccharide + Polypeptide)</w:t>
            </w:r>
          </w:p>
        </w:tc>
      </w:tr>
    </w:tbl>
    <w:p>
      <w:r>
        <w:t>On distingue les Bactéries en fonction de la composition de leur paroi :</w:t>
      </w:r>
    </w:p>
    <w:tbl>
      <w:tblPr>
        <w:tblStyle w:val="Grilledetableauclaire"/>
        <w:tblW w:w="0" w:type="auto"/>
        <w:tblLook w:val="0400" w:firstRow="0" w:lastRow="0" w:firstColumn="0" w:lastColumn="0" w:noHBand="0" w:noVBand="1"/>
      </w:tblPr>
      <w:tblGrid>
        <w:gridCol w:w="3667"/>
        <w:gridCol w:w="3668"/>
      </w:tblGrid>
      <w:tr>
        <w:tc>
          <w:tcPr>
            <w:tcW w:w="3667" w:type="dxa"/>
          </w:tcPr>
          <w:p>
            <w:r>
              <w:t>Gram positive qui contient une quantité importante de peptidoglycane</w:t>
            </w:r>
          </w:p>
        </w:tc>
        <w:tc>
          <w:tcPr>
            <w:tcW w:w="3668" w:type="dxa"/>
          </w:tcPr>
          <w:p>
            <w:r>
              <w:t>Gram négative contient quantité importante de lipopolysaccharide</w:t>
            </w:r>
          </w:p>
        </w:tc>
      </w:tr>
    </w:tbl>
    <w:p>
      <w:r>
        <w:rPr>
          <w:u w:val="single"/>
        </w:rPr>
        <w:t>NB :</w:t>
      </w:r>
      <w:r>
        <w:t xml:space="preserve"> Les lipopolysaccharides sont généralement des molécules toxiques.</w:t>
      </w:r>
    </w:p>
    <w:p>
      <w:r>
        <w:rPr>
          <w:u w:val="single"/>
        </w:rPr>
        <w:t>Rmq :</w:t>
      </w:r>
      <w:r>
        <w:t xml:space="preserve"> Les antibiotiques agissent sur les Bactéries en inhibant la synthèse des ponts de monosaccharides et peptidoglycanes. En bloquant la fabrication de molécules spécifiques aux Bactéries, les antibiotiques ont l’avantage de ne pas interagir avec les cellules humaines et d’éviter les effets indésirables.</w:t>
      </w:r>
    </w:p>
    <w:p>
      <w:r>
        <w:t>Les trois formes de Bactéries les plus répandus sont :</w:t>
      </w:r>
    </w:p>
    <w:tbl>
      <w:tblPr>
        <w:tblStyle w:val="Grilledetableauclaire"/>
        <w:tblW w:w="0" w:type="auto"/>
        <w:tblLook w:val="0400" w:firstRow="0" w:lastRow="0" w:firstColumn="0" w:lastColumn="0" w:noHBand="0" w:noVBand="1"/>
      </w:tblPr>
      <w:tblGrid>
        <w:gridCol w:w="1980"/>
        <w:gridCol w:w="1984"/>
        <w:gridCol w:w="3371"/>
      </w:tblGrid>
      <w:tr>
        <w:tc>
          <w:tcPr>
            <w:tcW w:w="1980" w:type="dxa"/>
          </w:tcPr>
          <w:p>
            <w:r>
              <w:t>Sphérique (cocci)</w:t>
            </w:r>
          </w:p>
        </w:tc>
        <w:tc>
          <w:tcPr>
            <w:tcW w:w="1984" w:type="dxa"/>
          </w:tcPr>
          <w:p>
            <w:r>
              <w:t>Bâtonnet (bacille)</w:t>
            </w:r>
          </w:p>
        </w:tc>
        <w:tc>
          <w:tcPr>
            <w:tcW w:w="3371" w:type="dxa"/>
          </w:tcPr>
          <w:p>
            <w:r>
              <w:t>Hélicoïdale càd en forme de spirille, virgule, long filament, ou tirebouchon</w:t>
            </w:r>
          </w:p>
        </w:tc>
      </w:tr>
    </w:tbl>
    <w:p>
      <w:r>
        <w:t>La paroi est souvent recouverte d’une couche appelée capsule composée de polysaccharides ou de protéines. Elle permet de prévenir de la déshydratation et se protéger des systèmes immunitaires d’hôte potentiel.</w:t>
      </w:r>
    </w:p>
    <w:p>
      <w:r>
        <w:t>Certains Bactéries possèdent des fimbriae, des filaments fins et courts qu’ils utilisent pour s’agréger comme dans le cas des biofilms et pour adhérer à la surface de leur milieu.</w:t>
      </w:r>
    </w:p>
    <w:p>
      <w:r>
        <w:rPr>
          <w:rStyle w:val="Accentuation"/>
        </w:rPr>
        <w:t>Pili</w:t>
      </w:r>
      <w:r>
        <w:t xml:space="preserve"> appendice servant au transfert de gènes entre les Bactéries</w:t>
      </w:r>
    </w:p>
    <w:p>
      <w:pPr>
        <w:pStyle w:val="Titre3"/>
      </w:pPr>
      <w:r>
        <w:t xml:space="preserve">Mobilité </w:t>
      </w:r>
    </w:p>
    <w:p>
      <w:r>
        <w:t>Les Procaryote se déplacent en réponse à un stimuli externe d’ordre chimique ou chimiotaxie (produit par d’autres bactéries).</w:t>
      </w:r>
    </w:p>
    <w:p>
      <w:r>
        <w:t xml:space="preserve">Certaines Bactéries possèdent des flagelles. Elles peuvent en avoir </w:t>
      </w:r>
    </w:p>
    <w:tbl>
      <w:tblPr>
        <w:tblStyle w:val="Grilledetableauclaire"/>
        <w:tblW w:w="0" w:type="auto"/>
        <w:tblLook w:val="0400" w:firstRow="0" w:lastRow="0" w:firstColumn="0" w:lastColumn="0" w:noHBand="0" w:noVBand="1"/>
      </w:tblPr>
      <w:tblGrid>
        <w:gridCol w:w="1696"/>
        <w:gridCol w:w="3194"/>
        <w:gridCol w:w="2445"/>
      </w:tblGrid>
      <w:tr>
        <w:tc>
          <w:tcPr>
            <w:tcW w:w="1696" w:type="dxa"/>
          </w:tcPr>
          <w:p>
            <w:r>
              <w:t>Plusieurs</w:t>
            </w:r>
          </w:p>
        </w:tc>
        <w:tc>
          <w:tcPr>
            <w:tcW w:w="3194" w:type="dxa"/>
          </w:tcPr>
          <w:p>
            <w:r>
              <w:t>Deux avec un à chaque pôle.</w:t>
            </w:r>
          </w:p>
        </w:tc>
        <w:tc>
          <w:tcPr>
            <w:tcW w:w="2445" w:type="dxa"/>
          </w:tcPr>
          <w:p>
            <w:r>
              <w:t>Un</w:t>
            </w:r>
          </w:p>
        </w:tc>
      </w:tr>
    </w:tbl>
    <w:p>
      <w:r>
        <w:t>La structure des flagelles est différente de celle des Archées et des Eucaryotes.</w:t>
      </w:r>
    </w:p>
    <w:p>
      <w:r>
        <w:t>Elle est composée de deux anneaux enchâssés dans la membrane et la paroi cellulaire. Elle est formée d’un moteur qui créer un mouvement rotatoire en hydrolysant de l’ATP qui se propage au filament situé à l’extrémité du flagelle. Le flagelle était à l’origine un appareil qui sécrète des macromolécules.</w:t>
      </w:r>
    </w:p>
    <w:p>
      <w:r>
        <w:rPr>
          <w:rStyle w:val="Accentuation"/>
        </w:rPr>
        <w:t>Exaptation</w:t>
      </w:r>
      <w:r>
        <w:t xml:space="preserve"> processus par lequel un caractère </w:t>
      </w:r>
      <w:proofErr w:type="spellStart"/>
      <w:r>
        <w:t>à</w:t>
      </w:r>
      <w:proofErr w:type="spellEnd"/>
      <w:r>
        <w:t xml:space="preserve"> perdu sa fonction originelle.</w:t>
      </w:r>
    </w:p>
    <w:p>
      <w:pPr>
        <w:pStyle w:val="Titre2"/>
      </w:pPr>
      <w:r>
        <w:lastRenderedPageBreak/>
        <w:t>Le génome des procaryotes</w:t>
      </w:r>
    </w:p>
    <w:p>
      <w:r>
        <w:t>Le génome des procaryotes est souvent plus petit que celui des Eucaryotes mais il est capable de supporter une très grande diversité génotypique.</w:t>
      </w:r>
    </w:p>
    <w:p>
      <w:r>
        <w:t>Contrairement aux eucaryotes, la faible probabilité de mutation (de l’ordre de 10</w:t>
      </w:r>
      <w:r>
        <w:rPr>
          <w:vertAlign w:val="superscript"/>
        </w:rPr>
        <w:t>-7</w:t>
      </w:r>
      <w:r>
        <w:t>) est compensée par une vitesse élevée de reproduction. Il permet aux Bactéries d’engendrer une grande diversité de génomes dans un lapse de temps très court.</w:t>
      </w:r>
    </w:p>
    <w:p>
      <w:r>
        <w:t>En plus, les Bactéries possèdent des mécanismes de recombinaison génétiques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Transformation</w:t>
            </w:r>
          </w:p>
        </w:tc>
        <w:tc>
          <w:tcPr>
            <w:tcW w:w="2445" w:type="dxa"/>
          </w:tcPr>
          <w:p>
            <w:r>
              <w:t>Transduction</w:t>
            </w:r>
          </w:p>
        </w:tc>
        <w:tc>
          <w:tcPr>
            <w:tcW w:w="2445" w:type="dxa"/>
          </w:tcPr>
          <w:p>
            <w:r>
              <w:t>La conjugaison</w:t>
            </w:r>
          </w:p>
        </w:tc>
      </w:tr>
    </w:tbl>
    <w:p>
      <w:r>
        <w:rPr>
          <w:rStyle w:val="Accentuation"/>
        </w:rPr>
        <w:t>Transfert horizontal</w:t>
      </w:r>
      <w:r>
        <w:t xml:space="preserve"> transfert de gènes entre des espèces différentes.</w:t>
      </w:r>
    </w:p>
    <w:p>
      <w:r>
        <w:rPr>
          <w:rStyle w:val="Accentuation"/>
        </w:rPr>
        <w:t>Transduction</w:t>
      </w:r>
      <w:r>
        <w:t xml:space="preserve"> transfert d’ADN par des bactériophages (virus infectant les Bactéries).</w:t>
      </w:r>
    </w:p>
    <w:p>
      <w:r>
        <w:t>La conjugaison est le processus de transfert unidirectionnel de gènes entre un deux procaryotes. La Bactérie donneuse doit posséder une séquence d’ADN qui contient 25 gènes appelée facteur F (pour fertilité) soit dans son chromosome soit dans un plasmide. Elle peut alors générer un pilus qui forme un pont et permet aux deux Bactéries de se rapprocher. Une fois l’une à côté de l’autre, la bactérie peut donner une séquence de gène ou un plasmide.</w:t>
      </w:r>
    </w:p>
    <w:p>
      <w:pPr>
        <w:pStyle w:val="Titre2"/>
      </w:pPr>
      <w:r>
        <w:t>La reproduction</w:t>
      </w:r>
    </w:p>
    <w:p>
      <w:r>
        <w:t xml:space="preserve">La reproduction des procaryotes se fait par scissiparité (ou fission binaire). La durée entre chaque division peut être très courte en milieu favorable. Elle peut descendre </w:t>
      </w:r>
      <w:proofErr w:type="gramStart"/>
      <w:r>
        <w:t>jusqu’à  20</w:t>
      </w:r>
      <w:proofErr w:type="gramEnd"/>
      <w:r>
        <w:t xml:space="preserve"> minutes chez certaines espèces</w:t>
      </w:r>
    </w:p>
    <w:p>
      <w:r>
        <w:rPr>
          <w:u w:val="single"/>
        </w:rPr>
        <w:t>Rmq :</w:t>
      </w:r>
      <w:r>
        <w:t xml:space="preserve"> Il ne faut pas recongeler les aliments car cela favorise la prolifération bactérienne et augmente les risques d’intoxication </w:t>
      </w:r>
      <w:r>
        <w:t xml:space="preserve">alimentaire. La première congélation forme un substrat idéal pour les Bactéries en détruisant les cellules. À leur réveil, elles se mettent à proliférer et leur nombre augmente de façon exponentielle. Avec deux phases de décongélation, le nombre de bactéries peut être considérable. </w:t>
      </w:r>
    </w:p>
    <w:p>
      <w:pPr>
        <w:pStyle w:val="Titre2"/>
      </w:pPr>
      <w:r>
        <w:t>Les endospores</w:t>
      </w:r>
    </w:p>
    <w:p>
      <w:r>
        <w:t>Certaines espèces peuvent produire des endospores, une forme résistante de cellules. Le processus de fabrication prend en moyenne 10h et se déroule en quatre étapes :</w:t>
      </w:r>
    </w:p>
    <w:p>
      <w:pPr>
        <w:pStyle w:val="Paragraphedeliste"/>
        <w:numPr>
          <w:ilvl w:val="0"/>
          <w:numId w:val="3"/>
        </w:numPr>
      </w:pPr>
      <w:r>
        <w:t>La copie du chromosome</w:t>
      </w:r>
    </w:p>
    <w:p>
      <w:pPr>
        <w:pStyle w:val="Paragraphedeliste"/>
        <w:numPr>
          <w:ilvl w:val="0"/>
          <w:numId w:val="3"/>
        </w:numPr>
      </w:pPr>
      <w:r>
        <w:t>La fabrication autour d’une couche avec une structure robuste.</w:t>
      </w:r>
    </w:p>
    <w:p>
      <w:pPr>
        <w:pStyle w:val="Paragraphedeliste"/>
        <w:numPr>
          <w:ilvl w:val="0"/>
          <w:numId w:val="3"/>
        </w:numPr>
      </w:pPr>
      <w:r>
        <w:t>L’endospore se déshydrate et arrête son métabolisme.</w:t>
      </w:r>
    </w:p>
    <w:p>
      <w:pPr>
        <w:pStyle w:val="Paragraphedeliste"/>
        <w:numPr>
          <w:ilvl w:val="0"/>
          <w:numId w:val="3"/>
        </w:numPr>
      </w:pPr>
      <w:r>
        <w:t>La cellule originelle meurt et se désintègre libérant l’endospore.</w:t>
      </w:r>
    </w:p>
    <w:p>
      <w:r>
        <w:t>Les endospores sont extrêmement résistantes. Par exemple, ils peuvent résister durant plusieurs heures à de l’eau bouillante et rester inactifs plusieurs siècles et pour certain plusieurs millions d’années. Lorsque les conditions sont favorables, ils se réhydratent et les activités métaboliques reprennent.</w:t>
      </w:r>
    </w:p>
    <w:p>
      <w:pPr>
        <w:pStyle w:val="Titre2"/>
      </w:pPr>
      <w:r>
        <w:t>Nutrition</w:t>
      </w:r>
    </w:p>
    <w:p>
      <w:r>
        <w:t>On classe les procaryotes en fonction de leur mode de nutrition :</w:t>
      </w:r>
    </w:p>
    <w:p>
      <w:pPr>
        <w:pStyle w:val="Paragraphedeliste"/>
        <w:numPr>
          <w:ilvl w:val="0"/>
          <w:numId w:val="1"/>
        </w:numPr>
      </w:pPr>
      <w:r>
        <w:t>De la source d’énergie</w:t>
      </w:r>
    </w:p>
    <w:tbl>
      <w:tblPr>
        <w:tblStyle w:val="Grilledetableauclaire"/>
        <w:tblW w:w="0" w:type="auto"/>
        <w:tblLook w:val="0400" w:firstRow="0" w:lastRow="0" w:firstColumn="0" w:lastColumn="0" w:noHBand="0" w:noVBand="1"/>
      </w:tblPr>
      <w:tblGrid>
        <w:gridCol w:w="3667"/>
        <w:gridCol w:w="3668"/>
      </w:tblGrid>
      <w:tr>
        <w:tc>
          <w:tcPr>
            <w:tcW w:w="3667" w:type="dxa"/>
          </w:tcPr>
          <w:p>
            <w:r>
              <w:t>Phototrophe</w:t>
            </w:r>
          </w:p>
        </w:tc>
        <w:tc>
          <w:tcPr>
            <w:tcW w:w="3668" w:type="dxa"/>
          </w:tcPr>
          <w:p>
            <w:r>
              <w:t>Chimiotrophe</w:t>
            </w:r>
          </w:p>
        </w:tc>
      </w:tr>
    </w:tbl>
    <w:p>
      <w:pPr>
        <w:pStyle w:val="Paragraphedeliste"/>
        <w:numPr>
          <w:ilvl w:val="0"/>
          <w:numId w:val="1"/>
        </w:numPr>
      </w:pPr>
      <w:r>
        <w:t>De la source de carbone</w:t>
      </w:r>
    </w:p>
    <w:tbl>
      <w:tblPr>
        <w:tblStyle w:val="Grilledetableauclaire"/>
        <w:tblW w:w="0" w:type="auto"/>
        <w:tblLook w:val="0400" w:firstRow="0" w:lastRow="0" w:firstColumn="0" w:lastColumn="0" w:noHBand="0" w:noVBand="1"/>
      </w:tblPr>
      <w:tblGrid>
        <w:gridCol w:w="3667"/>
        <w:gridCol w:w="3668"/>
      </w:tblGrid>
      <w:tr>
        <w:tc>
          <w:tcPr>
            <w:tcW w:w="3667" w:type="dxa"/>
          </w:tcPr>
          <w:p>
            <w:r>
              <w:t>Autotrophe (CO</w:t>
            </w:r>
            <w:r>
              <w:rPr>
                <w:vertAlign w:val="subscript"/>
              </w:rPr>
              <w:t>2</w:t>
            </w:r>
            <w:r>
              <w:t>)</w:t>
            </w:r>
          </w:p>
        </w:tc>
        <w:tc>
          <w:tcPr>
            <w:tcW w:w="3668" w:type="dxa"/>
          </w:tcPr>
          <w:p>
            <w:r>
              <w:t>Hétérotrophe (matière organique)</w:t>
            </w:r>
          </w:p>
        </w:tc>
      </w:tr>
    </w:tbl>
    <w:p>
      <w:pPr>
        <w:pStyle w:val="Paragraphedeliste"/>
        <w:numPr>
          <w:ilvl w:val="0"/>
          <w:numId w:val="1"/>
        </w:numPr>
      </w:pPr>
      <w:r>
        <w:t>En fonction du rôle métabolique du dioxygène :</w:t>
      </w:r>
    </w:p>
    <w:tbl>
      <w:tblPr>
        <w:tblStyle w:val="Grilledetableauclaire"/>
        <w:tblW w:w="0" w:type="auto"/>
        <w:tblLook w:val="0400" w:firstRow="0" w:lastRow="0" w:firstColumn="0" w:lastColumn="0" w:noHBand="0" w:noVBand="1"/>
      </w:tblPr>
      <w:tblGrid>
        <w:gridCol w:w="1980"/>
        <w:gridCol w:w="2410"/>
        <w:gridCol w:w="2945"/>
      </w:tblGrid>
      <w:tr>
        <w:tc>
          <w:tcPr>
            <w:tcW w:w="1980" w:type="dxa"/>
          </w:tcPr>
          <w:p>
            <w:r>
              <w:t>Aérobie (besoin de O</w:t>
            </w:r>
            <w:r>
              <w:rPr>
                <w:vertAlign w:val="subscript"/>
              </w:rPr>
              <w:t>2</w:t>
            </w:r>
            <w:r>
              <w:t>)</w:t>
            </w:r>
          </w:p>
        </w:tc>
        <w:tc>
          <w:tcPr>
            <w:tcW w:w="2410" w:type="dxa"/>
          </w:tcPr>
          <w:p>
            <w:r>
              <w:t>Anaérobie (survie sans par exemple via la fermentation)</w:t>
            </w:r>
          </w:p>
        </w:tc>
        <w:tc>
          <w:tcPr>
            <w:tcW w:w="2945" w:type="dxa"/>
          </w:tcPr>
          <w:p>
            <w:r>
              <w:t>Anaérobie facultative à recours à la voie anaérobie en absence d’O</w:t>
            </w:r>
            <w:r>
              <w:rPr>
                <w:vertAlign w:val="subscript"/>
              </w:rPr>
              <w:t>2</w:t>
            </w:r>
          </w:p>
        </w:tc>
      </w:tr>
    </w:tbl>
    <w:p>
      <w:pPr>
        <w:pStyle w:val="Titre3"/>
      </w:pPr>
      <w:r>
        <w:lastRenderedPageBreak/>
        <w:t>Métabolisme de l’azote</w:t>
      </w:r>
    </w:p>
    <w:p>
      <w:r>
        <w:t>Certaines bactéries sont capables de fixer ou d’extraire l’azote présent sous diverses formes de l’environnement.</w:t>
      </w:r>
    </w:p>
    <w:p>
      <w:r>
        <w:rPr>
          <w:u w:val="single"/>
        </w:rPr>
        <w:t>Rmq :</w:t>
      </w:r>
      <w:r>
        <w:t xml:space="preserve"> Une proportion importante de l’azote entre dans l’écosystème par l’intermédiaire des bactéries.</w:t>
      </w:r>
    </w:p>
    <w:p>
      <w:r>
        <w:t>Coopération métabolique</w:t>
      </w:r>
    </w:p>
    <w:p>
      <w:r>
        <w:t>Pour coopérer, les cellules sécrètent des molécules de signalisation qui attirent les cellules voisines. Elles forment alors des structures comme des filaments ou des biofilms.</w:t>
      </w:r>
    </w:p>
    <w:p>
      <w:r>
        <w:t>Les nutriments doivent atteindre les cellules intérieures et les déchets métaboliques doivent être expulsés.</w:t>
      </w:r>
    </w:p>
    <w:p>
      <w:r>
        <w:t>Les différences entre les Archées et les Bactéries</w:t>
      </w:r>
    </w:p>
    <w:p>
      <w:r>
        <w:t>La plupart des Archées découverts sont des organismes extrémophiles c’est-à-dire capable de vivre dans des milieux extrêmes. On ne trouve pas d’agents pathogènes chez les Archées.</w:t>
      </w:r>
    </w:p>
    <w:p>
      <w:r>
        <w:t>La recherche de nouvelles espèces de procaryotes se fait par métagénomique. Cette méthode consiste à séquencer tous les ADN contenue dans un échantillon de sol.</w:t>
      </w:r>
    </w:p>
    <w:p>
      <w:r>
        <w:t xml:space="preserve">Les procaryotes chimio hétérotrophes agissent comme décomposeur. Ils rendent assimilable de nombreuses molécules par les autres êtres vivants. </w:t>
      </w:r>
    </w:p>
    <w:p>
      <w:r>
        <w:t xml:space="preserve">Notre intestin contient entre 500 et 1000 espèces de bactéries qui sont réparties de différemment </w:t>
      </w:r>
    </w:p>
    <w:p>
      <w:r>
        <w:t>Certaines bactéries sont capables d’émettre des signaux chimiques qui activent les gènes qui fabriquent les vaisseaux sanguins.</w:t>
      </w:r>
    </w:p>
    <w:p>
      <w:r>
        <w:t xml:space="preserve">Les bactéries sont aussi responsables de la moitié des maladies humaines qu’elles causent en fabriquant des protéines toxiques pour les cellules. On distingue </w:t>
      </w:r>
    </w:p>
    <w:tbl>
      <w:tblPr>
        <w:tblStyle w:val="Grilledetableauclaire"/>
        <w:tblW w:w="0" w:type="auto"/>
        <w:tblLook w:val="0400" w:firstRow="0" w:lastRow="0" w:firstColumn="0" w:lastColumn="0" w:noHBand="0" w:noVBand="1"/>
      </w:tblPr>
      <w:tblGrid>
        <w:gridCol w:w="1696"/>
        <w:gridCol w:w="5639"/>
      </w:tblGrid>
      <w:tr>
        <w:tc>
          <w:tcPr>
            <w:tcW w:w="1696" w:type="dxa"/>
          </w:tcPr>
          <w:p>
            <w:r>
              <w:t>Exotoxine</w:t>
            </w:r>
          </w:p>
        </w:tc>
        <w:tc>
          <w:tcPr>
            <w:tcW w:w="5639" w:type="dxa"/>
          </w:tcPr>
          <w:p>
            <w:r>
              <w:t xml:space="preserve">Endotoxine qui constitue la paroi notamment les </w:t>
            </w:r>
            <w:proofErr w:type="spellStart"/>
            <w:r>
              <w:t>lipposaccharides</w:t>
            </w:r>
            <w:proofErr w:type="spellEnd"/>
            <w:r>
              <w:t xml:space="preserve"> des bactéries à Gram négatif</w:t>
            </w:r>
          </w:p>
        </w:tc>
      </w:tr>
    </w:tbl>
    <w:p>
      <w:r>
        <w:t>Les Bactéries ont de multiples utilités. Elles servent notamment dans :</w:t>
      </w:r>
    </w:p>
    <w:p>
      <w:pPr>
        <w:pStyle w:val="Paragraphedeliste"/>
        <w:numPr>
          <w:ilvl w:val="0"/>
          <w:numId w:val="1"/>
        </w:numPr>
      </w:pPr>
      <w:r>
        <w:t>Fabrication de matériaux d’aliments.</w:t>
      </w:r>
    </w:p>
    <w:p>
      <w:pPr>
        <w:pStyle w:val="Paragraphedeliste"/>
        <w:numPr>
          <w:ilvl w:val="0"/>
          <w:numId w:val="1"/>
        </w:numPr>
      </w:pPr>
      <w:r>
        <w:t>Biorestauration éliminer les polluants.</w:t>
      </w:r>
    </w:p>
    <w:p>
      <w:pPr>
        <w:pStyle w:val="Paragraphedeliste"/>
        <w:numPr>
          <w:ilvl w:val="0"/>
          <w:numId w:val="1"/>
        </w:numPr>
      </w:pPr>
      <w:r>
        <w:t>Produire des médicaments, des carburants.</w:t>
      </w:r>
    </w:p>
    <w:tbl>
      <w:tblPr>
        <w:tblStyle w:val="Grilledetableauclaire"/>
        <w:tblW w:w="0" w:type="auto"/>
        <w:tblLook w:val="04A0" w:firstRow="1" w:lastRow="0" w:firstColumn="1" w:lastColumn="0" w:noHBand="0" w:noVBand="1"/>
      </w:tblPr>
      <w:tblGrid>
        <w:gridCol w:w="1833"/>
        <w:gridCol w:w="1834"/>
        <w:gridCol w:w="1834"/>
        <w:gridCol w:w="183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tc>
        <w:tc>
          <w:tcPr>
            <w:tcW w:w="1834" w:type="dxa"/>
          </w:tcPr>
          <w:p>
            <w:pPr>
              <w:cnfStyle w:val="100000000000" w:firstRow="1" w:lastRow="0" w:firstColumn="0" w:lastColumn="0" w:oddVBand="0" w:evenVBand="0" w:oddHBand="0" w:evenHBand="0" w:firstRowFirstColumn="0" w:firstRowLastColumn="0" w:lastRowFirstColumn="0" w:lastRowLastColumn="0"/>
            </w:pPr>
            <w:r>
              <w:t>Bactéries</w:t>
            </w:r>
          </w:p>
        </w:tc>
        <w:tc>
          <w:tcPr>
            <w:tcW w:w="1834" w:type="dxa"/>
          </w:tcPr>
          <w:p>
            <w:pPr>
              <w:cnfStyle w:val="100000000000" w:firstRow="1" w:lastRow="0" w:firstColumn="0" w:lastColumn="0" w:oddVBand="0" w:evenVBand="0" w:oddHBand="0" w:evenHBand="0" w:firstRowFirstColumn="0" w:firstRowLastColumn="0" w:lastRowFirstColumn="0" w:lastRowLastColumn="0"/>
            </w:pPr>
            <w:r>
              <w:t>Archées</w:t>
            </w:r>
          </w:p>
        </w:tc>
        <w:tc>
          <w:tcPr>
            <w:tcW w:w="1834" w:type="dxa"/>
          </w:tcPr>
          <w:p>
            <w:pPr>
              <w:cnfStyle w:val="100000000000" w:firstRow="1" w:lastRow="0" w:firstColumn="0" w:lastColumn="0" w:oddVBand="0" w:evenVBand="0" w:oddHBand="0" w:evenHBand="0" w:firstRowFirstColumn="0" w:firstRowLastColumn="0" w:lastRowFirstColumn="0" w:lastRowLastColumn="0"/>
            </w:pPr>
            <w:r>
              <w:t>Eucaryotes</w:t>
            </w:r>
          </w:p>
        </w:tc>
      </w:tr>
      <w:tr>
        <w:tc>
          <w:tcPr>
            <w:cnfStyle w:val="001000000000" w:firstRow="0" w:lastRow="0" w:firstColumn="1" w:lastColumn="0" w:oddVBand="0" w:evenVBand="0" w:oddHBand="0" w:evenHBand="0" w:firstRowFirstColumn="0" w:firstRowLastColumn="0" w:lastRowFirstColumn="0" w:lastRowLastColumn="0"/>
            <w:tcW w:w="1833" w:type="dxa"/>
          </w:tcPr>
          <w:p>
            <w:r>
              <w:t>Enveloppe nucléaire</w:t>
            </w:r>
          </w:p>
        </w:tc>
        <w:tc>
          <w:tcPr>
            <w:tcW w:w="1834" w:type="dxa"/>
          </w:tcPr>
          <w:p>
            <w:pPr>
              <w:cnfStyle w:val="000000000000" w:firstRow="0" w:lastRow="0" w:firstColumn="0" w:lastColumn="0" w:oddVBand="0" w:evenVBand="0" w:oddHBand="0" w:evenHBand="0" w:firstRowFirstColumn="0" w:firstRowLastColumn="0" w:lastRowFirstColumn="0" w:lastRowLastColumn="0"/>
            </w:pPr>
            <w:r>
              <w:t>Abs</w:t>
            </w:r>
          </w:p>
        </w:tc>
        <w:tc>
          <w:tcPr>
            <w:tcW w:w="1834" w:type="dxa"/>
          </w:tcPr>
          <w:p>
            <w:pPr>
              <w:cnfStyle w:val="000000000000" w:firstRow="0" w:lastRow="0" w:firstColumn="0" w:lastColumn="0" w:oddVBand="0" w:evenVBand="0" w:oddHBand="0" w:evenHBand="0" w:firstRowFirstColumn="0" w:firstRowLastColumn="0" w:lastRowFirstColumn="0" w:lastRowLastColumn="0"/>
            </w:pPr>
            <w:r>
              <w:t>Abs</w:t>
            </w:r>
          </w:p>
        </w:tc>
        <w:tc>
          <w:tcPr>
            <w:tcW w:w="1834" w:type="dxa"/>
          </w:tcPr>
          <w:p>
            <w:pPr>
              <w:cnfStyle w:val="000000000000" w:firstRow="0" w:lastRow="0" w:firstColumn="0" w:lastColumn="0" w:oddVBand="0" w:evenVBand="0" w:oddHBand="0" w:evenHBand="0" w:firstRowFirstColumn="0" w:firstRowLastColumn="0" w:lastRowFirstColumn="0" w:lastRowLastColumn="0"/>
            </w:pPr>
            <w:r>
              <w:t>Présente</w:t>
            </w:r>
          </w:p>
        </w:tc>
      </w:tr>
      <w:tr>
        <w:tc>
          <w:tcPr>
            <w:cnfStyle w:val="001000000000" w:firstRow="0" w:lastRow="0" w:firstColumn="1" w:lastColumn="0" w:oddVBand="0" w:evenVBand="0" w:oddHBand="0" w:evenHBand="0" w:firstRowFirstColumn="0" w:firstRowLastColumn="0" w:lastRowFirstColumn="0" w:lastRowLastColumn="0"/>
            <w:tcW w:w="1833" w:type="dxa"/>
          </w:tcPr>
          <w:p>
            <w:r>
              <w:t>Organites membraneux</w:t>
            </w:r>
          </w:p>
        </w:tc>
        <w:tc>
          <w:tcPr>
            <w:tcW w:w="1834" w:type="dxa"/>
          </w:tcPr>
          <w:p>
            <w:pPr>
              <w:cnfStyle w:val="000000000000" w:firstRow="0" w:lastRow="0" w:firstColumn="0" w:lastColumn="0" w:oddVBand="0" w:evenVBand="0" w:oddHBand="0" w:evenHBand="0" w:firstRowFirstColumn="0" w:firstRowLastColumn="0" w:lastRowFirstColumn="0" w:lastRowLastColumn="0"/>
            </w:pPr>
            <w:r>
              <w:t>Abs</w:t>
            </w:r>
          </w:p>
        </w:tc>
        <w:tc>
          <w:tcPr>
            <w:tcW w:w="1834" w:type="dxa"/>
          </w:tcPr>
          <w:p>
            <w:pPr>
              <w:cnfStyle w:val="000000000000" w:firstRow="0" w:lastRow="0" w:firstColumn="0" w:lastColumn="0" w:oddVBand="0" w:evenVBand="0" w:oddHBand="0" w:evenHBand="0" w:firstRowFirstColumn="0" w:firstRowLastColumn="0" w:lastRowFirstColumn="0" w:lastRowLastColumn="0"/>
            </w:pPr>
            <w:r>
              <w:t>Abs</w:t>
            </w:r>
          </w:p>
        </w:tc>
        <w:tc>
          <w:tcPr>
            <w:tcW w:w="1834" w:type="dxa"/>
          </w:tcPr>
          <w:p>
            <w:pPr>
              <w:cnfStyle w:val="000000000000" w:firstRow="0" w:lastRow="0" w:firstColumn="0" w:lastColumn="0" w:oddVBand="0" w:evenVBand="0" w:oddHBand="0" w:evenHBand="0" w:firstRowFirstColumn="0" w:firstRowLastColumn="0" w:lastRowFirstColumn="0" w:lastRowLastColumn="0"/>
            </w:pPr>
            <w:r>
              <w:t>Présente</w:t>
            </w:r>
          </w:p>
        </w:tc>
      </w:tr>
      <w:tr>
        <w:tc>
          <w:tcPr>
            <w:cnfStyle w:val="001000000000" w:firstRow="0" w:lastRow="0" w:firstColumn="1" w:lastColumn="0" w:oddVBand="0" w:evenVBand="0" w:oddHBand="0" w:evenHBand="0" w:firstRowFirstColumn="0" w:firstRowLastColumn="0" w:lastRowFirstColumn="0" w:lastRowLastColumn="0"/>
            <w:tcW w:w="1833" w:type="dxa"/>
          </w:tcPr>
          <w:p>
            <w:r>
              <w:t xml:space="preserve">Peptidoglycane dans la paroi </w:t>
            </w:r>
            <w:proofErr w:type="spellStart"/>
            <w:r>
              <w:t>cell</w:t>
            </w:r>
            <w:proofErr w:type="spellEnd"/>
          </w:p>
        </w:tc>
        <w:tc>
          <w:tcPr>
            <w:tcW w:w="1834" w:type="dxa"/>
          </w:tcPr>
          <w:p>
            <w:pPr>
              <w:cnfStyle w:val="000000000000" w:firstRow="0" w:lastRow="0" w:firstColumn="0" w:lastColumn="0" w:oddVBand="0" w:evenVBand="0" w:oddHBand="0" w:evenHBand="0" w:firstRowFirstColumn="0" w:firstRowLastColumn="0" w:lastRowFirstColumn="0" w:lastRowLastColumn="0"/>
            </w:pPr>
            <w:r>
              <w:t>Présente</w:t>
            </w:r>
          </w:p>
        </w:tc>
        <w:tc>
          <w:tcPr>
            <w:tcW w:w="1834" w:type="dxa"/>
          </w:tcPr>
          <w:p>
            <w:pPr>
              <w:cnfStyle w:val="000000000000" w:firstRow="0" w:lastRow="0" w:firstColumn="0" w:lastColumn="0" w:oddVBand="0" w:evenVBand="0" w:oddHBand="0" w:evenHBand="0" w:firstRowFirstColumn="0" w:firstRowLastColumn="0" w:lastRowFirstColumn="0" w:lastRowLastColumn="0"/>
            </w:pPr>
            <w:r>
              <w:t>Abs</w:t>
            </w:r>
          </w:p>
        </w:tc>
        <w:tc>
          <w:tcPr>
            <w:tcW w:w="1834" w:type="dxa"/>
          </w:tcPr>
          <w:p>
            <w:pPr>
              <w:cnfStyle w:val="000000000000" w:firstRow="0" w:lastRow="0" w:firstColumn="0" w:lastColumn="0" w:oddVBand="0" w:evenVBand="0" w:oddHBand="0" w:evenHBand="0" w:firstRowFirstColumn="0" w:firstRowLastColumn="0" w:lastRowFirstColumn="0" w:lastRowLastColumn="0"/>
            </w:pPr>
            <w:r>
              <w:t>Abs</w:t>
            </w:r>
          </w:p>
        </w:tc>
      </w:tr>
      <w:tr>
        <w:tc>
          <w:tcPr>
            <w:cnfStyle w:val="001000000000" w:firstRow="0" w:lastRow="0" w:firstColumn="1" w:lastColumn="0" w:oddVBand="0" w:evenVBand="0" w:oddHBand="0" w:evenHBand="0" w:firstRowFirstColumn="0" w:firstRowLastColumn="0" w:lastRowFirstColumn="0" w:lastRowLastColumn="0"/>
            <w:tcW w:w="1833" w:type="dxa"/>
          </w:tcPr>
          <w:p>
            <w:r>
              <w:t>Lipides membranaires</w:t>
            </w:r>
          </w:p>
        </w:tc>
        <w:tc>
          <w:tcPr>
            <w:tcW w:w="1834" w:type="dxa"/>
          </w:tcPr>
          <w:p>
            <w:pPr>
              <w:cnfStyle w:val="000000000000" w:firstRow="0" w:lastRow="0" w:firstColumn="0" w:lastColumn="0" w:oddVBand="0" w:evenVBand="0" w:oddHBand="0" w:evenHBand="0" w:firstRowFirstColumn="0" w:firstRowLastColumn="0" w:lastRowFirstColumn="0" w:lastRowLastColumn="0"/>
            </w:pPr>
            <w:r>
              <w:t>Chaines carbonés linéaires</w:t>
            </w:r>
          </w:p>
        </w:tc>
        <w:tc>
          <w:tcPr>
            <w:tcW w:w="1834" w:type="dxa"/>
          </w:tcPr>
          <w:p>
            <w:pPr>
              <w:cnfStyle w:val="000000000000" w:firstRow="0" w:lastRow="0" w:firstColumn="0" w:lastColumn="0" w:oddVBand="0" w:evenVBand="0" w:oddHBand="0" w:evenHBand="0" w:firstRowFirstColumn="0" w:firstRowLastColumn="0" w:lastRowFirstColumn="0" w:lastRowLastColumn="0"/>
            </w:pPr>
            <w:r>
              <w:t>Quelques chaines carbonées ramifiées</w:t>
            </w:r>
          </w:p>
        </w:tc>
        <w:tc>
          <w:tcPr>
            <w:tcW w:w="1834" w:type="dxa"/>
          </w:tcPr>
          <w:p>
            <w:pPr>
              <w:cnfStyle w:val="000000000000" w:firstRow="0" w:lastRow="0" w:firstColumn="0" w:lastColumn="0" w:oddVBand="0" w:evenVBand="0" w:oddHBand="0" w:evenHBand="0" w:firstRowFirstColumn="0" w:firstRowLastColumn="0" w:lastRowFirstColumn="0" w:lastRowLastColumn="0"/>
            </w:pPr>
            <w:r>
              <w:t>Chaînes carbonées linéaires</w:t>
            </w:r>
          </w:p>
        </w:tc>
      </w:tr>
      <w:tr>
        <w:tc>
          <w:tcPr>
            <w:cnfStyle w:val="001000000000" w:firstRow="0" w:lastRow="0" w:firstColumn="1" w:lastColumn="0" w:oddVBand="0" w:evenVBand="0" w:oddHBand="0" w:evenHBand="0" w:firstRowFirstColumn="0" w:firstRowLastColumn="0" w:lastRowFirstColumn="0" w:lastRowLastColumn="0"/>
            <w:tcW w:w="1833" w:type="dxa"/>
          </w:tcPr>
          <w:p>
            <w:r>
              <w:t>ARN polymérase</w:t>
            </w:r>
          </w:p>
        </w:tc>
        <w:tc>
          <w:tcPr>
            <w:tcW w:w="1834" w:type="dxa"/>
          </w:tcPr>
          <w:p>
            <w:pPr>
              <w:cnfStyle w:val="000000000000" w:firstRow="0" w:lastRow="0" w:firstColumn="0" w:lastColumn="0" w:oddVBand="0" w:evenVBand="0" w:oddHBand="0" w:evenHBand="0" w:firstRowFirstColumn="0" w:firstRowLastColumn="0" w:lastRowFirstColumn="0" w:lastRowLastColumn="0"/>
            </w:pPr>
            <w:r>
              <w:t>Un type</w:t>
            </w:r>
          </w:p>
        </w:tc>
        <w:tc>
          <w:tcPr>
            <w:tcW w:w="1834" w:type="dxa"/>
          </w:tcPr>
          <w:p>
            <w:pPr>
              <w:cnfStyle w:val="000000000000" w:firstRow="0" w:lastRow="0" w:firstColumn="0" w:lastColumn="0" w:oddVBand="0" w:evenVBand="0" w:oddHBand="0" w:evenHBand="0" w:firstRowFirstColumn="0" w:firstRowLastColumn="0" w:lastRowFirstColumn="0" w:lastRowLastColumn="0"/>
            </w:pPr>
            <w:r>
              <w:t>Plusieurs types</w:t>
            </w:r>
          </w:p>
        </w:tc>
        <w:tc>
          <w:tcPr>
            <w:tcW w:w="1834" w:type="dxa"/>
          </w:tcPr>
          <w:p>
            <w:pPr>
              <w:cnfStyle w:val="000000000000" w:firstRow="0" w:lastRow="0" w:firstColumn="0" w:lastColumn="0" w:oddVBand="0" w:evenVBand="0" w:oddHBand="0" w:evenHBand="0" w:firstRowFirstColumn="0" w:firstRowLastColumn="0" w:lastRowFirstColumn="0" w:lastRowLastColumn="0"/>
            </w:pPr>
            <w:r>
              <w:t>Plusieurs types</w:t>
            </w:r>
          </w:p>
        </w:tc>
      </w:tr>
      <w:tr>
        <w:tc>
          <w:tcPr>
            <w:cnfStyle w:val="001000000000" w:firstRow="0" w:lastRow="0" w:firstColumn="1" w:lastColumn="0" w:oddVBand="0" w:evenVBand="0" w:oddHBand="0" w:evenHBand="0" w:firstRowFirstColumn="0" w:firstRowLastColumn="0" w:lastRowFirstColumn="0" w:lastRowLastColumn="0"/>
            <w:tcW w:w="1833" w:type="dxa"/>
          </w:tcPr>
          <w:p>
            <w:r>
              <w:t xml:space="preserve">Premier acide aminé dans la </w:t>
            </w:r>
            <w:proofErr w:type="spellStart"/>
            <w:r>
              <w:t>synth</w:t>
            </w:r>
            <w:proofErr w:type="spellEnd"/>
            <w:r>
              <w:t xml:space="preserve"> des protéines</w:t>
            </w:r>
          </w:p>
        </w:tc>
        <w:tc>
          <w:tcPr>
            <w:tcW w:w="1834" w:type="dxa"/>
          </w:tcPr>
          <w:p>
            <w:pPr>
              <w:cnfStyle w:val="000000000000" w:firstRow="0" w:lastRow="0" w:firstColumn="0" w:lastColumn="0" w:oddVBand="0" w:evenVBand="0" w:oddHBand="0" w:evenHBand="0" w:firstRowFirstColumn="0" w:firstRowLastColumn="0" w:lastRowFirstColumn="0" w:lastRowLastColumn="0"/>
            </w:pPr>
            <w:proofErr w:type="spellStart"/>
            <w:r>
              <w:t>Formyl</w:t>
            </w:r>
            <w:proofErr w:type="spellEnd"/>
            <w:r>
              <w:t>-méthionine</w:t>
            </w:r>
          </w:p>
        </w:tc>
        <w:tc>
          <w:tcPr>
            <w:tcW w:w="1834" w:type="dxa"/>
          </w:tcPr>
          <w:p>
            <w:pPr>
              <w:cnfStyle w:val="000000000000" w:firstRow="0" w:lastRow="0" w:firstColumn="0" w:lastColumn="0" w:oddVBand="0" w:evenVBand="0" w:oddHBand="0" w:evenHBand="0" w:firstRowFirstColumn="0" w:firstRowLastColumn="0" w:lastRowFirstColumn="0" w:lastRowLastColumn="0"/>
            </w:pPr>
            <w:r>
              <w:t>Méthionine</w:t>
            </w:r>
          </w:p>
        </w:tc>
        <w:tc>
          <w:tcPr>
            <w:tcW w:w="1834" w:type="dxa"/>
          </w:tcPr>
          <w:p>
            <w:pPr>
              <w:cnfStyle w:val="000000000000" w:firstRow="0" w:lastRow="0" w:firstColumn="0" w:lastColumn="0" w:oddVBand="0" w:evenVBand="0" w:oddHBand="0" w:evenHBand="0" w:firstRowFirstColumn="0" w:firstRowLastColumn="0" w:lastRowFirstColumn="0" w:lastRowLastColumn="0"/>
            </w:pPr>
            <w:r>
              <w:t>Méthionine</w:t>
            </w:r>
          </w:p>
        </w:tc>
      </w:tr>
      <w:tr>
        <w:tc>
          <w:tcPr>
            <w:cnfStyle w:val="001000000000" w:firstRow="0" w:lastRow="0" w:firstColumn="1" w:lastColumn="0" w:oddVBand="0" w:evenVBand="0" w:oddHBand="0" w:evenHBand="0" w:firstRowFirstColumn="0" w:firstRowLastColumn="0" w:lastRowFirstColumn="0" w:lastRowLastColumn="0"/>
            <w:tcW w:w="1833" w:type="dxa"/>
          </w:tcPr>
          <w:p>
            <w:r>
              <w:t>Introns dans les gènes</w:t>
            </w:r>
          </w:p>
        </w:tc>
        <w:tc>
          <w:tcPr>
            <w:tcW w:w="1834" w:type="dxa"/>
          </w:tcPr>
          <w:p>
            <w:pPr>
              <w:cnfStyle w:val="000000000000" w:firstRow="0" w:lastRow="0" w:firstColumn="0" w:lastColumn="0" w:oddVBand="0" w:evenVBand="0" w:oddHBand="0" w:evenHBand="0" w:firstRowFirstColumn="0" w:firstRowLastColumn="0" w:lastRowFirstColumn="0" w:lastRowLastColumn="0"/>
            </w:pPr>
            <w:r>
              <w:t>Très rare</w:t>
            </w:r>
          </w:p>
        </w:tc>
        <w:tc>
          <w:tcPr>
            <w:tcW w:w="1834" w:type="dxa"/>
          </w:tcPr>
          <w:p>
            <w:pPr>
              <w:cnfStyle w:val="000000000000" w:firstRow="0" w:lastRow="0" w:firstColumn="0" w:lastColumn="0" w:oddVBand="0" w:evenVBand="0" w:oddHBand="0" w:evenHBand="0" w:firstRowFirstColumn="0" w:firstRowLastColumn="0" w:lastRowFirstColumn="0" w:lastRowLastColumn="0"/>
            </w:pPr>
            <w:r>
              <w:t>Présent dans certains gènes</w:t>
            </w:r>
          </w:p>
        </w:tc>
        <w:tc>
          <w:tcPr>
            <w:tcW w:w="1834" w:type="dxa"/>
          </w:tcPr>
          <w:p>
            <w:pPr>
              <w:cnfStyle w:val="000000000000" w:firstRow="0" w:lastRow="0" w:firstColumn="0" w:lastColumn="0" w:oddVBand="0" w:evenVBand="0" w:oddHBand="0" w:evenHBand="0" w:firstRowFirstColumn="0" w:firstRowLastColumn="0" w:lastRowFirstColumn="0" w:lastRowLastColumn="0"/>
            </w:pPr>
            <w:r>
              <w:t>Présents dans de nombreux gènes</w:t>
            </w:r>
          </w:p>
        </w:tc>
      </w:tr>
    </w:tbl>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Autres</w:t>
    </w:r>
    <w:r>
      <w:ptab w:relativeTo="margin" w:alignment="center" w:leader="none"/>
    </w:r>
    <w:r>
      <w:t xml:space="preserve">Les Bactéries et les </w:t>
    </w:r>
    <w:proofErr w:type="spellStart"/>
    <w:r>
      <w:t>Archés</w:t>
    </w:r>
    <w:proofErr w:type="spellEnd"/>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028C1"/>
    <w:multiLevelType w:val="hybridMultilevel"/>
    <w:tmpl w:val="6F1867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23D5FAD"/>
    <w:multiLevelType w:val="hybridMultilevel"/>
    <w:tmpl w:val="54A82D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B69366C"/>
    <w:multiLevelType w:val="hybridMultilevel"/>
    <w:tmpl w:val="F266C9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revisionView w:inkAnnotation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3</Pages>
  <Words>1208</Words>
  <Characters>6645</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19</cp:revision>
  <cp:lastPrinted>2021-02-13T18:38:00Z</cp:lastPrinted>
  <dcterms:created xsi:type="dcterms:W3CDTF">2021-06-15T04:50:00Z</dcterms:created>
  <dcterms:modified xsi:type="dcterms:W3CDTF">2021-09-06T06:34:00Z</dcterms:modified>
</cp:coreProperties>
</file>