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re2"/>
      </w:pPr>
      <w:r>
        <w:t>Coloration</w:t>
      </w:r>
    </w:p>
    <w:p>
      <w:r>
        <w:t>Les colorations des tissus est une réaction acido-basique. Il en existe deux types de coloration :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3667"/>
        <w:gridCol w:w="3668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667" w:type="dxa"/>
          </w:tcPr>
          <w:p>
            <w:r>
              <w:t>Bleue colore les acides</w:t>
            </w:r>
          </w:p>
        </w:tc>
        <w:tc>
          <w:tcPr>
            <w:tcW w:w="3668" w:type="dxa"/>
          </w:tcPr>
          <w:p>
            <w:r>
              <w:t>Rouge colore les bases</w:t>
            </w:r>
          </w:p>
        </w:tc>
      </w:tr>
      <w:tr>
        <w:tc>
          <w:tcPr>
            <w:tcW w:w="3667" w:type="dxa"/>
          </w:tcPr>
          <w:p>
            <w:r>
              <w:t>Ex : bleu de méthyle</w:t>
            </w:r>
          </w:p>
        </w:tc>
        <w:tc>
          <w:tcPr>
            <w:tcW w:w="3668" w:type="dxa"/>
          </w:tcPr>
          <w:p/>
        </w:tc>
      </w:tr>
      <w:tr>
        <w:tc>
          <w:tcPr>
            <w:tcW w:w="3667" w:type="dxa"/>
          </w:tcPr>
          <w:p>
            <w:r>
              <w:t>ADN, collagène</w:t>
            </w:r>
          </w:p>
        </w:tc>
        <w:tc>
          <w:tcPr>
            <w:tcW w:w="3668" w:type="dxa"/>
          </w:tcPr>
          <w:p/>
        </w:tc>
      </w:tr>
    </w:tbl>
    <w:p>
      <w:r>
        <w:t xml:space="preserve"> Il existe des mélanges de ces deux solutions appelés trichrome de Masson.</w:t>
      </w:r>
    </w:p>
    <w:p>
      <w:pPr>
        <w:pStyle w:val="Titre2"/>
        <w:rPr>
          <w:rStyle w:val="Accentuation"/>
          <w:iCs w:val="0"/>
          <w:noProof/>
        </w:rPr>
      </w:pPr>
      <w:r>
        <w:rPr>
          <w:rStyle w:val="Accentuation"/>
          <w:noProof/>
        </w:rPr>
        <w:t>Mettre en évidence des propriétés de réducteur</w:t>
      </w:r>
    </w:p>
    <w:p>
      <w:pPr>
        <w:rPr>
          <w:noProof/>
          <w:color w:val="FF0000"/>
        </w:rPr>
      </w:pPr>
      <w:r>
        <w:rPr>
          <w:rStyle w:val="Accentuation"/>
          <w:noProof/>
        </w:rPr>
        <w:t>Réaction avec la liqueur de Fehling (bleu passa au rouge).</w:t>
      </w:r>
    </w:p>
    <w:p>
      <w:pPr>
        <w:pStyle w:val="Titre2"/>
        <w:rPr>
          <w:rStyle w:val="Accentuation"/>
          <w:iCs w:val="0"/>
          <w:noProof/>
        </w:rPr>
      </w:pPr>
      <w:r>
        <w:t>Schéma</w:t>
      </w:r>
    </w:p>
    <w:p>
      <w:r>
        <w:t>Un schéma doit contenir</w:t>
      </w:r>
    </w:p>
    <w:tbl>
      <w:tblPr>
        <w:tblStyle w:val="Grilledetableauclaire"/>
        <w:tblW w:w="5000" w:type="pct"/>
        <w:tblLook w:val="0400" w:firstRow="0" w:lastRow="0" w:firstColumn="0" w:lastColumn="0" w:noHBand="0" w:noVBand="1"/>
      </w:tblPr>
      <w:tblGrid>
        <w:gridCol w:w="2445"/>
        <w:gridCol w:w="1945"/>
        <w:gridCol w:w="2945"/>
      </w:tblGrid>
      <w:tr>
        <w:tc>
          <w:tcPr>
            <w:tcW w:w="2445" w:type="dxa"/>
          </w:tcPr>
          <w:p>
            <w:r>
              <w:t>Titre</w:t>
            </w:r>
          </w:p>
        </w:tc>
        <w:tc>
          <w:tcPr>
            <w:tcW w:w="1945" w:type="dxa"/>
          </w:tcPr>
          <w:p>
            <w:r>
              <w:t>Phylogénie</w:t>
            </w:r>
          </w:p>
        </w:tc>
        <w:tc>
          <w:tcPr>
            <w:tcW w:w="2945" w:type="dxa"/>
          </w:tcPr>
          <w:p>
            <w:r>
              <w:t>Grossissement et échelle</w:t>
            </w:r>
          </w:p>
        </w:tc>
      </w:tr>
    </w:tbl>
    <w:p>
      <w:pPr>
        <w:pStyle w:val="Titre3"/>
      </w:pPr>
      <w:r>
        <w:t>Le titre</w:t>
      </w:r>
    </w:p>
    <w:p>
      <w:r>
        <w:t>Le titre doit contenir les éléments suivants :</w:t>
      </w:r>
    </w:p>
    <w:p>
      <w:pPr>
        <w:pStyle w:val="Paragraphedeliste"/>
        <w:numPr>
          <w:ilvl w:val="0"/>
          <w:numId w:val="25"/>
        </w:numPr>
      </w:pPr>
      <w:r>
        <w:t>Type de dessin</w:t>
      </w:r>
    </w:p>
    <w:p>
      <w:pPr>
        <w:pStyle w:val="Paragraphedeliste"/>
        <w:numPr>
          <w:ilvl w:val="0"/>
          <w:numId w:val="25"/>
        </w:numPr>
      </w:pPr>
      <w:r>
        <w:t>Le sujet dessiné</w:t>
      </w:r>
    </w:p>
    <w:p>
      <w:pPr>
        <w:pStyle w:val="Paragraphedeliste"/>
        <w:numPr>
          <w:ilvl w:val="0"/>
          <w:numId w:val="25"/>
        </w:numPr>
      </w:pPr>
      <w:r>
        <w:t xml:space="preserve">L’espèce observé entre parenthèse et soulignée </w:t>
      </w:r>
    </w:p>
    <w:p>
      <w:pPr>
        <w:pStyle w:val="Paragraphedeliste"/>
        <w:numPr>
          <w:ilvl w:val="0"/>
          <w:numId w:val="25"/>
        </w:numPr>
      </w:pPr>
      <w:r>
        <w:t>L’outils utilisé pour l’observation (microscope, à l’œil nu…)</w:t>
      </w:r>
    </w:p>
    <w:p>
      <w:pPr>
        <w:pStyle w:val="Paragraphedeliste"/>
        <w:numPr>
          <w:ilvl w:val="0"/>
          <w:numId w:val="25"/>
        </w:numPr>
      </w:pPr>
      <w:r>
        <w:t>Le type de préparation utilisé (commercial ou personnel)</w:t>
      </w:r>
    </w:p>
    <w:p>
      <w:pPr>
        <w:pStyle w:val="Paragraphedeliste"/>
        <w:numPr>
          <w:ilvl w:val="0"/>
          <w:numId w:val="25"/>
        </w:numPr>
      </w:pPr>
      <w:r>
        <w:t>L’utilisation d’une coloration (coloration au …)</w:t>
      </w:r>
    </w:p>
    <w:p>
      <w:pPr>
        <w:rPr>
          <w:i/>
          <w:iCs/>
        </w:rPr>
      </w:pPr>
      <w:r>
        <w:rPr>
          <w:i/>
          <w:iCs/>
        </w:rPr>
        <w:t>Exemple : Dessin d’observation d’une cellule d’Elodée (</w:t>
      </w:r>
      <w:r>
        <w:rPr>
          <w:i/>
          <w:iCs/>
          <w:u w:val="single"/>
        </w:rPr>
        <w:t>Elodea canadensis)</w:t>
      </w:r>
      <w:r>
        <w:rPr>
          <w:i/>
          <w:iCs/>
        </w:rPr>
        <w:t xml:space="preserve"> au microscope optique. Préparation personnelle avec coloration.</w:t>
      </w:r>
    </w:p>
    <w:p>
      <w:pPr>
        <w:pStyle w:val="Titre3"/>
      </w:pPr>
      <w:r>
        <w:t>Phylogénie en cadré</w:t>
      </w:r>
    </w:p>
    <w:p>
      <w:r>
        <w:t>Dans un cadre, mettre l’ensemble des rangs taxonomiques et souligner l’espèce.</w:t>
      </w:r>
    </w:p>
    <w:p>
      <w:pPr>
        <w:pStyle w:val="Titre2"/>
      </w:pPr>
      <w:r>
        <w:t>Calcul du grossissement et de l’échelle</w:t>
      </w:r>
    </w:p>
    <w:p>
      <w:pPr>
        <w:pStyle w:val="Titre3"/>
      </w:pPr>
      <w:r>
        <w:t>Grossissement</w:t>
      </w:r>
    </w:p>
    <w:p>
      <w:r>
        <w:t>Sur un microscope, on trouve</w:t>
      </w:r>
    </w:p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3668"/>
        <w:gridCol w:w="366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>
            <w:r>
              <w:t>Oculaire </w:t>
            </w:r>
          </w:p>
        </w:tc>
        <w:tc>
          <w:tcPr>
            <w:tcW w:w="3667" w:type="dxa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Grossissement oculaire (10X)</w:t>
            </w:r>
          </w:p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Indice de champ (18mm)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8" w:type="dxa"/>
          </w:tcPr>
          <w:p>
            <w:r>
              <w:t>Objectif</w:t>
            </w:r>
          </w:p>
        </w:tc>
        <w:tc>
          <w:tcPr>
            <w:tcW w:w="3667" w:type="dxa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Grossissement objectif (40X)</w:t>
            </w:r>
          </w:p>
        </w:tc>
      </w:tr>
    </w:tbl>
    <w:p>
      <w:pPr>
        <w:rPr>
          <w:rFonts w:eastAsiaTheme="minorEastAsia"/>
        </w:rPr>
      </w:pPr>
      <w:r>
        <w:t xml:space="preserve">Grossissement </w:t>
      </w:r>
      <m:oMath>
        <m:r>
          <w:rPr>
            <w:rFonts w:ascii="Cambria Math" w:hAnsi="Cambria Math"/>
          </w:rPr>
          <m:t>G=grossissement occulaire×grossissement objectif</m:t>
        </m:r>
      </m:oMath>
    </w:p>
    <w:p>
      <w:r>
        <w:rPr>
          <w:rFonts w:eastAsiaTheme="minorEastAsia"/>
        </w:rPr>
        <w:t xml:space="preserve">Exemple : </w:t>
      </w:r>
      <m:oMath>
        <m:r>
          <w:rPr>
            <w:rFonts w:ascii="Cambria Math" w:hAnsi="Cambria Math"/>
          </w:rPr>
          <m:t xml:space="preserve">G=occ 10 ×obj 40 </m:t>
        </m:r>
      </m:oMath>
    </w:p>
    <w:p>
      <w:pPr>
        <w:pStyle w:val="Titre3"/>
      </w:pPr>
      <w:r>
        <w:t>Taille réelle du sujet observé</w:t>
      </w:r>
    </w:p>
    <w:p>
      <w:pPr>
        <w:rPr>
          <w:rFonts w:eastAsiaTheme="minorEastAsia"/>
        </w:rPr>
      </w:pPr>
      <w:r>
        <w:t xml:space="preserve">Diamètre du champ </w:t>
      </w:r>
      <m:oMath>
        <m:r>
          <w:rPr>
            <w:rFonts w:ascii="Cambria Math" w:hAnsi="Cambria Math"/>
          </w:rPr>
          <m:t xml:space="preserve">diamètre du champ=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indice de champ</m:t>
            </m:r>
          </m:num>
          <m:den>
            <m:r>
              <w:rPr>
                <w:rFonts w:ascii="Cambria Math" w:hAnsi="Cambria Math"/>
              </w:rPr>
              <m:t>grossissement objectif</m:t>
            </m:r>
          </m:den>
        </m:f>
      </m:oMath>
    </w:p>
    <w:p>
      <w:r>
        <w:rPr>
          <w:rFonts w:eastAsiaTheme="minorEastAsia"/>
        </w:rPr>
        <w:t xml:space="preserve">Taille du sujet observé : </w:t>
      </w:r>
      <m:oMath>
        <m:r>
          <w:rPr>
            <w:rFonts w:ascii="Cambria Math" w:hAnsi="Cambria Math"/>
          </w:rPr>
          <m:t>Taille= diamètre du champ ×propotion sujet</m:t>
        </m:r>
      </m:oMath>
    </w:p>
    <w:p>
      <w:r>
        <w:t xml:space="preserve">NB : </w:t>
      </w:r>
      <m:oMath>
        <m:r>
          <w:rPr>
            <w:rFonts w:ascii="Cambria Math" w:hAnsi="Cambria Math"/>
          </w:rPr>
          <m:t>propotion du sujet</m:t>
        </m:r>
      </m:oMath>
      <w:r>
        <w:rPr>
          <w:rFonts w:eastAsiaTheme="minorEastAsia"/>
        </w:rPr>
        <w:t xml:space="preserve"> cela correspond à proportion du sujet dans le champ. Par exemple, le sujet occupe 0.75 (7%) du champ visuel.</w:t>
      </w:r>
    </w:p>
    <w:p>
      <w:pPr>
        <w:pStyle w:val="Titre3"/>
      </w:pPr>
      <w:r>
        <w:t>Échelle</w:t>
      </w:r>
    </w:p>
    <w:p>
      <w:r>
        <w:t xml:space="preserve">L’échelle est la correspondance entre 1 centimètre sur le dessin et la taille réel du sujet. </w:t>
      </w:r>
    </w:p>
    <w:p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échelle=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 cm</m:t>
              </m:r>
            </m:num>
            <m:den>
              <m:r>
                <w:rPr>
                  <w:rFonts w:ascii="Cambria Math" w:hAnsi="Cambria Math"/>
                </w:rPr>
                <m:t>taille du dessin</m:t>
              </m:r>
            </m:den>
          </m:f>
          <m:r>
            <w:rPr>
              <w:rFonts w:ascii="Cambria Math" w:hAnsi="Cambria Math"/>
            </w:rPr>
            <m:t>×taille réel du sujet</m:t>
          </m:r>
        </m:oMath>
      </m:oMathPara>
    </w:p>
    <w:p>
      <w:pPr>
        <w:pStyle w:val="Titre2"/>
      </w:pPr>
      <w:r>
        <w:t>Microscopie</w:t>
      </w:r>
    </w:p>
    <w:tbl>
      <w:tblPr>
        <w:tblStyle w:val="Grilledetableauclaire"/>
        <w:tblW w:w="0" w:type="auto"/>
        <w:tblLook w:val="0420" w:firstRow="1" w:lastRow="0" w:firstColumn="0" w:lastColumn="0" w:noHBand="0" w:noVBand="1"/>
      </w:tblPr>
      <w:tblGrid>
        <w:gridCol w:w="2445"/>
        <w:gridCol w:w="2445"/>
        <w:gridCol w:w="24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5" w:type="dxa"/>
          </w:tcPr>
          <w:p>
            <w:pPr>
              <w:rPr>
                <w:b w:val="0"/>
                <w:bCs/>
              </w:rPr>
            </w:pPr>
            <w:r>
              <w:rPr>
                <w:bCs/>
              </w:rPr>
              <w:t>Optique</w:t>
            </w:r>
          </w:p>
        </w:tc>
        <w:tc>
          <w:tcPr>
            <w:tcW w:w="2445" w:type="dxa"/>
          </w:tcPr>
          <w:p>
            <w:pPr>
              <w:rPr>
                <w:b w:val="0"/>
                <w:bCs/>
              </w:rPr>
            </w:pPr>
            <w:r>
              <w:rPr>
                <w:bCs/>
              </w:rPr>
              <w:t>Électronique</w:t>
            </w:r>
          </w:p>
        </w:tc>
        <w:tc>
          <w:tcPr>
            <w:tcW w:w="2445" w:type="dxa"/>
          </w:tcPr>
          <w:p>
            <w:pPr>
              <w:rPr>
                <w:b w:val="0"/>
                <w:bCs/>
              </w:rPr>
            </w:pP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Transmission</w:t>
            </w:r>
          </w:p>
        </w:tc>
        <w:tc>
          <w:tcPr>
            <w:tcW w:w="2445" w:type="dxa"/>
          </w:tcPr>
          <w:p>
            <w:r>
              <w:t>Balayage</w:t>
            </w: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Structure</w:t>
            </w:r>
          </w:p>
        </w:tc>
        <w:tc>
          <w:tcPr>
            <w:tcW w:w="2445" w:type="dxa"/>
          </w:tcPr>
          <w:p>
            <w:r>
              <w:t>Révèle le relief d’une surface</w:t>
            </w:r>
          </w:p>
        </w:tc>
      </w:tr>
      <w:tr>
        <w:tc>
          <w:tcPr>
            <w:tcW w:w="2445" w:type="dxa"/>
          </w:tcPr>
          <w:p/>
        </w:tc>
        <w:tc>
          <w:tcPr>
            <w:tcW w:w="2445" w:type="dxa"/>
          </w:tcPr>
          <w:p/>
        </w:tc>
        <w:tc>
          <w:tcPr>
            <w:tcW w:w="2445" w:type="dxa"/>
          </w:tcPr>
          <w:p>
            <w:r>
              <w:t>Mesure les angles de réfection des électrons</w:t>
            </w:r>
          </w:p>
        </w:tc>
      </w:tr>
      <w:tr>
        <w:tc>
          <w:tcPr>
            <w:tcW w:w="2445" w:type="dxa"/>
          </w:tcPr>
          <w:p/>
        </w:tc>
        <w:tc>
          <w:tcPr>
            <w:tcW w:w="4890" w:type="dxa"/>
            <w:gridSpan w:val="2"/>
          </w:tcPr>
          <w:p>
            <w:r>
              <w:t xml:space="preserve">Généralement en ajout des métaux lourds pour augmenter la </w:t>
            </w:r>
          </w:p>
        </w:tc>
      </w:tr>
    </w:tbl>
    <w:p>
      <w:pPr>
        <w:pStyle w:val="Titre3"/>
        <w:rPr>
          <w:rStyle w:val="Accentuation"/>
          <w:iCs w:val="0"/>
          <w:noProof/>
          <w:color w:val="auto"/>
        </w:rPr>
      </w:pPr>
      <w:r>
        <w:rPr>
          <w:rStyle w:val="Accentuation"/>
          <w:noProof/>
          <w:color w:val="auto"/>
        </w:rPr>
        <w:t>Comment</w:t>
      </w:r>
    </w:p>
    <w:p>
      <w:r>
        <w:t>Électronique :</w:t>
      </w:r>
    </w:p>
    <w:p>
      <w:pPr>
        <w:pStyle w:val="Paragraphedeliste"/>
        <w:numPr>
          <w:ilvl w:val="0"/>
          <w:numId w:val="26"/>
        </w:numPr>
      </w:pPr>
      <w:r>
        <w:t xml:space="preserve">Résolution importante </w:t>
      </w:r>
    </w:p>
    <w:p>
      <w:pPr>
        <w:pStyle w:val="Paragraphedeliste"/>
        <w:numPr>
          <w:ilvl w:val="0"/>
          <w:numId w:val="26"/>
        </w:numPr>
      </w:pPr>
      <w:r>
        <w:t>Ultra structure visible distingue les organites</w:t>
      </w:r>
    </w:p>
    <w:p>
      <w:pPr>
        <w:pStyle w:val="Paragraphedeliste"/>
        <w:numPr>
          <w:ilvl w:val="0"/>
          <w:numId w:val="26"/>
        </w:numPr>
      </w:pPr>
      <w:r>
        <w:t>Les électrons traversent la coupe</w:t>
      </w:r>
    </w:p>
    <w:p>
      <w:pPr>
        <w:pStyle w:val="Paragraphedeliste"/>
        <w:numPr>
          <w:ilvl w:val="0"/>
          <w:numId w:val="26"/>
        </w:numPr>
      </w:pPr>
      <w:r>
        <w:t>Noir/blanc</w:t>
      </w:r>
    </w:p>
    <w:p/>
    <w:sectPr>
      <w:footerReference w:type="default" r:id="rId8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Open Sans">
    <w:panose1 w:val="020B08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  <w:r>
      <w:ptab w:relativeTo="margin" w:alignment="center" w:leader="none"/>
    </w:r>
    <w:r>
      <w:t>Microscopie</w:t>
    </w:r>
    <w:r>
      <w:ptab w:relativeTo="margin" w:alignment="right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54D1D"/>
    <w:multiLevelType w:val="hybridMultilevel"/>
    <w:tmpl w:val="4AF4D3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D56FF"/>
    <w:multiLevelType w:val="hybridMultilevel"/>
    <w:tmpl w:val="5E925F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D424D"/>
    <w:multiLevelType w:val="hybridMultilevel"/>
    <w:tmpl w:val="90FEC8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128A7"/>
    <w:multiLevelType w:val="hybridMultilevel"/>
    <w:tmpl w:val="A22017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80128C"/>
    <w:multiLevelType w:val="hybridMultilevel"/>
    <w:tmpl w:val="895AA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65DBE"/>
    <w:multiLevelType w:val="hybridMultilevel"/>
    <w:tmpl w:val="071E4D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1B72"/>
    <w:multiLevelType w:val="hybridMultilevel"/>
    <w:tmpl w:val="52920C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04DE9"/>
    <w:multiLevelType w:val="hybridMultilevel"/>
    <w:tmpl w:val="698476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73DC7"/>
    <w:multiLevelType w:val="hybridMultilevel"/>
    <w:tmpl w:val="81BC69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3E4864"/>
    <w:multiLevelType w:val="hybridMultilevel"/>
    <w:tmpl w:val="E29C0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9802C9"/>
    <w:multiLevelType w:val="hybridMultilevel"/>
    <w:tmpl w:val="0AFE221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A592B"/>
    <w:multiLevelType w:val="hybridMultilevel"/>
    <w:tmpl w:val="013259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5646E"/>
    <w:multiLevelType w:val="hybridMultilevel"/>
    <w:tmpl w:val="89560E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7F1C41"/>
    <w:multiLevelType w:val="hybridMultilevel"/>
    <w:tmpl w:val="1F7AEC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7F2095"/>
    <w:multiLevelType w:val="hybridMultilevel"/>
    <w:tmpl w:val="519643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F6FDE"/>
    <w:multiLevelType w:val="hybridMultilevel"/>
    <w:tmpl w:val="CB9EEB2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C1352F"/>
    <w:multiLevelType w:val="hybridMultilevel"/>
    <w:tmpl w:val="F6C478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E67A33"/>
    <w:multiLevelType w:val="hybridMultilevel"/>
    <w:tmpl w:val="D228FD8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261B82"/>
    <w:multiLevelType w:val="hybridMultilevel"/>
    <w:tmpl w:val="0032E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5B477F"/>
    <w:multiLevelType w:val="hybridMultilevel"/>
    <w:tmpl w:val="29CE09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A248DD"/>
    <w:multiLevelType w:val="hybridMultilevel"/>
    <w:tmpl w:val="FB2EAF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DF1C38"/>
    <w:multiLevelType w:val="hybridMultilevel"/>
    <w:tmpl w:val="A31CD6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516353"/>
    <w:multiLevelType w:val="hybridMultilevel"/>
    <w:tmpl w:val="4EEC28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7015A2"/>
    <w:multiLevelType w:val="hybridMultilevel"/>
    <w:tmpl w:val="47D88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C0B00"/>
    <w:multiLevelType w:val="hybridMultilevel"/>
    <w:tmpl w:val="3D8CA5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CC1121"/>
    <w:multiLevelType w:val="hybridMultilevel"/>
    <w:tmpl w:val="A29486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6"/>
  </w:num>
  <w:num w:numId="4">
    <w:abstractNumId w:val="24"/>
  </w:num>
  <w:num w:numId="5">
    <w:abstractNumId w:val="21"/>
  </w:num>
  <w:num w:numId="6">
    <w:abstractNumId w:val="2"/>
  </w:num>
  <w:num w:numId="7">
    <w:abstractNumId w:val="3"/>
  </w:num>
  <w:num w:numId="8">
    <w:abstractNumId w:val="10"/>
  </w:num>
  <w:num w:numId="9">
    <w:abstractNumId w:val="9"/>
  </w:num>
  <w:num w:numId="10">
    <w:abstractNumId w:val="1"/>
  </w:num>
  <w:num w:numId="11">
    <w:abstractNumId w:val="4"/>
  </w:num>
  <w:num w:numId="12">
    <w:abstractNumId w:val="5"/>
  </w:num>
  <w:num w:numId="13">
    <w:abstractNumId w:val="18"/>
  </w:num>
  <w:num w:numId="14">
    <w:abstractNumId w:val="13"/>
  </w:num>
  <w:num w:numId="15">
    <w:abstractNumId w:val="0"/>
  </w:num>
  <w:num w:numId="16">
    <w:abstractNumId w:val="15"/>
  </w:num>
  <w:num w:numId="17">
    <w:abstractNumId w:val="22"/>
  </w:num>
  <w:num w:numId="18">
    <w:abstractNumId w:val="20"/>
  </w:num>
  <w:num w:numId="19">
    <w:abstractNumId w:val="12"/>
  </w:num>
  <w:num w:numId="20">
    <w:abstractNumId w:val="11"/>
  </w:num>
  <w:num w:numId="21">
    <w:abstractNumId w:val="19"/>
  </w:num>
  <w:num w:numId="22">
    <w:abstractNumId w:val="23"/>
  </w:num>
  <w:num w:numId="23">
    <w:abstractNumId w:val="8"/>
  </w:num>
  <w:num w:numId="24">
    <w:abstractNumId w:val="7"/>
  </w:num>
  <w:num w:numId="25">
    <w:abstractNumId w:val="25"/>
  </w:num>
  <w:num w:numId="2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visionView w:inkAnnotation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ED49A5C2-EC63-408F-BA5C-A168E310F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Open Sans Light" w:hAnsi="Open Sans Light"/>
      <w:sz w:val="24"/>
    </w:rPr>
  </w:style>
  <w:style w:type="paragraph" w:styleId="Titre1">
    <w:name w:val="heading 1"/>
    <w:aliases w:val="Titre niv1"/>
    <w:basedOn w:val="Normal"/>
    <w:next w:val="Normal"/>
    <w:link w:val="Titre1Car"/>
    <w:uiPriority w:val="9"/>
    <w:qFormat/>
    <w:pPr>
      <w:keepNext/>
      <w:keepLines/>
      <w:pBdr>
        <w:top w:val="dashSmallGap" w:sz="12" w:space="1" w:color="auto"/>
      </w:pBdr>
      <w:spacing w:before="120" w:after="0"/>
      <w:jc w:val="center"/>
      <w:outlineLvl w:val="0"/>
    </w:pPr>
    <w:rPr>
      <w:rFonts w:ascii="Open Sans" w:eastAsiaTheme="majorEastAsia" w:hAnsi="Open Sans" w:cstheme="majorBidi"/>
      <w:b/>
      <w:szCs w:val="32"/>
    </w:rPr>
  </w:style>
  <w:style w:type="paragraph" w:styleId="Titre2">
    <w:name w:val="heading 2"/>
    <w:aliases w:val="Titre Tableau"/>
    <w:basedOn w:val="Titre1"/>
    <w:next w:val="Normal"/>
    <w:link w:val="Titre2Car"/>
    <w:uiPriority w:val="9"/>
    <w:unhideWhenUsed/>
    <w:qFormat/>
    <w:pPr>
      <w:pBdr>
        <w:top w:val="none" w:sz="0" w:space="0" w:color="auto"/>
      </w:pBdr>
      <w:jc w:val="left"/>
      <w:outlineLvl w:val="1"/>
    </w:pPr>
    <w:rPr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 w:after="0"/>
      <w:outlineLvl w:val="2"/>
    </w:pPr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1Car">
    <w:name w:val="Titre 1 Car"/>
    <w:aliases w:val="Titre niv1 Car"/>
    <w:basedOn w:val="Policepardfaut"/>
    <w:link w:val="Titre1"/>
    <w:uiPriority w:val="9"/>
    <w:rPr>
      <w:rFonts w:ascii="Open Sans" w:eastAsiaTheme="majorEastAsia" w:hAnsi="Open Sans" w:cstheme="majorBidi"/>
      <w:b/>
      <w:sz w:val="24"/>
      <w:szCs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">
    <w:name w:val="List Table 1 Light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2Car">
    <w:name w:val="Titre 2 Car"/>
    <w:aliases w:val="Titre Tableau Car"/>
    <w:basedOn w:val="Policepardfaut"/>
    <w:link w:val="Titre2"/>
    <w:uiPriority w:val="9"/>
    <w:rPr>
      <w:rFonts w:ascii="Open Sans" w:eastAsiaTheme="majorEastAsia" w:hAnsi="Open Sans" w:cstheme="majorBidi"/>
      <w:b/>
      <w:sz w:val="24"/>
      <w:szCs w:val="26"/>
    </w:rPr>
  </w:style>
  <w:style w:type="paragraph" w:customStyle="1" w:styleId="graphique">
    <w:name w:val="graphique"/>
    <w:basedOn w:val="Normal"/>
    <w:link w:val="graphiqueCar"/>
    <w:pPr>
      <w:spacing w:after="0" w:line="240" w:lineRule="auto"/>
    </w:pPr>
  </w:style>
  <w:style w:type="character" w:customStyle="1" w:styleId="graphiqueCar">
    <w:name w:val="graphique Car"/>
    <w:basedOn w:val="Policepardfaut"/>
    <w:link w:val="graphique"/>
  </w:style>
  <w:style w:type="character" w:customStyle="1" w:styleId="Titre3Car">
    <w:name w:val="Titre 3 Car"/>
    <w:basedOn w:val="Policepardfaut"/>
    <w:link w:val="Titre3"/>
    <w:uiPriority w:val="9"/>
    <w:rPr>
      <w:rFonts w:ascii="Open Sans" w:eastAsiaTheme="majorEastAsia" w:hAnsi="Open Sans" w:cstheme="majorBidi"/>
      <w:color w:val="000000" w:themeColor="text1"/>
      <w:sz w:val="20"/>
      <w:szCs w:val="24"/>
      <w:u w:val="single"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character" w:styleId="Accentuation">
    <w:name w:val="Emphasis"/>
    <w:basedOn w:val="Policepardfaut"/>
    <w:uiPriority w:val="20"/>
    <w:qFormat/>
    <w:rPr>
      <w:i w:val="0"/>
      <w:iCs/>
      <w:color w:val="FF0000"/>
    </w:rPr>
  </w:style>
  <w:style w:type="character" w:styleId="Accentuationintense">
    <w:name w:val="Intense Emphasis"/>
    <w:basedOn w:val="Policepardfaut"/>
    <w:uiPriority w:val="21"/>
    <w:qFormat/>
    <w:rPr>
      <w:i/>
      <w:iCs/>
      <w:color w:val="4472C4" w:themeColor="accent1"/>
    </w:rPr>
  </w:style>
  <w:style w:type="table" w:styleId="Grilledetableauclaire">
    <w:name w:val="Grid Table Light"/>
    <w:aliases w:val="monTableau"/>
    <w:basedOn w:val="Tableau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  <w:tblStylePr w:type="firstCol">
      <w:rPr>
        <w:b/>
      </w:rPr>
    </w:tblStylePr>
  </w:style>
  <w:style w:type="table" w:styleId="Tableausimple2">
    <w:name w:val="Plain Table 2"/>
    <w:basedOn w:val="Tableau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aragraphe2col">
    <w:name w:val="paragraphe 2 col"/>
    <w:basedOn w:val="Normal"/>
    <w:link w:val="paragraphe2colCar"/>
    <w:pPr>
      <w:spacing w:after="0" w:line="240" w:lineRule="auto"/>
      <w:jc w:val="both"/>
    </w:pPr>
    <w:rPr>
      <w:rFonts w:ascii="Microsoft JhengHei" w:hAnsi="Microsoft JhengHei"/>
      <w:sz w:val="20"/>
    </w:rPr>
  </w:style>
  <w:style w:type="character" w:customStyle="1" w:styleId="paragraphe2colCar">
    <w:name w:val="paragraphe 2 col Car"/>
    <w:basedOn w:val="Policepardfaut"/>
    <w:link w:val="paragraphe2col"/>
    <w:rPr>
      <w:rFonts w:ascii="Microsoft JhengHei" w:hAnsi="Microsoft JhengHei"/>
      <w:sz w:val="20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ccentuationlgr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Segoe UI" w:hAnsi="Segoe UI" w:cs="Segoe UI"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Pr>
      <w:rFonts w:ascii="Open Sans Light" w:hAnsi="Open Sans Light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Pr>
      <w:rFonts w:ascii="Open Sans Light" w:hAnsi="Open Sans Light"/>
      <w:b/>
      <w:bCs/>
      <w:sz w:val="20"/>
      <w:szCs w:val="2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Pr>
      <w:rFonts w:ascii="Open Sans Light" w:hAnsi="Open Sans Light"/>
      <w:i/>
      <w:iCs/>
      <w:color w:val="4472C4" w:themeColor="accent1"/>
    </w:rPr>
  </w:style>
  <w:style w:type="table" w:styleId="Tableausimple1">
    <w:name w:val="Plain Table 1"/>
    <w:basedOn w:val="Tableau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re4Car">
    <w:name w:val="Titre 4 Car"/>
    <w:basedOn w:val="Policepardfaut"/>
    <w:link w:val="Titre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1F3763" w:themeColor="accent1" w:themeShade="7F"/>
    </w:rPr>
  </w:style>
  <w:style w:type="table" w:styleId="Tableausimple4">
    <w:name w:val="Plain Table 4"/>
    <w:basedOn w:val="Tableau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58E30B-9D4E-4740-B421-EC1400C23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2315</TotalTime>
  <Pages>2</Pages>
  <Words>349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</dc:creator>
  <cp:keywords/>
  <dc:description/>
  <cp:lastModifiedBy>Guillaume D</cp:lastModifiedBy>
  <cp:revision>46</cp:revision>
  <cp:lastPrinted>2021-02-13T18:38:00Z</cp:lastPrinted>
  <dcterms:created xsi:type="dcterms:W3CDTF">2021-06-15T04:50:00Z</dcterms:created>
  <dcterms:modified xsi:type="dcterms:W3CDTF">2021-11-04T19:26:00Z</dcterms:modified>
</cp:coreProperties>
</file>