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4AC" w:rsidRDefault="009B67B4"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8854AC">
        <w:tc>
          <w:tcPr>
            <w:tcW w:w="2445" w:type="dxa"/>
          </w:tcPr>
          <w:p w:rsidR="008854AC" w:rsidRDefault="009B67B4">
            <w:r>
              <w:t>Localisation</w:t>
            </w:r>
          </w:p>
        </w:tc>
        <w:tc>
          <w:tcPr>
            <w:tcW w:w="2445" w:type="dxa"/>
          </w:tcPr>
          <w:p w:rsidR="008854AC" w:rsidRDefault="009B67B4">
            <w:r>
              <w:t>Rôle</w:t>
            </w:r>
          </w:p>
        </w:tc>
        <w:tc>
          <w:tcPr>
            <w:tcW w:w="2445" w:type="dxa"/>
          </w:tcPr>
          <w:p w:rsidR="008854AC" w:rsidRDefault="009B67B4">
            <w:r>
              <w:t>Quantité</w:t>
            </w:r>
          </w:p>
        </w:tc>
      </w:tr>
    </w:tbl>
    <w:p w:rsidR="008854AC" w:rsidRDefault="009B67B4">
      <w:r>
        <w:t xml:space="preserve">Aussi : les protéines avec lesquelles elle interagit, </w:t>
      </w:r>
    </w:p>
    <w:p w:rsidR="008854AC" w:rsidRDefault="009B67B4"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 w:rsidR="008854AC" w:rsidRDefault="009B67B4"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 w:rsidR="008854AC" w:rsidRDefault="009B67B4"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 w:rsidR="009A2E7C" w:rsidRDefault="009A2E7C">
      <w:r>
        <w:t>Tampons :</w:t>
      </w:r>
    </w:p>
    <w:p w:rsidR="008854AC" w:rsidRDefault="009B67B4">
      <w:pPr>
        <w:pStyle w:val="Titre2"/>
      </w:pPr>
      <w:r>
        <w:t>La localisation</w:t>
      </w:r>
    </w:p>
    <w:p w:rsidR="008854AC" w:rsidRDefault="009B67B4">
      <w:r>
        <w:t>La localisation d’une protéine peut être détecter :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utilisant une protéine chimérique fluorescence pour identifier la localisation d’une protéine.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isolant les organites cellulaires (noyau, mitochondries…) puis en vérifiant la présence de la protéine.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utilisation des anticorps.</w:t>
      </w:r>
    </w:p>
    <w:p w:rsidR="008854AC" w:rsidRDefault="009B67B4">
      <w:pPr>
        <w:pStyle w:val="Titre2"/>
      </w:pPr>
      <w:r>
        <w:t>Supprimer l’expression d’une protéine</w:t>
      </w:r>
    </w:p>
    <w:p w:rsidR="008854AC" w:rsidRDefault="009B67B4">
      <w:r>
        <w:t>Pour supprimer la présence d’une protéine, il est possible d’avoir recours à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L’utilisation un individu mutant avec un gène KO codant pour la protéine d’intérêt.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De l’ARN interfèrent qui s’hybride avec l’ARNm de la protéine d’intérêt. Il empêche sa synthèse par les ribosomes et conduit à sa destruction.</w:t>
      </w:r>
    </w:p>
    <w:p w:rsidR="008854AC" w:rsidRDefault="009B67B4">
      <w:pPr>
        <w:pStyle w:val="Titre2"/>
      </w:pPr>
      <w:r>
        <w:t>Dénaturer une protéine</w:t>
      </w:r>
    </w:p>
    <w:p w:rsidR="008854AC" w:rsidRDefault="009B67B4">
      <w:r>
        <w:t>Pour dénaturer (déplier) une protéine, il faut utiliser deux types de substances :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>Des agents réducteurs qui suppriment les ponts disulfures</w:t>
      </w:r>
      <w:r w:rsidR="001526F7">
        <w:t xml:space="preserve"> (e.g. DTT, </w:t>
      </w:r>
      <w:r w:rsidR="001526F7" w:rsidRPr="001526F7">
        <w:t>b</w:t>
      </w:r>
      <w:r w:rsidR="001526F7">
        <w:t>eta-</w:t>
      </w:r>
      <w:r w:rsidR="004321B9" w:rsidRPr="001526F7">
        <w:t>mercaptoéthanol</w:t>
      </w:r>
      <w:r w:rsidR="001526F7">
        <w:t>).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 xml:space="preserve">Des dénaturants de suppriment les liaisons non covalentes </w:t>
      </w:r>
      <w:r w:rsidR="001526F7">
        <w:t xml:space="preserve">de type </w:t>
      </w:r>
      <w:r>
        <w:t>hydrogène ou Van der Vaal</w:t>
      </w:r>
      <w:r w:rsidR="001526F7">
        <w:t>.</w:t>
      </w:r>
    </w:p>
    <w:p w:rsidR="001526F7" w:rsidRDefault="001526F7" w:rsidP="001526F7">
      <w:r>
        <w:t xml:space="preserve">Dénaturant couramment utilisé SDS, urée, </w:t>
      </w:r>
    </w:p>
    <w:p w:rsidR="008854AC" w:rsidRDefault="009B67B4">
      <w:pPr>
        <w:pStyle w:val="Titre2"/>
      </w:pPr>
      <w:r>
        <w:t>Concentration des protéines</w:t>
      </w:r>
    </w:p>
    <w:p w:rsidR="001526F7" w:rsidRPr="001526F7" w:rsidRDefault="001526F7" w:rsidP="001526F7">
      <w:pPr>
        <w:pStyle w:val="Titre3"/>
      </w:pPr>
      <w:r>
        <w:t>Méthode par absorbance (peu précise)</w:t>
      </w:r>
    </w:p>
    <w:p w:rsidR="008854AC" w:rsidRDefault="009B67B4">
      <w:r>
        <w:t>La concentration des protéines peut être mesurer en déterminant l’absorption des noyau phénol du tryptophane et de tyrosines à la longueur d’onde 280nm.</w:t>
      </w:r>
    </w:p>
    <w:p w:rsidR="001526F7" w:rsidRDefault="001526F7" w:rsidP="001526F7">
      <w:pPr>
        <w:pStyle w:val="Titre3"/>
      </w:pPr>
      <w:r>
        <w:t xml:space="preserve">Méthode </w:t>
      </w:r>
      <w:r w:rsidR="009A2E7C">
        <w:t>de Bradford (</w:t>
      </w:r>
      <w:r>
        <w:t xml:space="preserve">gamme </w:t>
      </w:r>
      <w:r w:rsidR="0095224E">
        <w:t xml:space="preserve">de </w:t>
      </w:r>
      <w:r>
        <w:t xml:space="preserve">BSA </w:t>
      </w:r>
      <w:r w:rsidR="009A2E7C">
        <w:t>colorée au bleu de Coomassie</w:t>
      </w:r>
      <w:r>
        <w:t>)</w:t>
      </w:r>
    </w:p>
    <w:p w:rsidR="001526F7" w:rsidRDefault="001526F7">
      <w:r>
        <w:t>La quantité de protéines est déterminée par une gamme de BSA, les protéines sont colorées avec du bleu de Coomassie.</w:t>
      </w:r>
      <w:r w:rsidR="00950A15">
        <w:t xml:space="preserve"> Le colorant réagit avec l’</w:t>
      </w:r>
      <w:r w:rsidR="00950A15" w:rsidRPr="00950A15">
        <w:t xml:space="preserve">arginine, </w:t>
      </w:r>
      <w:r w:rsidR="00950A15">
        <w:t>l’</w:t>
      </w:r>
      <w:r w:rsidR="00950A15" w:rsidRPr="00950A15">
        <w:t>histidine</w:t>
      </w:r>
      <w:r w:rsidR="00950A15">
        <w:t xml:space="preserve"> et la</w:t>
      </w:r>
      <w:r w:rsidR="00950A15" w:rsidRPr="00950A15">
        <w:t xml:space="preserve"> lysine</w:t>
      </w:r>
    </w:p>
    <w:p w:rsidR="00950A15" w:rsidRDefault="00950A15">
      <w:r>
        <w:t xml:space="preserve">Le dosage se fait à </w:t>
      </w:r>
      <w:r w:rsidRPr="00950A15">
        <w:t>595 nm</w:t>
      </w:r>
      <w:r>
        <w:t>.</w:t>
      </w:r>
    </w:p>
    <w:p w:rsidR="001526F7" w:rsidRDefault="001526F7">
      <w:r>
        <w:t xml:space="preserve">Attention incompatible avec le SDS </w:t>
      </w:r>
      <w:r w:rsidR="0095224E">
        <w:t>(</w:t>
      </w:r>
      <w:r>
        <w:t>même à faible concentration</w:t>
      </w:r>
      <w:r w:rsidR="0095224E">
        <w:t>), la présence de lipides, et d’acides nucléiques</w:t>
      </w:r>
      <w:r>
        <w:t>.</w:t>
      </w:r>
    </w:p>
    <w:p w:rsidR="009A2E7C" w:rsidRDefault="009A2E7C" w:rsidP="0095224E">
      <w:pPr>
        <w:pStyle w:val="Titre3"/>
        <w:rPr>
          <w:lang w:val="en-GB"/>
        </w:rPr>
      </w:pPr>
      <w:proofErr w:type="spellStart"/>
      <w:r w:rsidRPr="009A2E7C">
        <w:rPr>
          <w:lang w:val="en-GB"/>
        </w:rPr>
        <w:lastRenderedPageBreak/>
        <w:t>Méthode</w:t>
      </w:r>
      <w:proofErr w:type="spellEnd"/>
      <w:r w:rsidRPr="009A2E7C">
        <w:rPr>
          <w:lang w:val="en-GB"/>
        </w:rPr>
        <w:t xml:space="preserve"> </w:t>
      </w:r>
      <w:proofErr w:type="spellStart"/>
      <w:r w:rsidRPr="009A2E7C">
        <w:rPr>
          <w:lang w:val="en-GB"/>
        </w:rPr>
        <w:t>BioCinchoninic</w:t>
      </w:r>
      <w:proofErr w:type="spellEnd"/>
      <w:r w:rsidRPr="009A2E7C">
        <w:rPr>
          <w:lang w:val="en-GB"/>
        </w:rPr>
        <w:t xml:space="preserve"> acid Assay</w:t>
      </w:r>
      <w:r w:rsidR="0095224E">
        <w:rPr>
          <w:lang w:val="en-GB"/>
        </w:rPr>
        <w:t xml:space="preserve"> (BCA)</w:t>
      </w:r>
    </w:p>
    <w:p w:rsidR="009A2E7C" w:rsidRPr="00A47BED" w:rsidRDefault="009A2E7C">
      <w:r w:rsidRPr="009A2E7C">
        <w:t>Dosage colorimétrique des p</w:t>
      </w:r>
      <w:r>
        <w:t xml:space="preserve">rotéines </w:t>
      </w:r>
      <w:r w:rsidRPr="009A2E7C">
        <w:t>562 nm</w:t>
      </w:r>
      <w:r w:rsidR="00A47BED">
        <w:t>. La réaction se fait par la réaction de réduction du cuivre Cu</w:t>
      </w:r>
      <w:r w:rsidR="00A47BED" w:rsidRPr="00A47BED">
        <w:rPr>
          <w:vertAlign w:val="superscript"/>
        </w:rPr>
        <w:t>2+</w:t>
      </w:r>
      <w:r w:rsidR="00A47BED">
        <w:t xml:space="preserve"> en Cu</w:t>
      </w:r>
      <w:r w:rsidR="00A47BED" w:rsidRPr="00A47BED">
        <w:rPr>
          <w:vertAlign w:val="superscript"/>
        </w:rPr>
        <w:t>+</w:t>
      </w:r>
      <w:r w:rsidR="00A47BED">
        <w:t>. Plus les protéines sont concentrées plus la couleur vire du bleu vers le gris.</w:t>
      </w:r>
    </w:p>
    <w:p w:rsidR="0095224E" w:rsidRPr="009A2E7C" w:rsidRDefault="0095224E">
      <w:r>
        <w:t xml:space="preserve">Attention incompatible avec </w:t>
      </w:r>
      <w:r w:rsidRPr="0095224E">
        <w:t xml:space="preserve">des agents réducteurs </w:t>
      </w:r>
      <w:r>
        <w:t xml:space="preserve">et </w:t>
      </w:r>
      <w:proofErr w:type="spellStart"/>
      <w:r w:rsidRPr="0095224E">
        <w:t>chélatants</w:t>
      </w:r>
      <w:proofErr w:type="spellEnd"/>
      <w:r>
        <w:t>.</w:t>
      </w:r>
    </w:p>
    <w:p w:rsidR="008854AC" w:rsidRPr="009A2E7C" w:rsidRDefault="009B67B4">
      <w:pPr>
        <w:pStyle w:val="Titre2"/>
      </w:pPr>
      <w:r w:rsidRPr="009A2E7C">
        <w:t>Chromatographie</w:t>
      </w:r>
    </w:p>
    <w:p w:rsidR="008854AC" w:rsidRDefault="009B67B4">
      <w:r>
        <w:t>La chromatographie est un ensemble de méthodes qui permet de séparer les protéines en fonction de leurs propriétés chimiques. Il existe quatre types de chromatographie :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 xml:space="preserve">d’exclusion qui sépare en fonction de la taille et de la forme appelé poids moléculaire en kDa. 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D’affinité qui filtre par affinité avec un ligand. Les composés se détachent progressivement (élués).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D’échange d’ions. Des billes chargées retiennent les molécules par leur charge. Elles sont ensuite éluées progressivement par leur charge.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Sur couche mince.</w:t>
      </w:r>
    </w:p>
    <w:p w:rsidR="008854AC" w:rsidRDefault="009B67B4"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 w:rsidR="008854AC" w:rsidRDefault="009B67B4">
      <w:pPr>
        <w:pStyle w:val="Titre3"/>
      </w:pPr>
      <w:r>
        <w:t>Chromatographie d’exclusion</w:t>
      </w:r>
    </w:p>
    <w:p w:rsidR="008854AC" w:rsidRDefault="009B67B4">
      <w:r>
        <w:t xml:space="preserve">Les molécules passent dans des billes percées. Plus la molécule est grosse plus vite elle sortira. On a une relation linéaire entre log de la taille en fonction du volume élué. </w:t>
      </w:r>
    </w:p>
    <w:p w:rsidR="008854AC" w:rsidRDefault="0000000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 w:rsidR="009B67B4">
        <w:rPr>
          <w:sz w:val="28"/>
          <w:szCs w:val="28"/>
        </w:rPr>
        <w:t xml:space="preserve"> </w:t>
      </w:r>
      <w:r w:rsidR="009B67B4">
        <w:t>volume d’élution des plus grosses molécules, celles qui ne peuvent pas entrer dans les billes.</w:t>
      </w:r>
    </w:p>
    <w:p w:rsidR="008854AC" w:rsidRDefault="009B67B4"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8854AC" w:rsidRDefault="009B67B4">
      <w:pPr>
        <w:pStyle w:val="Titre3"/>
      </w:pPr>
      <w:r>
        <w:t>Chromatographie d’échanges d’ions </w:t>
      </w:r>
    </w:p>
    <w:p w:rsidR="008854AC" w:rsidRDefault="009B67B4"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Hydrogènes</w:t>
            </w:r>
          </w:p>
        </w:tc>
        <w:tc>
          <w:tcPr>
            <w:tcW w:w="3668" w:type="dxa"/>
          </w:tcPr>
          <w:p w:rsidR="008854AC" w:rsidRDefault="009B67B4"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 w:rsidR="008854AC" w:rsidRDefault="009B67B4">
      <w:pPr>
        <w:pStyle w:val="Titre2"/>
      </w:pPr>
      <w:r>
        <w:t>Électrophorèse</w:t>
      </w:r>
    </w:p>
    <w:p w:rsidR="008854AC" w:rsidRDefault="009B67B4">
      <w:r>
        <w:t>Il existe plusieurs types d’électrophorèse :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>Par focalisation isoélectrique (IEF) sépare par la charge électrique.</w:t>
      </w:r>
    </w:p>
    <w:p w:rsidR="008854AC" w:rsidRDefault="009B67B4"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8854AC">
        <w:tc>
          <w:tcPr>
            <w:tcW w:w="4106" w:type="dxa"/>
          </w:tcPr>
          <w:p w:rsidR="008854AC" w:rsidRDefault="009B67B4"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 w:rsidR="008854AC" w:rsidRDefault="009B67B4">
            <w:r>
              <w:t>par la taille.</w:t>
            </w:r>
          </w:p>
        </w:tc>
      </w:tr>
    </w:tbl>
    <w:p w:rsidR="008854AC" w:rsidRDefault="009B67B4">
      <w:r>
        <w:t xml:space="preserve">Un tampon de charge </w:t>
      </w:r>
      <w:proofErr w:type="spellStart"/>
      <w:r>
        <w:t>laemmli</w:t>
      </w:r>
      <w:proofErr w:type="spellEnd"/>
      <w:r>
        <w:t xml:space="preserve"> est ajouté aux protéines pour suivre le front de migration. </w:t>
      </w:r>
    </w:p>
    <w:p w:rsidR="008854AC" w:rsidRDefault="009B67B4">
      <w:pPr>
        <w:pStyle w:val="Titre2"/>
      </w:pPr>
      <w:r>
        <w:t>Révélation des protéines</w:t>
      </w:r>
    </w:p>
    <w:p w:rsidR="008854AC" w:rsidRDefault="009B67B4"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 w:rsidR="008854AC">
        <w:tc>
          <w:tcPr>
            <w:tcW w:w="4248" w:type="dxa"/>
          </w:tcPr>
          <w:p w:rsidR="008854AC" w:rsidRDefault="009B67B4">
            <w:r>
              <w:t>Bleu de Coomassie (non spécifique)</w:t>
            </w:r>
          </w:p>
        </w:tc>
        <w:tc>
          <w:tcPr>
            <w:tcW w:w="3087" w:type="dxa"/>
          </w:tcPr>
          <w:p w:rsidR="008854AC" w:rsidRDefault="009B67B4">
            <w:r>
              <w:t>Anticorps (spécifique)</w:t>
            </w:r>
          </w:p>
        </w:tc>
      </w:tr>
    </w:tbl>
    <w:p w:rsidR="008854AC" w:rsidRDefault="009B67B4">
      <w:r>
        <w:rPr>
          <w:rStyle w:val="Accentuation"/>
        </w:rPr>
        <w:t>Épitope</w:t>
      </w:r>
      <w:r>
        <w:t xml:space="preserve"> région de fixation de l’anticorps.</w:t>
      </w:r>
    </w:p>
    <w:p w:rsidR="008854AC" w:rsidRDefault="009B67B4">
      <w:pPr>
        <w:pStyle w:val="Titre2"/>
      </w:pPr>
      <w:r>
        <w:t>Purification de protéines</w:t>
      </w:r>
    </w:p>
    <w:p w:rsidR="008854AC" w:rsidRDefault="009B67B4"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 w:rsidR="008854AC" w:rsidRDefault="009B67B4">
      <w:pPr>
        <w:pStyle w:val="Titre3"/>
      </w:pPr>
      <w:r>
        <w:lastRenderedPageBreak/>
        <w:t>Isoler une protéine d’intérêt</w:t>
      </w:r>
    </w:p>
    <w:p w:rsidR="008854AC" w:rsidRDefault="009B67B4">
      <w:r>
        <w:t>Un anticorps dirigé vers une des protéines est associé à des billes d’agarose. La solution composée des billes et des enzymes sont centrifugées. Le complexe, plus lourd, se retrouve au fond du tube.</w:t>
      </w:r>
    </w:p>
    <w:p w:rsidR="008854AC" w:rsidRDefault="009B67B4">
      <w:pPr>
        <w:pStyle w:val="Titre2"/>
      </w:pPr>
      <w:r>
        <w:t>Spectrométrie de masse</w:t>
      </w:r>
    </w:p>
    <w:p w:rsidR="008854AC" w:rsidRDefault="009B67B4">
      <w:r>
        <w:t>La spectrométrie permet de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Quantifier une protéine.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Inventaire des protéines présentes.</w:t>
      </w:r>
    </w:p>
    <w:p w:rsidR="008854AC" w:rsidRDefault="009B67B4">
      <w:pPr>
        <w:pStyle w:val="Titre2"/>
      </w:pPr>
      <w:r>
        <w:t>Identification d’une protéine d’intérêt</w:t>
      </w:r>
    </w:p>
    <w:p w:rsidR="008854AC" w:rsidRDefault="009B67B4"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Immunoessaie</w:t>
            </w:r>
          </w:p>
        </w:tc>
        <w:tc>
          <w:tcPr>
            <w:tcW w:w="3668" w:type="dxa"/>
          </w:tcPr>
          <w:p w:rsidR="008854AC" w:rsidRDefault="009B67B4">
            <w:r>
              <w:t>Western blot</w:t>
            </w:r>
          </w:p>
        </w:tc>
      </w:tr>
    </w:tbl>
    <w:p w:rsidR="008854AC" w:rsidRDefault="009B67B4">
      <w:r>
        <w:rPr>
          <w:rStyle w:val="Accentuation"/>
        </w:rPr>
        <w:t>Attention</w:t>
      </w:r>
      <w:r>
        <w:t xml:space="preserve"> ces méthodes permettent de réaliser une quantification mais elles ont tendance à </w:t>
      </w:r>
    </w:p>
    <w:p w:rsidR="008854AC" w:rsidRDefault="009B67B4">
      <w:pPr>
        <w:pStyle w:val="Titre3"/>
      </w:pPr>
      <w:proofErr w:type="spellStart"/>
      <w:r>
        <w:t>Westernblot</w:t>
      </w:r>
      <w:proofErr w:type="spellEnd"/>
    </w:p>
    <w:p w:rsidR="008854AC" w:rsidRDefault="009B67B4"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Électrophorèse sur gel.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Transfert sur une membrane.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Coloration de la protéine d’intérêt grâce à des anticorps.</w:t>
      </w:r>
    </w:p>
    <w:p w:rsidR="008854AC" w:rsidRDefault="009B67B4"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Semi sec</w:t>
            </w:r>
          </w:p>
        </w:tc>
        <w:tc>
          <w:tcPr>
            <w:tcW w:w="3668" w:type="dxa"/>
          </w:tcPr>
          <w:p w:rsidR="008854AC" w:rsidRDefault="009B67B4">
            <w:r>
              <w:t>Humide</w:t>
            </w:r>
          </w:p>
        </w:tc>
      </w:tr>
    </w:tbl>
    <w:p w:rsidR="008854AC" w:rsidRDefault="009B67B4">
      <w:pPr>
        <w:pStyle w:val="Titre3"/>
      </w:pPr>
      <w:proofErr w:type="spellStart"/>
      <w:r>
        <w:t>Immunoessaie</w:t>
      </w:r>
      <w:proofErr w:type="spellEnd"/>
    </w:p>
    <w:p w:rsidR="008854AC" w:rsidRDefault="009B67B4">
      <w:proofErr w:type="spellStart"/>
      <w:r>
        <w:t>Immunoessaie</w:t>
      </w:r>
      <w:proofErr w:type="spellEnd"/>
      <w:r>
        <w:t xml:space="preserve"> ou technique </w:t>
      </w:r>
      <w:proofErr w:type="spellStart"/>
      <w:r>
        <w:t>immuno</w:t>
      </w:r>
      <w:proofErr w:type="spellEnd"/>
      <w:r>
        <w:t>-enzymatique (appelé aussi ELISA) permet de déterminer la présence et la quantification. Cette méthode s'appuie sur la reconnaissance entre un anticorps et un antigène.</w:t>
      </w:r>
    </w:p>
    <w:p w:rsidR="008854AC" w:rsidRDefault="009B67B4">
      <w:r>
        <w:t>Avantage : test simple, facile d'emploi et peu coûteux</w:t>
      </w:r>
    </w:p>
    <w:p w:rsidR="008854AC" w:rsidRDefault="009B67B4">
      <w:r>
        <w:t>Inconvénients : ça réalisation dépend des anticorps disponibles sur le marché.</w:t>
      </w:r>
    </w:p>
    <w:p w:rsidR="008854AC" w:rsidRDefault="009B67B4">
      <w:pPr>
        <w:pStyle w:val="Titre2"/>
      </w:pPr>
      <w:r>
        <w:t>Mesurer l’activité d’une enzyme</w:t>
      </w:r>
    </w:p>
    <w:p w:rsidR="008854AC" w:rsidRDefault="009B67B4"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Apparition du produit</w:t>
            </w:r>
          </w:p>
        </w:tc>
        <w:tc>
          <w:tcPr>
            <w:tcW w:w="3668" w:type="dxa"/>
          </w:tcPr>
          <w:p w:rsidR="008854AC" w:rsidRDefault="009B67B4">
            <w:r>
              <w:t>Disparition du substrat</w:t>
            </w:r>
          </w:p>
        </w:tc>
      </w:tr>
    </w:tbl>
    <w:p w:rsidR="008854AC" w:rsidRDefault="009B67B4"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 w:rsidR="008854AC" w:rsidRDefault="009B67B4"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 w:rsidR="008854AC" w:rsidRDefault="009B67B4">
      <w:pPr>
        <w:pStyle w:val="Titre2"/>
      </w:pPr>
      <w:r>
        <w:t>Exemples d’utilisation de l’analyse par spectrométrie</w:t>
      </w:r>
    </w:p>
    <w:p w:rsidR="008854AC" w:rsidRDefault="009B67B4">
      <w:r>
        <w:t xml:space="preserve">Identification de </w:t>
      </w:r>
    </w:p>
    <w:p w:rsidR="008854AC" w:rsidRDefault="009B67B4">
      <w:r>
        <w:t>Protéine identifier grâce aux anticorps</w:t>
      </w:r>
    </w:p>
    <w:p w:rsidR="008854AC" w:rsidRDefault="009B67B4">
      <w:pPr>
        <w:pStyle w:val="Paragraphedeliste"/>
        <w:numPr>
          <w:ilvl w:val="0"/>
          <w:numId w:val="7"/>
        </w:numPr>
      </w:pPr>
      <w:r>
        <w:t>Fixation de la protéine d’intérêt en condition qui favorise les interactions avec les protéines associés.</w:t>
      </w:r>
    </w:p>
    <w:p w:rsidR="008854AC" w:rsidRDefault="009B67B4" w:rsidP="008F4434">
      <w:pPr>
        <w:pStyle w:val="Paragraphedeliste"/>
        <w:numPr>
          <w:ilvl w:val="0"/>
          <w:numId w:val="7"/>
        </w:numPr>
      </w:pPr>
      <w:r>
        <w:t xml:space="preserve">Détachement et analyse </w:t>
      </w:r>
      <w:r w:rsidR="00CE4993">
        <w:t>protéines associées</w:t>
      </w:r>
      <w:r>
        <w:t>.</w:t>
      </w:r>
    </w:p>
    <w:p w:rsidR="008854AC" w:rsidRDefault="009B67B4">
      <w:r>
        <w:t xml:space="preserve">Un groupe (pool) sélectionne les protéines d’intérêt par leur interaction avec </w:t>
      </w:r>
    </w:p>
    <w:p w:rsidR="008854AC" w:rsidRDefault="009B67B4">
      <w:r>
        <w:t>Les principaux problèmes de l’analyse protéique sont que :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 nombre de type de protéines différents.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La grande variabilité dans les volumes entre les protéines. Leur quantité peut variée de l’ordre de 10</w:t>
      </w:r>
      <w:r>
        <w:rPr>
          <w:vertAlign w:val="superscript"/>
        </w:rPr>
        <w:t>6</w:t>
      </w:r>
      <w:r>
        <w:t>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Les interactions avec les autres molécules :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modifications post traductionnelles.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autres protéines notamment dans le cadre de la formation de complexes protéiques.</w:t>
      </w:r>
    </w:p>
    <w:p w:rsidR="008854AC" w:rsidRDefault="009B67B4">
      <w:r>
        <w:rPr>
          <w:u w:val="single"/>
        </w:rPr>
        <w:lastRenderedPageBreak/>
        <w:t>Rmq :</w:t>
      </w:r>
      <w:r>
        <w:t xml:space="preserve"> Il peut être également intéressant de connaître la localisation des protéines et leur conformation.</w:t>
      </w:r>
    </w:p>
    <w:p w:rsidR="008854AC" w:rsidRDefault="009B67B4">
      <w:pPr>
        <w:pStyle w:val="Paragraphedeliste"/>
        <w:numPr>
          <w:ilvl w:val="0"/>
          <w:numId w:val="8"/>
        </w:numPr>
      </w:pPr>
      <w:r>
        <w:t>Fragmentation et purification.</w:t>
      </w:r>
    </w:p>
    <w:p w:rsidR="008854AC" w:rsidRDefault="009B67B4">
      <w:r>
        <w:t>Définir la question pour adapter le protocole technique (le choix de la chromatographie illustre particulièrement ce fait). Grâce aux différences de propriétés chimique</w:t>
      </w:r>
    </w:p>
    <w:p w:rsidR="008854AC" w:rsidRDefault="001C7C7F" w:rsidP="001C7C7F">
      <w:pPr>
        <w:pStyle w:val="Titre2"/>
      </w:pPr>
      <w:r>
        <w:t>Réduction et alkylation</w:t>
      </w:r>
    </w:p>
    <w:p w:rsidR="001C7C7F" w:rsidRDefault="001C7C7F" w:rsidP="001C7C7F">
      <w:r>
        <w:t>Il peut être intéressant de linéariser une protéine et d’empêcher la formation de ponts disulfures entre les cystéines. Pour se faire, on a généralement recours à :</w:t>
      </w:r>
    </w:p>
    <w:p w:rsidR="001C7C7F" w:rsidRDefault="001C7C7F" w:rsidP="001C7C7F">
      <w:pPr>
        <w:pStyle w:val="Paragraphedeliste"/>
        <w:numPr>
          <w:ilvl w:val="0"/>
          <w:numId w:val="10"/>
        </w:numPr>
      </w:pPr>
      <w:r>
        <w:t>Un réducteur (DTT agent fort qui peut altérer les chaines peptidiques) ou TECP agent faible).</w:t>
      </w:r>
    </w:p>
    <w:p w:rsidR="001C7C7F" w:rsidRPr="001C7C7F" w:rsidRDefault="001C7C7F" w:rsidP="001C7C7F">
      <w:pPr>
        <w:pStyle w:val="Paragraphedeliste"/>
        <w:numPr>
          <w:ilvl w:val="0"/>
          <w:numId w:val="10"/>
        </w:numPr>
      </w:pPr>
      <w:r>
        <w:t>Une substance qui réagit avec les atomes de souffres comme l’</w:t>
      </w:r>
      <w:proofErr w:type="spellStart"/>
      <w:r>
        <w:t>iodoacétamide</w:t>
      </w:r>
      <w:proofErr w:type="spellEnd"/>
      <w:r>
        <w:t xml:space="preserve"> qui </w:t>
      </w:r>
      <w:r w:rsidR="008F4434">
        <w:t>provoque une</w:t>
      </w:r>
      <w:r>
        <w:t xml:space="preserve"> alkyl</w:t>
      </w:r>
      <w:r w:rsidR="008F4434">
        <w:t>ation</w:t>
      </w:r>
      <w:r>
        <w:t>.</w:t>
      </w:r>
    </w:p>
    <w:sectPr w:rsidR="001C7C7F" w:rsidRPr="001C7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F63" w:rsidRDefault="00913F63">
      <w:pPr>
        <w:spacing w:after="0" w:line="240" w:lineRule="auto"/>
      </w:pPr>
      <w:r>
        <w:separator/>
      </w:r>
    </w:p>
  </w:endnote>
  <w:endnote w:type="continuationSeparator" w:id="0">
    <w:p w:rsidR="00913F63" w:rsidRDefault="009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8854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9B67B4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8854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F63" w:rsidRDefault="00913F63">
      <w:pPr>
        <w:spacing w:after="0" w:line="240" w:lineRule="auto"/>
      </w:pPr>
      <w:r>
        <w:separator/>
      </w:r>
    </w:p>
  </w:footnote>
  <w:footnote w:type="continuationSeparator" w:id="0">
    <w:p w:rsidR="00913F63" w:rsidRDefault="0091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8854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8854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4AC" w:rsidRDefault="00885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CF"/>
    <w:multiLevelType w:val="hybridMultilevel"/>
    <w:tmpl w:val="39ACC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7FC0"/>
    <w:multiLevelType w:val="hybridMultilevel"/>
    <w:tmpl w:val="74A0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7A1"/>
    <w:multiLevelType w:val="hybridMultilevel"/>
    <w:tmpl w:val="695C6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11803"/>
    <w:multiLevelType w:val="hybridMultilevel"/>
    <w:tmpl w:val="A7A63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1203">
    <w:abstractNumId w:val="0"/>
  </w:num>
  <w:num w:numId="2" w16cid:durableId="1556040224">
    <w:abstractNumId w:val="5"/>
  </w:num>
  <w:num w:numId="3" w16cid:durableId="271909470">
    <w:abstractNumId w:val="6"/>
  </w:num>
  <w:num w:numId="4" w16cid:durableId="199440304">
    <w:abstractNumId w:val="9"/>
  </w:num>
  <w:num w:numId="5" w16cid:durableId="1893491983">
    <w:abstractNumId w:val="3"/>
  </w:num>
  <w:num w:numId="6" w16cid:durableId="2069956727">
    <w:abstractNumId w:val="7"/>
  </w:num>
  <w:num w:numId="7" w16cid:durableId="1253078881">
    <w:abstractNumId w:val="8"/>
  </w:num>
  <w:num w:numId="8" w16cid:durableId="1594820859">
    <w:abstractNumId w:val="1"/>
  </w:num>
  <w:num w:numId="9" w16cid:durableId="756748138">
    <w:abstractNumId w:val="4"/>
  </w:num>
  <w:num w:numId="10" w16cid:durableId="11588131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AC"/>
    <w:rsid w:val="000D4D03"/>
    <w:rsid w:val="000E4D33"/>
    <w:rsid w:val="00137FB1"/>
    <w:rsid w:val="001526F7"/>
    <w:rsid w:val="001C7C7F"/>
    <w:rsid w:val="001E38D3"/>
    <w:rsid w:val="002E055E"/>
    <w:rsid w:val="004321B9"/>
    <w:rsid w:val="008854AC"/>
    <w:rsid w:val="008F4434"/>
    <w:rsid w:val="00913F63"/>
    <w:rsid w:val="00950A15"/>
    <w:rsid w:val="0095224E"/>
    <w:rsid w:val="009A2E7C"/>
    <w:rsid w:val="009B67B4"/>
    <w:rsid w:val="00A47BED"/>
    <w:rsid w:val="00CE4993"/>
    <w:rsid w:val="00D74640"/>
    <w:rsid w:val="00F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4F589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1A02-EDA2-4D89-90E7-C9B491D5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4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87</cp:revision>
  <cp:lastPrinted>2021-02-13T18:38:00Z</cp:lastPrinted>
  <dcterms:created xsi:type="dcterms:W3CDTF">2021-06-15T04:50:00Z</dcterms:created>
  <dcterms:modified xsi:type="dcterms:W3CDTF">2023-05-01T18:51:00Z</dcterms:modified>
</cp:coreProperties>
</file>