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et de l’eau sous forme de NADPH et de l’ATP pour les besoins de la plante et la fixation du carbone.</w:t>
      </w:r>
    </w:p>
    <w:p>
      <w:pPr>
        <w:pStyle w:val="Paragraphedeliste"/>
        <w:numPr>
          <w:ilvl w:val="0"/>
          <w:numId w:val="17"/>
        </w:numPr>
      </w:pPr>
      <w:r>
        <w:t xml:space="preserve">Le cycle de fixation du carbone ou de fabrication des glucides appelé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Grâce à l’énergie lumineuse, elles perdent un électron qu’elles regagner en oxydant une molécule d’eau ou en plastocyanine.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Supérieures à 380nm. En dessous, la lumière est filtrée par l’atmosphère et est néfaste pour les cellules.</w:t>
      </w:r>
    </w:p>
    <w:p>
      <w:pPr>
        <w:pStyle w:val="Paragraphedeliste"/>
        <w:numPr>
          <w:ilvl w:val="0"/>
          <w:numId w:val="16"/>
        </w:numPr>
      </w:pPr>
      <w:r>
        <w:t>Inférieures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d’absorber que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De 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de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la formation de molécules oxydantes dangereuses dû à l’interaction entre les photons et l’oxygène qui peuvent.</w:t>
      </w:r>
    </w:p>
    <w:p>
      <w:r>
        <w:t>Les caroténoïdes sont des molécules lipophiles présentes dans les membranes des thylakoïdes. Elles sont fabriquées dans les plastes à partir de terpènes.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càd en cédant un électron.</w:t>
      </w:r>
    </w:p>
    <w:p>
      <w:pPr>
        <w:rPr>
          <w:rFonts w:eastAsia="Microsoft JhengHei"/>
        </w:rPr>
      </w:pPr>
      <w:r>
        <w:rPr>
          <w:rFonts w:eastAsia="Microsoft JhengHei"/>
          <w:color w:val="FF0000"/>
        </w:rPr>
        <w:t xml:space="preserve">Fluorescent </w:t>
      </w:r>
      <w:r>
        <w:rPr>
          <w:rFonts w:eastAsia="Microsoft JhengHei"/>
        </w:rPr>
        <w:t>produit de la lumière.</w:t>
      </w:r>
    </w:p>
    <w:p>
      <w:pPr>
        <w:rPr>
          <w:rFonts w:eastAsia="Microsoft JhengHei"/>
        </w:rPr>
      </w:pPr>
      <w:r>
        <w:rPr>
          <w:rFonts w:eastAsia="Microsoft JhengHei"/>
          <w:color w:val="FF0000"/>
        </w:rPr>
        <w:t xml:space="preserve">Phosphorescence </w:t>
      </w:r>
      <w:r>
        <w:rPr>
          <w:rFonts w:eastAsia="Microsoft JhengHei"/>
        </w:rPr>
        <w:t>restitue l’énergie lumineuse sous un</w:t>
      </w:r>
      <w:r>
        <w:rPr>
          <w:rFonts w:eastAsia="Microsoft JhengHei"/>
        </w:rPr>
        <w:t xml:space="preserve">e autre </w:t>
      </w:r>
      <w:r>
        <w:rPr>
          <w:rFonts w:eastAsia="Microsoft JhengHei"/>
        </w:rPr>
        <w:t xml:space="preserve">fréquence </w:t>
      </w:r>
      <w:r>
        <w:rPr>
          <w:rFonts w:eastAsia="Microsoft JhengHei"/>
        </w:rPr>
        <w:t xml:space="preserve">généralement </w:t>
      </w:r>
      <w:r>
        <w:rPr>
          <w:rFonts w:eastAsia="Microsoft JhengHei"/>
        </w:rPr>
        <w:t>visible.</w:t>
      </w:r>
    </w:p>
    <w:p>
      <w:r>
        <w:t>C’est parce que la chlorophylle est associée à d’autres protéines dans la cellule qu’elle n’émet pas de lumière.</w:t>
      </w:r>
    </w:p>
    <w:p>
      <w:pPr>
        <w:pStyle w:val="Titre2"/>
      </w:pPr>
      <w:r>
        <w:t>Fonctionnement de la phase photochimique</w:t>
      </w:r>
    </w:p>
    <w:p>
      <w:r>
        <w:t>La photosynthèse se déroule d’abord, dans le photosystème II où a lieu la production du gradient de H</w:t>
      </w:r>
      <w:r>
        <w:rPr>
          <w:vertAlign w:val="superscript"/>
        </w:rPr>
        <w:t xml:space="preserve">+ </w:t>
      </w:r>
      <w:r>
        <w:t>utilisé notamment pour la chimiosmose de l’ATP.</w:t>
      </w:r>
    </w:p>
    <w:p>
      <w:pPr>
        <w:pStyle w:val="Paragraphedeliste"/>
        <w:numPr>
          <w:ilvl w:val="0"/>
          <w:numId w:val="11"/>
        </w:numPr>
      </w:pPr>
      <w:r>
        <w:t>Excitation des pigments par la lumière. L’énergie se propage vers le complexe du centre excitateur.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La lyse de l’eau a lieu dans la lumière des thylakoïdes. </w:t>
      </w:r>
      <w:r>
        <w:rPr>
          <w:u w:val="single"/>
        </w:rPr>
        <w:t>Rmq :</w:t>
      </w:r>
      <w:r>
        <w:t xml:space="preserve"> P680</w:t>
      </w:r>
      <w:r>
        <w:rPr>
          <w:vertAlign w:val="superscript"/>
        </w:rPr>
        <w:t>+</w:t>
      </w:r>
      <w:r>
        <w:t xml:space="preserve"> est l’oxydant biologique le plus fort. Le centre accepte successivement 4 électrons pour oxyder l’O</w:t>
      </w:r>
      <w:r>
        <w:rPr>
          <w:vertAlign w:val="subscript"/>
        </w:rPr>
        <w:t>2</w:t>
      </w:r>
      <w:r>
        <w:t>.</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xml:space="preserve">), </w:t>
      </w:r>
      <w:r>
        <w:t xml:space="preserve">puis d’un complexe de cytochromes. </w:t>
      </w:r>
      <w:r>
        <w:rPr>
          <w:u w:val="single"/>
        </w:rPr>
        <w:t>Rmq :</w:t>
      </w:r>
      <w:r>
        <w:t xml:space="preserve"> les cytochromes sont aussi appelés cycle Q et réalise le transfert de H</w:t>
      </w:r>
      <w:r>
        <w:rPr>
          <w:vertAlign w:val="superscript"/>
        </w:rPr>
        <w:t xml:space="preserve">+ </w:t>
      </w:r>
      <w:r>
        <w:t>du stroma vers la lumière des thylakoïdes.</w:t>
      </w:r>
    </w:p>
    <w:p>
      <w:pPr>
        <w:pStyle w:val="Paragraphedeliste"/>
        <w:numPr>
          <w:ilvl w:val="0"/>
          <w:numId w:val="11"/>
        </w:numPr>
      </w:pPr>
      <w:r>
        <w:t>La plastocyanine (Pc), une molécule mobile, transfert les électrons au photosystème I.</w:t>
      </w:r>
    </w:p>
    <w:p>
      <w:pPr>
        <w:ind w:left="360"/>
      </w:pPr>
      <w:r>
        <w:t>Dans le photosystème I pour produire du NADPH :</w:t>
      </w:r>
    </w:p>
    <w:p>
      <w:pPr>
        <w:pStyle w:val="Paragraphedeliste"/>
        <w:numPr>
          <w:ilvl w:val="0"/>
          <w:numId w:val="11"/>
        </w:numPr>
      </w:pPr>
      <w:r>
        <w:t xml:space="preserve">L’énergie lumineuse active PSI de la même façon que PSII pour remonter l’énergie de l’électron. </w:t>
      </w:r>
    </w:p>
    <w:p>
      <w:pPr>
        <w:pStyle w:val="Paragraphedeliste"/>
        <w:numPr>
          <w:ilvl w:val="0"/>
          <w:numId w:val="11"/>
        </w:numPr>
      </w:pPr>
      <w:r>
        <w:t>L’électron est transféré à la ferrédoxine (</w:t>
      </w:r>
      <w:proofErr w:type="spellStart"/>
      <w:r>
        <w:t>Fd</w:t>
      </w:r>
      <w:proofErr w:type="spellEnd"/>
      <w:r>
        <w:t>) puis à l’NADP</w:t>
      </w:r>
      <w:r>
        <w:rPr>
          <w:vertAlign w:val="superscript"/>
        </w:rPr>
        <w:t>+</w:t>
      </w:r>
      <w:r>
        <w:t xml:space="preserve"> réductase qui catalyse le NADP</w:t>
      </w:r>
      <w:r>
        <w:rPr>
          <w:vertAlign w:val="superscript"/>
        </w:rPr>
        <w:t xml:space="preserve">+ </w:t>
      </w:r>
      <w:r>
        <w:t>en NADPH au niveau du stroma. Cela contribue également à la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tbl>
      <w:tblPr>
        <w:tblStyle w:val="Grilledetableauclaire"/>
        <w:tblW w:w="0" w:type="auto"/>
        <w:tblLook w:val="0400" w:firstRow="0" w:lastRow="0" w:firstColumn="0" w:lastColumn="0" w:noHBand="0" w:noVBand="1"/>
      </w:tblPr>
      <w:tblGrid>
        <w:gridCol w:w="7335"/>
      </w:tblGrid>
      <w:tr>
        <w:trPr>
          <w:trHeight w:val="3938"/>
        </w:trPr>
        <w:tc>
          <w:tcPr>
            <w:tcW w:w="7335" w:type="dxa"/>
          </w:tcPr>
          <w:p>
            <w:pPr>
              <w:rPr>
                <w:rFonts w:eastAsiaTheme="minorEastAsia"/>
                <w:b/>
              </w:rPr>
            </w:pPr>
            <w:r>
              <w:rPr>
                <w:rFonts w:eastAsiaTheme="minorEastAsia"/>
              </w:rPr>
              <w:t>Rendement de la phosphorylation acyclique</w:t>
            </w:r>
          </w:p>
          <w:p>
            <w:pPr>
              <w:rPr>
                <w:rFonts w:eastAsiaTheme="minorEastAsia"/>
              </w:rPr>
            </w:pPr>
            <w:r>
              <w:rPr>
                <w:rFonts w:eastAsiaTheme="minorEastAsia"/>
              </w:rPr>
              <w:t>Cela correspond à l’ATP produit par nombre d’électrons générer au départ.</w:t>
            </w:r>
          </w:p>
          <w:p>
            <w:pPr>
              <w:pStyle w:val="Paragraphedeliste"/>
              <w:numPr>
                <w:ilvl w:val="0"/>
                <w:numId w:val="32"/>
              </w:numPr>
              <w:rPr>
                <w:rFonts w:eastAsiaTheme="minorEastAsia"/>
                <w:b/>
              </w:rPr>
            </w:pPr>
            <w:r>
              <w:rPr>
                <w:rFonts w:eastAsiaTheme="minorEastAsia"/>
              </w:rPr>
              <w:t xml:space="preserve">La lyse de l’eau </w:t>
            </w:r>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m:rPr>
                  <m:sty m:val="bi"/>
                </m:rPr>
                <w:rPr>
                  <w:rFonts w:ascii="Cambria Math" w:hAnsi="Cambria Math"/>
                </w:rPr>
                <m:t>O→</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4</m:t>
                  </m:r>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+4é</m:t>
              </m:r>
            </m:oMath>
          </w:p>
          <w:p>
            <w:pPr>
              <w:pStyle w:val="Paragraphedeliste"/>
              <w:numPr>
                <w:ilvl w:val="0"/>
                <w:numId w:val="32"/>
              </w:numPr>
              <w:rPr>
                <w:rFonts w:eastAsiaTheme="minorEastAsia"/>
                <w:b/>
              </w:rPr>
            </w:pPr>
            <w:r>
              <w:rPr>
                <w:rFonts w:eastAsiaTheme="minorEastAsia"/>
              </w:rPr>
              <w:t>Par électron, le cytochrome transfert entre 4 à 8 H</w:t>
            </w:r>
            <w:r>
              <w:rPr>
                <w:rFonts w:eastAsiaTheme="minorEastAsia"/>
                <w:vertAlign w:val="superscript"/>
              </w:rPr>
              <w:t>+</w:t>
            </w:r>
            <w:r>
              <w:rPr>
                <w:rFonts w:eastAsiaTheme="minorEastAsia"/>
              </w:rPr>
              <w:t xml:space="preserve"> du stroma vers le lumen.</w:t>
            </w:r>
          </w:p>
          <w:p>
            <w:pPr>
              <w:rPr>
                <w:rFonts w:eastAsiaTheme="minorEastAsia"/>
                <w:b/>
              </w:rPr>
            </w:pPr>
            <w:r>
              <w:rPr>
                <w:rFonts w:eastAsiaTheme="minorEastAsia"/>
              </w:rPr>
              <w:t>Au niveau de l’ATP synthase, on sait que comme il y a trois sites de synthèse et qu’un tour nécessite 10 H</w:t>
            </w:r>
            <w:r>
              <w:rPr>
                <w:rFonts w:eastAsiaTheme="minorEastAsia"/>
                <w:vertAlign w:val="superscript"/>
              </w:rPr>
              <w:t>+</w:t>
            </w:r>
            <w:r>
              <w:rPr>
                <w:rFonts w:eastAsiaTheme="minorEastAsia"/>
              </w:rPr>
              <w:t>.</w:t>
            </w:r>
          </w:p>
          <w:p>
            <w:pPr>
              <w:rPr>
                <w:rFonts w:eastAsiaTheme="minorEastAsia"/>
                <w:b/>
              </w:rPr>
            </w:pPr>
            <w:r>
              <w:rPr>
                <w:rFonts w:eastAsiaTheme="minorEastAsia"/>
                <w:u w:val="single"/>
              </w:rPr>
              <w:t>Bilan :</w:t>
            </w:r>
            <w:r>
              <w:rPr>
                <w:rFonts w:eastAsiaTheme="minorEastAsia"/>
              </w:rPr>
              <w:t xml:space="preserve"> </w:t>
            </w:r>
          </w:p>
          <w:p>
            <w:pPr>
              <w:pStyle w:val="Paragraphedeliste"/>
              <w:numPr>
                <w:ilvl w:val="0"/>
                <w:numId w:val="33"/>
              </w:numPr>
              <w:rPr>
                <w:rFonts w:eastAsiaTheme="minorEastAsia"/>
                <w:b/>
              </w:rPr>
            </w:pPr>
            <w:r>
              <w:rPr>
                <w:rFonts w:eastAsiaTheme="minorEastAsia"/>
                <w:bCs/>
              </w:rPr>
              <w:t>Nombre de protons maximum généré</w:t>
            </w:r>
            <w:r>
              <w:rPr>
                <w:rFonts w:eastAsiaTheme="minorEastAsia"/>
                <w:b/>
              </w:rPr>
              <w:t xml:space="preserve"> </w:t>
            </w:r>
            <m:oMath>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+4×8</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=40</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oMath>
          </w:p>
          <w:p>
            <w:pPr>
              <w:pStyle w:val="Paragraphedeliste"/>
              <w:numPr>
                <w:ilvl w:val="0"/>
                <w:numId w:val="33"/>
              </w:numPr>
              <w:rPr>
                <w:rFonts w:eastAsiaTheme="minorEastAsia"/>
              </w:rPr>
            </w:pPr>
            <m:oMath>
              <m:r>
                <w:rPr>
                  <w:rFonts w:ascii="Cambria Math" w:eastAsiaTheme="minorEastAsia" w:hAnsi="Cambria Math"/>
                </w:rPr>
                <m:t>ATP=</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10 H</m:t>
                      </m:r>
                    </m:e>
                    <m:sup>
                      <m:r>
                        <w:rPr>
                          <w:rFonts w:ascii="Cambria Math" w:eastAsiaTheme="minorEastAsia" w:hAnsi="Cambria Math"/>
                        </w:rPr>
                        <m:t>+</m:t>
                      </m:r>
                    </m:sup>
                  </m:sSup>
                </m:num>
                <m:den>
                  <m:r>
                    <w:rPr>
                      <w:rFonts w:ascii="Cambria Math" w:eastAsiaTheme="minorEastAsia" w:hAnsi="Cambria Math"/>
                    </w:rPr>
                    <m:t>3</m:t>
                  </m:r>
                </m:den>
              </m:f>
              <m:r>
                <w:rPr>
                  <w:rFonts w:ascii="Cambria Math" w:eastAsiaTheme="minorEastAsia" w:hAnsi="Cambria Math"/>
                </w:rPr>
                <m:t>=3,33</m:t>
              </m:r>
            </m:oMath>
          </w:p>
          <w:p>
            <w:pPr>
              <w:rPr>
                <w:rFonts w:eastAsiaTheme="minorEastAsia"/>
                <w:b/>
              </w:rPr>
            </w:pPr>
            <w:r>
              <w:rPr>
                <w:rFonts w:eastAsiaTheme="minorEastAsia"/>
                <w:u w:val="single"/>
              </w:rPr>
              <w:t>Conclusion :</w:t>
            </w:r>
            <w:r>
              <w:rPr>
                <w:rFonts w:eastAsiaTheme="minorEastAsia"/>
              </w:rPr>
              <w:t xml:space="preserve"> Le rendement est </w:t>
            </w:r>
            <m:oMath>
              <m:f>
                <m:fPr>
                  <m:ctrlPr>
                    <w:rPr>
                      <w:rFonts w:ascii="Cambria Math" w:eastAsiaTheme="minorEastAsia" w:hAnsi="Cambria Math"/>
                      <w:b/>
                      <w:i/>
                    </w:rPr>
                  </m:ctrlPr>
                </m:fPr>
                <m:num>
                  <m:r>
                    <w:rPr>
                      <w:rFonts w:ascii="Cambria Math" w:eastAsiaTheme="minorEastAsia" w:hAnsi="Cambria Math"/>
                    </w:rPr>
                    <m:t>ATP</m:t>
                  </m:r>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ATP</m:t>
                  </m:r>
                </m:num>
                <m:den>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1</m:t>
                  </m:r>
                </m:num>
                <m:den>
                  <m:r>
                    <w:rPr>
                      <w:rFonts w:ascii="Cambria Math" w:eastAsiaTheme="minorEastAsia" w:hAnsi="Cambria Math"/>
                    </w:rPr>
                    <m:t>3,33</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40</m:t>
                  </m:r>
                </m:num>
                <m:den>
                  <m:r>
                    <w:rPr>
                      <w:rFonts w:ascii="Cambria Math" w:eastAsiaTheme="minorEastAsia" w:hAnsi="Cambria Math"/>
                    </w:rPr>
                    <m:t>4</m:t>
                  </m:r>
                </m:den>
              </m:f>
              <m:r>
                <w:rPr>
                  <w:rFonts w:ascii="Cambria Math" w:eastAsiaTheme="minorEastAsia" w:hAnsi="Cambria Math"/>
                </w:rPr>
                <m:t>=3</m:t>
              </m:r>
            </m:oMath>
          </w:p>
        </w:tc>
      </w:tr>
    </w:tbl>
    <w:p>
      <w:pPr>
        <w:pStyle w:val="Titre2"/>
        <w:rPr>
          <w:rFonts w:eastAsiaTheme="minorEastAsia"/>
        </w:rPr>
      </w:pPr>
      <w:r>
        <w:rPr>
          <w:rFonts w:eastAsiaTheme="minorEastAsia"/>
        </w:rPr>
        <w:lastRenderedPageBreak/>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(P680)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un à un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lastRenderedPageBreak/>
        <w:t>Produit des molécules à 3 atomes de carbones 3 phosphoglycéraldéhyde (PGAL) 3moles de CO</w:t>
      </w:r>
      <w:r>
        <w:rPr>
          <w:vertAlign w:val="subscript"/>
        </w:rPr>
        <w:t>2</w:t>
      </w:r>
    </w:p>
    <w:p>
      <w:pPr>
        <w:pStyle w:val="Paragraphedeliste"/>
        <w:numPr>
          <w:ilvl w:val="0"/>
          <w:numId w:val="12"/>
        </w:numPr>
      </w:pPr>
      <w:r>
        <w:t>Le CO</w:t>
      </w:r>
      <w:r>
        <w:rPr>
          <w:vertAlign w:val="subscript"/>
        </w:rPr>
        <w:t>2</w:t>
      </w:r>
      <w:r>
        <w:t xml:space="preserve">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w:t>
      </w:r>
      <w:r>
        <w:rPr>
          <w:vertAlign w:val="subscript"/>
        </w:rPr>
        <w:t xml:space="preserve">2 </w:t>
      </w:r>
      <w:r>
        <w:t>ou celle d’O</w:t>
      </w:r>
      <w:r>
        <w:rPr>
          <w:vertAlign w:val="subscript"/>
        </w:rPr>
        <w:t>2</w:t>
      </w:r>
      <w:r>
        <w:t>.</w:t>
      </w:r>
    </w:p>
    <w:p>
      <w:r>
        <w:rPr>
          <w:rStyle w:val="Accentuation"/>
        </w:rPr>
        <w:t>Point de compensation</w:t>
      </w:r>
      <w:r>
        <w:t xml:space="preserve"> seuil à partir duquel la photosynthèse net devient positive.</w:t>
      </w:r>
    </w:p>
    <w:p>
      <w:r>
        <w:t>Les plantes ne sont pas toutes efficaces pour réaliser la photosynthèse. Cela dépend de leur mode de vie. On distingue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leur valeur maximale est inférieure.</w:t>
      </w:r>
    </w:p>
    <w:p>
      <w:r>
        <w:t>Certaines plantes ont développé des adaptations pour pallier le manque de CO</w:t>
      </w:r>
      <w:r>
        <w:rPr>
          <w:vertAlign w:val="subscript"/>
        </w:rPr>
        <w:t>2</w:t>
      </w:r>
      <w:r>
        <w:t>.</w:t>
      </w:r>
    </w:p>
    <w:p>
      <w:pPr>
        <w:pStyle w:val="Titre1"/>
      </w:pPr>
      <w:r>
        <w:t>Le métabolisme carboné</w:t>
      </w:r>
    </w:p>
    <w:p>
      <w:pPr>
        <w:pStyle w:val="Titre2"/>
      </w:pPr>
      <w:r>
        <w:t>La phase biochimique d’assimilation du CO</w:t>
      </w:r>
      <w:r>
        <w:rPr>
          <w:vertAlign w:val="subscript"/>
        </w:rPr>
        <w:t xml:space="preserve">2 </w:t>
      </w:r>
      <w:r>
        <w:t>(ou cycle de Calvin)</w:t>
      </w:r>
    </w:p>
    <w:p>
      <w:r>
        <w:t>La phase biochimique d’assimilation du CO</w:t>
      </w:r>
      <w:r>
        <w:rPr>
          <w:vertAlign w:val="subscript"/>
        </w:rPr>
        <w:t>2</w:t>
      </w:r>
      <w:r>
        <w:t xml:space="preserve"> a lieu dans le stroma. Elle permet de récupérer le carbone d’une molécule de CO</w:t>
      </w:r>
      <w:r>
        <w:rPr>
          <w:vertAlign w:val="subscript"/>
        </w:rPr>
        <w:t>2</w:t>
      </w:r>
      <w:r>
        <w:t xml:space="preserve"> pour fabriquer une molécule organique. Elle forme un cycle càd qu’une partie du produit est utilisée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w:t>
      </w:r>
      <w:r>
        <w:rPr>
          <w:vertAlign w:val="subscript"/>
        </w:rPr>
        <w:t>2</w:t>
      </w:r>
      <w:r>
        <w:t xml:space="preserve"> sur une molécule organique.</w:t>
      </w:r>
    </w:p>
    <w:p>
      <w:pPr>
        <w:pStyle w:val="Paragraphedeliste"/>
        <w:numPr>
          <w:ilvl w:val="0"/>
          <w:numId w:val="20"/>
        </w:numPr>
      </w:pPr>
      <w:r>
        <w:t>Réduction. 1/6 du produit quitte le cycle sous forme de sucre et 5/6 est utilisé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r>
        <w:rPr>
          <w:vertAlign w:val="superscript"/>
        </w:rPr>
        <w:t>+</w:t>
      </w:r>
      <w:r>
        <w:t>.</w:t>
      </w:r>
    </w:p>
    <w:p>
      <w:pPr>
        <w:pStyle w:val="Paragraphedeliste"/>
        <w:numPr>
          <w:ilvl w:val="0"/>
          <w:numId w:val="25"/>
        </w:numPr>
      </w:pPr>
      <w:r>
        <w:lastRenderedPageBreak/>
        <w:t>De la concentration de CO</w:t>
      </w:r>
      <w:r>
        <w:rPr>
          <w:vertAlign w:val="subscript"/>
        </w:rPr>
        <w:t>2</w:t>
      </w:r>
      <w:r>
        <w:t xml:space="preserve"> augmente active</w:t>
      </w:r>
    </w:p>
    <w:p>
      <w:pPr>
        <w:pStyle w:val="Paragraphedeliste"/>
        <w:numPr>
          <w:ilvl w:val="0"/>
          <w:numId w:val="25"/>
        </w:numPr>
      </w:pPr>
      <w:r>
        <w:t>La fixation d’une protéine activatrice, la RubisCo activase, sur la RubisCo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RubisCo ne fonctionne pas. </w:t>
      </w:r>
    </w:p>
    <w:p>
      <w:pPr>
        <w:pStyle w:val="Titre3"/>
      </w:pPr>
      <w:r>
        <w:t>La réduction</w:t>
      </w:r>
    </w:p>
    <w:p>
      <w:r>
        <w:t>La réduction se déroule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On considère qu’en condition standard un 1/3 du temps elle fixe du O</w:t>
      </w:r>
      <w:r>
        <w:rPr>
          <w:rFonts w:eastAsiaTheme="minorEastAsia"/>
          <w:vertAlign w:val="subscript"/>
        </w:rPr>
        <w:t>2</w:t>
      </w:r>
      <w:r>
        <w:rPr>
          <w:rFonts w:eastAsiaTheme="minorEastAsia"/>
        </w:rPr>
        <w:t xml:space="preserve"> ce qui réduit jusqu’à 50% l’activité photosynthétique des plantes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w:t>
      </w:r>
      <w:r>
        <w:rPr>
          <w:rFonts w:eastAsiaTheme="minorEastAsia"/>
          <w:vertAlign w:val="subscript"/>
        </w:rPr>
        <w:t>2</w:t>
      </w:r>
      <w:r>
        <w:rPr>
          <w:rFonts w:eastAsiaTheme="minorEastAsia"/>
        </w:rPr>
        <w:t xml:space="preserve"> et d’O</w:t>
      </w:r>
      <w:r>
        <w:rPr>
          <w:rFonts w:eastAsiaTheme="minorEastAsia"/>
          <w:vertAlign w:val="subscript"/>
        </w:rPr>
        <w:t>2</w:t>
      </w:r>
      <w:r>
        <w:rPr>
          <w:rFonts w:eastAsiaTheme="minorEastAsia"/>
        </w:rPr>
        <w:t xml:space="preserve"> dans les feuilles est directement à la solubilité des gaz qui dépend de :</w:t>
      </w:r>
    </w:p>
    <w:p>
      <w:pPr>
        <w:rPr>
          <w:rFonts w:eastAsiaTheme="minorEastAsia"/>
        </w:rPr>
      </w:pPr>
      <w:r>
        <w:rPr>
          <w:rFonts w:eastAsiaTheme="minorEastAsia"/>
        </w:rPr>
        <w:t>La température. Elle diminue plus vite pour le CO</w:t>
      </w:r>
      <w:r>
        <w:rPr>
          <w:rFonts w:eastAsiaTheme="minorEastAsia"/>
          <w:vertAlign w:val="subscript"/>
        </w:rPr>
        <w:t>2</w:t>
      </w:r>
      <w:r>
        <w:rPr>
          <w:rFonts w:eastAsiaTheme="minorEastAsia"/>
        </w:rPr>
        <w:t xml:space="preserve"> </w:t>
      </w:r>
    </w:p>
    <w:p>
      <w:pPr>
        <w:rPr>
          <w:rFonts w:eastAsiaTheme="minorEastAsia"/>
        </w:rPr>
      </w:pPr>
      <w:r>
        <w:rPr>
          <w:rFonts w:eastAsiaTheme="minorEastAsia"/>
        </w:rPr>
        <w:t xml:space="preserve">Différence entre la photorespiration et la </w:t>
      </w:r>
    </w:p>
    <w:tbl>
      <w:tblPr>
        <w:tblStyle w:val="Grilledetableauclaire"/>
        <w:tblW w:w="5000" w:type="pct"/>
        <w:tblLook w:val="0400" w:firstRow="0" w:lastRow="0" w:firstColumn="0" w:lastColumn="0" w:noHBand="0" w:noVBand="1"/>
      </w:tblPr>
      <w:tblGrid>
        <w:gridCol w:w="3667"/>
        <w:gridCol w:w="3668"/>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r>
    </w:tbl>
    <w:p>
      <w:pPr>
        <w:rPr>
          <w:rFonts w:eastAsiaTheme="minorEastAsia"/>
        </w:rPr>
      </w:pPr>
      <w:r>
        <w:rPr>
          <w:rFonts w:eastAsiaTheme="minorEastAsia"/>
        </w:rPr>
        <w:t xml:space="preserve">Le </w:t>
      </w:r>
      <w:proofErr w:type="spellStart"/>
      <w:r>
        <w:rPr>
          <w:rFonts w:eastAsiaTheme="minorEastAsia"/>
        </w:rPr>
        <w:t>glycolate</w:t>
      </w:r>
      <w:proofErr w:type="spellEnd"/>
      <w:r>
        <w:rPr>
          <w:rFonts w:eastAsiaTheme="minorEastAsia"/>
        </w:rPr>
        <w:t xml:space="preserve"> (2-polycate)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le CO</w:t>
      </w:r>
      <w:r>
        <w:rPr>
          <w:rFonts w:eastAsiaTheme="minorEastAsia"/>
          <w:vertAlign w:val="subscript"/>
        </w:rPr>
        <w:t>2</w:t>
      </w:r>
      <w:r>
        <w:rPr>
          <w:rFonts w:eastAsiaTheme="minorEastAsia"/>
        </w:rPr>
        <w:t xml:space="preserve"> à 0,3%. Ainsi le problème serait apparu après.</w:t>
      </w:r>
    </w:p>
    <w:p>
      <w:pPr>
        <w:pStyle w:val="Paragraphedeliste"/>
        <w:numPr>
          <w:ilvl w:val="0"/>
          <w:numId w:val="24"/>
        </w:numPr>
        <w:rPr>
          <w:rFonts w:eastAsiaTheme="minorEastAsia"/>
        </w:rPr>
      </w:pPr>
      <w:r>
        <w:rPr>
          <w:rFonts w:eastAsiaTheme="minorEastAsia"/>
        </w:rPr>
        <w:t xml:space="preserve">Photoprotection. Lors de fortes chaleurs ou en condition de manque d’eau les stomates sont fermés pour limiter l’évaporation. La lumière continue de faire fonctionner les systèmes </w:t>
      </w:r>
      <w:r>
        <w:rPr>
          <w:rFonts w:eastAsiaTheme="minorEastAsia"/>
        </w:rPr>
        <w:lastRenderedPageBreak/>
        <w:t>photosynthétiques même lorsque la concentration de CO</w:t>
      </w:r>
      <w:r>
        <w:rPr>
          <w:rFonts w:eastAsiaTheme="minorEastAsia"/>
          <w:vertAlign w:val="subscript"/>
        </w:rPr>
        <w:t xml:space="preserve">2 </w:t>
      </w:r>
      <w:r>
        <w:rPr>
          <w:rFonts w:eastAsiaTheme="minorEastAsia"/>
        </w:rPr>
        <w:t>trop faible.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 xml:space="preserve">Le métabolisme C4 concerne 1500 espèces principalement tropicales ou subtropical et monocotylédone (par exemple, le maïs, la canne à sucre…). </w:t>
      </w:r>
    </w:p>
    <w:p>
      <w:pPr>
        <w:rPr>
          <w:rFonts w:eastAsiaTheme="minorEastAsia"/>
        </w:rPr>
      </w:pPr>
      <w:r>
        <w:rPr>
          <w:rFonts w:eastAsiaTheme="minorEastAsia"/>
        </w:rPr>
        <w:t>L’efficacité du métabolisme C4 par rapport au C3 dépend de la durée d’ouverture des stomates qui dépend eux-mêmes de la température. Il est plus efficace lorsque les stomates sont fermés, ce qui permet d’expliquer pourquoi il est présent chez les espèces tropicales.</w:t>
      </w:r>
    </w:p>
    <w:p>
      <w:pPr>
        <w:rPr>
          <w:rFonts w:eastAsiaTheme="minorEastAsia"/>
        </w:rPr>
      </w:pPr>
      <w:r>
        <w:rPr>
          <w:rFonts w:eastAsiaTheme="minorEastAsia"/>
        </w:rPr>
        <w:t>Il permet d’augmenter la quantité de CO</w:t>
      </w:r>
      <w:r>
        <w:rPr>
          <w:rFonts w:eastAsiaTheme="minorEastAsia"/>
          <w:vertAlign w:val="subscript"/>
        </w:rPr>
        <w:t>2</w:t>
      </w:r>
      <w:r>
        <w:rPr>
          <w:rFonts w:eastAsiaTheme="minorEastAsia"/>
        </w:rPr>
        <w:t xml:space="preserve"> disponible pour la plante. Ce métabolisme est apparu indépendamment chez plusieurs espèces avec des différences dans la molécule de transport. Il est accompagné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 xml:space="preserve">Les cellules du mésophylle avec des chloroplastes avec beaucoup de </w:t>
      </w:r>
      <w:proofErr w:type="spellStart"/>
      <w:r>
        <w:rPr>
          <w:rFonts w:eastAsiaTheme="minorEastAsia"/>
        </w:rPr>
        <w:t>granums</w:t>
      </w:r>
      <w:proofErr w:type="spellEnd"/>
      <w:r>
        <w:rPr>
          <w:rFonts w:eastAsiaTheme="minorEastAsia"/>
        </w:rPr>
        <w:t xml:space="preserve"> qui concentrent de nombreux photosystème II permettant de produire de l’ATP et du NADPH.</w:t>
      </w:r>
    </w:p>
    <w:p>
      <w:pPr>
        <w:rPr>
          <w:rFonts w:eastAsiaTheme="minorEastAsia"/>
        </w:rPr>
      </w:pPr>
      <w:r>
        <w:rPr>
          <w:rFonts w:eastAsiaTheme="minorEastAsia"/>
        </w:rPr>
        <w:t>Le métabolisme C4 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rPr>
          <w:rFonts w:eastAsiaTheme="minorEastAsia"/>
        </w:rPr>
      </w:pPr>
      <w:r>
        <w:rPr>
          <w:rFonts w:eastAsiaTheme="minorEastAsia"/>
        </w:rPr>
        <w:t>Le métabolisme C4 ajout un cout de 2ATP au cycle de Calvin qui utilise déjà 3ATP.</w:t>
      </w:r>
    </w:p>
    <w:p>
      <w:pPr>
        <w:rPr>
          <w:rFonts w:eastAsiaTheme="minorEastAsia"/>
        </w:rPr>
      </w:pPr>
      <w:r>
        <w:rPr>
          <w:rFonts w:eastAsiaTheme="minorEastAsia"/>
        </w:rPr>
        <w:t xml:space="preserve">Les enzymes importantes du métabolisme C4 : </w:t>
      </w:r>
    </w:p>
    <w:p>
      <w:pPr>
        <w:pStyle w:val="Paragraphedeliste"/>
        <w:numPr>
          <w:ilvl w:val="0"/>
          <w:numId w:val="34"/>
        </w:numPr>
        <w:rPr>
          <w:rFonts w:eastAsiaTheme="minorEastAsia"/>
        </w:rPr>
      </w:pPr>
      <w:proofErr w:type="spellStart"/>
      <w:r>
        <w:rPr>
          <w:rFonts w:eastAsiaTheme="minorEastAsia"/>
        </w:rPr>
        <w:t>PEPcase</w:t>
      </w:r>
      <w:proofErr w:type="spellEnd"/>
      <w:r>
        <w:rPr>
          <w:rFonts w:eastAsiaTheme="minorEastAsia"/>
        </w:rPr>
        <w:t xml:space="preserve"> (PEP est le </w:t>
      </w:r>
      <w:proofErr w:type="spellStart"/>
      <w:r>
        <w:rPr>
          <w:rFonts w:eastAsiaTheme="minorEastAsia"/>
        </w:rPr>
        <w:t>phosphénol</w:t>
      </w:r>
      <w:proofErr w:type="spellEnd"/>
      <w:r>
        <w:rPr>
          <w:rFonts w:eastAsiaTheme="minorEastAsia"/>
        </w:rPr>
        <w:t xml:space="preserve"> pyruvate). Elle catalyse</w:t>
      </w:r>
      <w:r>
        <w:t xml:space="preserve"> </w:t>
      </w:r>
      <m:oMath>
        <m:r>
          <w:rPr>
            <w:rFonts w:ascii="Cambria Math" w:hAnsi="Cambria Math"/>
          </w:rPr>
          <m:t>PEP+</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r>
          <w:rPr>
            <w:rFonts w:ascii="Cambria Math" w:hAnsi="Cambria Math"/>
          </w:rPr>
          <m:t>→OAA</m:t>
        </m:r>
      </m:oMath>
      <w:r>
        <w:rPr>
          <w:rFonts w:eastAsiaTheme="minorEastAsia"/>
        </w:rPr>
        <w:t xml:space="preserve"> (OAA est l’oxaloacétate). Elle est régulée par la lumière et inhibée par un de ses produits, le malate.</w:t>
      </w:r>
    </w:p>
    <w:p>
      <w:pPr>
        <w:pStyle w:val="Paragraphedeliste"/>
        <w:numPr>
          <w:ilvl w:val="0"/>
          <w:numId w:val="34"/>
        </w:numPr>
        <w:rPr>
          <w:rFonts w:eastAsiaTheme="minorEastAsia"/>
        </w:rPr>
      </w:pPr>
      <w:r>
        <w:rPr>
          <w:rFonts w:eastAsiaTheme="minorEastAsia"/>
        </w:rPr>
        <w:t xml:space="preserve">Malate déshydrogénase (MDH) </w:t>
      </w:r>
      <m:oMath>
        <m:r>
          <w:rPr>
            <w:rFonts w:ascii="Cambria Math" w:hAnsi="Cambria Math"/>
          </w:rPr>
          <m:t>OAA→malate</m:t>
        </m:r>
      </m:oMath>
      <w:r>
        <w:rPr>
          <w:rFonts w:eastAsiaTheme="minorEastAsia"/>
        </w:rPr>
        <w:t>. C’est le malate qui est décarboxylé dans la gaine périvasculaire càd qui libére le CO2.</w:t>
      </w:r>
    </w:p>
    <w:p>
      <w:pPr>
        <w:rPr>
          <w:rFonts w:eastAsiaTheme="minorEastAsia"/>
        </w:rPr>
      </w:pPr>
      <w:r>
        <w:rPr>
          <w:rFonts w:eastAsiaTheme="minorEastAsia"/>
          <w:u w:val="single"/>
        </w:rPr>
        <w:t>NB :</w:t>
      </w:r>
      <w:r>
        <w:rPr>
          <w:rFonts w:eastAsiaTheme="minorEastAsia"/>
        </w:rPr>
        <w:t xml:space="preserve"> Le malate et la PEP sont des métabolites présent dans plusieurs voies métaboliques, comme la glycolyse pour la PEP.</w:t>
      </w:r>
    </w:p>
    <w:p>
      <w:pPr>
        <w:pStyle w:val="Titre2"/>
        <w:rPr>
          <w:rFonts w:eastAsiaTheme="minorEastAsia"/>
        </w:rPr>
      </w:pPr>
      <w:r>
        <w:rPr>
          <w:rFonts w:eastAsiaTheme="minorEastAsia"/>
        </w:rPr>
        <w:t xml:space="preserve">Le métabolisme CAM le métabolisme acide des crassulacées </w:t>
      </w:r>
    </w:p>
    <w:p>
      <w:r>
        <w:t xml:space="preserve">Le métabolisme CAM concerne les plantes vivant dans des milieux extrêmement sec. Ce type de métabolisme est apparu plusieurs fois dans plusieurs familles d’espèces au cours de l’évolution, caractère analogue. </w:t>
      </w:r>
    </w:p>
    <w:p>
      <w:r>
        <w:t>Chez les cactus, la tige est devenue l’organe photosynthétique de la plante au détriment des feuilles qui ont soit disparu soit se sont transformées en épines, des organes de défense.</w:t>
      </w:r>
    </w:p>
    <w:p>
      <w:r>
        <w:t>L’ouverture des stomates a lieu lorsque les températures ne sont pas trop élevées notamment la nuit. Le CO</w:t>
      </w:r>
      <w:r>
        <w:rPr>
          <w:vertAlign w:val="subscript"/>
        </w:rPr>
        <w:t xml:space="preserve">2 </w:t>
      </w:r>
      <w:r>
        <w:t>est fixé sur un oxaloacétate qui devient un malate puis stocké sous forme d’acide malique dans la vacuole. Le jour, CO</w:t>
      </w:r>
      <w:r>
        <w:rPr>
          <w:vertAlign w:val="subscript"/>
        </w:rPr>
        <w:t xml:space="preserve">2 </w:t>
      </w:r>
      <w:r>
        <w:t>est libéré et l’oxaloacétate est retransformé en amidon.</w:t>
      </w:r>
    </w:p>
    <w:p>
      <w:proofErr w:type="spellStart"/>
      <w:r>
        <w:t>PEPcase</w:t>
      </w:r>
      <w:proofErr w:type="spellEnd"/>
      <w:r>
        <w:t xml:space="preserve"> active la PEP malate régulation précise. </w:t>
      </w:r>
    </w:p>
    <w:p>
      <w:r>
        <w:t>Malate déshydrogénase</w:t>
      </w:r>
    </w:p>
    <w:p>
      <w:pPr>
        <w:pStyle w:val="Paragraphedeliste"/>
        <w:numPr>
          <w:ilvl w:val="0"/>
          <w:numId w:val="35"/>
        </w:numPr>
      </w:pPr>
      <w:r>
        <w:t>Libération du CO</w:t>
      </w:r>
      <w:r>
        <w:rPr>
          <w:vertAlign w:val="subscript"/>
        </w:rPr>
        <w:t>2</w:t>
      </w:r>
      <w:r>
        <w:t xml:space="preserve"> catalyse par l’enzyme malique à NADP. </w:t>
      </w:r>
    </w:p>
    <w:p>
      <w:r>
        <w:rPr>
          <w:rFonts w:eastAsiaTheme="minorEastAsia"/>
          <w:u w:val="single"/>
        </w:rPr>
        <w:t>Rmq :</w:t>
      </w:r>
      <w:r>
        <w:rPr>
          <w:rFonts w:eastAsiaTheme="minorEastAsia"/>
        </w:rPr>
        <w:t xml:space="preserve"> il y a compétition entre la </w:t>
      </w:r>
      <w:proofErr w:type="spellStart"/>
      <w:r>
        <w:rPr>
          <w:rFonts w:eastAsiaTheme="minorEastAsia"/>
        </w:rPr>
        <w:t>PEPcase</w:t>
      </w:r>
      <w:proofErr w:type="spellEnd"/>
      <w:r>
        <w:rPr>
          <w:rFonts w:eastAsiaTheme="minorEastAsia"/>
        </w:rPr>
        <w:t xml:space="preserve"> et la </w:t>
      </w:r>
      <w:proofErr w:type="spellStart"/>
      <w:r>
        <w:rPr>
          <w:rFonts w:eastAsiaTheme="minorEastAsia"/>
        </w:rPr>
        <w:t>rubisco</w:t>
      </w:r>
      <w:proofErr w:type="spellEnd"/>
      <w:r>
        <w:rPr>
          <w:rFonts w:eastAsiaTheme="minorEastAsia"/>
        </w:rPr>
        <w:t xml:space="preserve"> pour le CO</w:t>
      </w:r>
      <w:r>
        <w:rPr>
          <w:rFonts w:eastAsiaTheme="minorEastAsia"/>
          <w:vertAlign w:val="subscript"/>
        </w:rPr>
        <w:t>2</w:t>
      </w:r>
      <w:r>
        <w:rPr>
          <w:rFonts w:eastAsiaTheme="minorEastAsia"/>
        </w:rPr>
        <w:t xml:space="preserve">. La relation de </w:t>
      </w:r>
      <w:proofErr w:type="spellStart"/>
      <w:r>
        <w:rPr>
          <w:rFonts w:eastAsiaTheme="minorEastAsia"/>
        </w:rPr>
        <w:t>PEPcase</w:t>
      </w:r>
      <w:proofErr w:type="spellEnd"/>
      <w:r>
        <w:rPr>
          <w:rFonts w:eastAsiaTheme="minorEastAsia"/>
        </w:rPr>
        <w:t xml:space="preserve"> se fait par la lumière grâce à l’intervention d’une kinase.</w:t>
      </w:r>
    </w:p>
    <w:p>
      <w:r>
        <w:lastRenderedPageBreak/>
        <w:t>Le rendement des CAM est 50% inférieur au C3 et 66% à celui des C4.</w:t>
      </w:r>
    </w:p>
    <w:p>
      <w:r>
        <w:t>Certaines plantes sont CAM facultatives. Elles sont capables de changer de métabolique en fonction des conditions environnementales.</w:t>
      </w:r>
    </w:p>
    <w:p>
      <w:pPr>
        <w:pStyle w:val="Titre1"/>
      </w:pPr>
      <w:r>
        <w:t>Utilisation des sucres</w:t>
      </w:r>
    </w:p>
    <w:p>
      <w:r>
        <w:t>Le produit du cycle de Calvin est le triose phosphate. Sa concentration augmente dans les mitochondries plus le cycle se réalise ce qui ralenti la vitesse réaction. L’enthalpie libre s’approche du minimum. Pour limiter le ralentissement, le triose phosphate est :</w:t>
      </w:r>
    </w:p>
    <w:p>
      <w:pPr>
        <w:pStyle w:val="Paragraphedeliste"/>
        <w:numPr>
          <w:ilvl w:val="0"/>
          <w:numId w:val="36"/>
        </w:numPr>
      </w:pPr>
      <w:r>
        <w:t>Exporté dans le cytosol et dans le reste de la plante principalement sous forme de saccharose.</w:t>
      </w:r>
    </w:p>
    <w:p>
      <w:pPr>
        <w:pStyle w:val="Paragraphedeliste"/>
        <w:numPr>
          <w:ilvl w:val="0"/>
          <w:numId w:val="36"/>
        </w:numPr>
      </w:pPr>
      <w:r>
        <w:t>Stocké sous forme de polymères de glucose : d’amidon (sans ramification) ou d’amylose (avec ramification).</w:t>
      </w:r>
    </w:p>
    <w:p>
      <w:r>
        <w:t>Les sucres sont alors disponibles pour le métabolisme et la synthèse de composé organique.</w:t>
      </w:r>
    </w:p>
    <w:p>
      <w:r>
        <w:rPr>
          <w:u w:val="single"/>
        </w:rPr>
        <w:t>Rmq :</w:t>
      </w:r>
      <w:r>
        <w:t xml:space="preserve"> L’amidon est regroupé en grain. </w:t>
      </w:r>
    </w:p>
    <w:p>
      <w:pPr>
        <w:pStyle w:val="Titre1"/>
      </w:pPr>
      <w:r>
        <w:t>Métabolisme secondaire</w:t>
      </w:r>
    </w:p>
    <w:p>
      <w:r>
        <w:rPr>
          <w:rStyle w:val="Accentuation"/>
        </w:rPr>
        <w:t>Métabolite</w:t>
      </w:r>
      <w:r>
        <w:t xml:space="preserve"> molécule produite par le métabolisme.</w:t>
      </w:r>
    </w:p>
    <w:p>
      <w:r>
        <w:t xml:space="preserve">Les végétaux disposent d’un métabolisme non essentiel à leur survie appelé métabolisme secondaire (par opposition au métabolisme primaire qui est vital). Il existe d’importantes disparités entre les espèces.  </w:t>
      </w:r>
    </w:p>
    <w:p>
      <w:r>
        <w:t>Plus de 200 000 métabolites associés au métabolisme secondaire ont été recensés. 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et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 sont synthétisés en réponse au stress.</w:t>
      </w:r>
    </w:p>
    <w:p>
      <w:pPr>
        <w:pStyle w:val="Paragraphedeliste"/>
        <w:numPr>
          <w:ilvl w:val="0"/>
          <w:numId w:val="19"/>
        </w:numPr>
      </w:pPr>
      <w:r>
        <w:t>Les alcaloïdes ou les composés azotés qui dérivent des acides aminés, sont généralement des molécules toxiques.</w:t>
      </w:r>
    </w:p>
    <w:p>
      <w:pPr>
        <w:pStyle w:val="Paragraphedeliste"/>
        <w:numPr>
          <w:ilvl w:val="0"/>
          <w:numId w:val="19"/>
        </w:numPr>
      </w:pPr>
      <w:r>
        <w:t>Les terpènes dérivés de l’</w:t>
      </w:r>
      <w:proofErr w:type="spellStart"/>
      <w:r>
        <w:t>isopentényl</w:t>
      </w:r>
      <w:proofErr w:type="spellEnd"/>
      <w:r>
        <w:t xml:space="preserve"> pyrophosphate (IPP), une molécule à 5C, sont de nature volatile et dégage une forte odeur qui sert notamment dans la protection.</w:t>
      </w:r>
    </w:p>
    <w:p>
      <w:pPr>
        <w:pStyle w:val="Paragraphedeliste"/>
        <w:numPr>
          <w:ilvl w:val="0"/>
          <w:numId w:val="19"/>
        </w:numPr>
      </w:pPr>
      <w:r>
        <w:t>Les glycosides qui contiennent une molécule de sucres.</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5AD349A"/>
    <w:multiLevelType w:val="hybridMultilevel"/>
    <w:tmpl w:val="795E9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7F0307"/>
    <w:multiLevelType w:val="hybridMultilevel"/>
    <w:tmpl w:val="B0E01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0D7351"/>
    <w:multiLevelType w:val="hybridMultilevel"/>
    <w:tmpl w:val="5F907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8F5201"/>
    <w:multiLevelType w:val="hybridMultilevel"/>
    <w:tmpl w:val="7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612030"/>
    <w:multiLevelType w:val="hybridMultilevel"/>
    <w:tmpl w:val="0BF2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054362">
    <w:abstractNumId w:val="16"/>
  </w:num>
  <w:num w:numId="2" w16cid:durableId="2038042718">
    <w:abstractNumId w:val="2"/>
  </w:num>
  <w:num w:numId="3" w16cid:durableId="1561403373">
    <w:abstractNumId w:val="3"/>
  </w:num>
  <w:num w:numId="4" w16cid:durableId="221134200">
    <w:abstractNumId w:val="7"/>
  </w:num>
  <w:num w:numId="5" w16cid:durableId="1872572066">
    <w:abstractNumId w:val="0"/>
  </w:num>
  <w:num w:numId="6" w16cid:durableId="925261171">
    <w:abstractNumId w:val="23"/>
  </w:num>
  <w:num w:numId="7" w16cid:durableId="2067682778">
    <w:abstractNumId w:val="4"/>
  </w:num>
  <w:num w:numId="8" w16cid:durableId="700908577">
    <w:abstractNumId w:val="13"/>
  </w:num>
  <w:num w:numId="9" w16cid:durableId="478378385">
    <w:abstractNumId w:val="22"/>
  </w:num>
  <w:num w:numId="10" w16cid:durableId="1714887387">
    <w:abstractNumId w:val="26"/>
  </w:num>
  <w:num w:numId="11" w16cid:durableId="669215938">
    <w:abstractNumId w:val="9"/>
  </w:num>
  <w:num w:numId="12" w16cid:durableId="1927152316">
    <w:abstractNumId w:val="21"/>
  </w:num>
  <w:num w:numId="13" w16cid:durableId="540747397">
    <w:abstractNumId w:val="31"/>
  </w:num>
  <w:num w:numId="14" w16cid:durableId="949554495">
    <w:abstractNumId w:val="5"/>
  </w:num>
  <w:num w:numId="15" w16cid:durableId="101658198">
    <w:abstractNumId w:val="35"/>
  </w:num>
  <w:num w:numId="16" w16cid:durableId="1112242772">
    <w:abstractNumId w:val="29"/>
  </w:num>
  <w:num w:numId="17" w16cid:durableId="481122848">
    <w:abstractNumId w:val="20"/>
  </w:num>
  <w:num w:numId="18" w16cid:durableId="2141413215">
    <w:abstractNumId w:val="33"/>
  </w:num>
  <w:num w:numId="19" w16cid:durableId="30108870">
    <w:abstractNumId w:val="6"/>
  </w:num>
  <w:num w:numId="20" w16cid:durableId="328338821">
    <w:abstractNumId w:val="11"/>
  </w:num>
  <w:num w:numId="21" w16cid:durableId="2055617538">
    <w:abstractNumId w:val="28"/>
  </w:num>
  <w:num w:numId="22" w16cid:durableId="1046833432">
    <w:abstractNumId w:val="27"/>
  </w:num>
  <w:num w:numId="23" w16cid:durableId="63991452">
    <w:abstractNumId w:val="14"/>
  </w:num>
  <w:num w:numId="24" w16cid:durableId="1988628161">
    <w:abstractNumId w:val="25"/>
  </w:num>
  <w:num w:numId="25" w16cid:durableId="129061042">
    <w:abstractNumId w:val="24"/>
  </w:num>
  <w:num w:numId="26" w16cid:durableId="1259289356">
    <w:abstractNumId w:val="32"/>
  </w:num>
  <w:num w:numId="27" w16cid:durableId="50349594">
    <w:abstractNumId w:val="1"/>
  </w:num>
  <w:num w:numId="28" w16cid:durableId="393092442">
    <w:abstractNumId w:val="30"/>
  </w:num>
  <w:num w:numId="29" w16cid:durableId="1598756761">
    <w:abstractNumId w:val="19"/>
  </w:num>
  <w:num w:numId="30" w16cid:durableId="993682585">
    <w:abstractNumId w:val="17"/>
  </w:num>
  <w:num w:numId="31" w16cid:durableId="909343126">
    <w:abstractNumId w:val="12"/>
  </w:num>
  <w:num w:numId="32" w16cid:durableId="1164247387">
    <w:abstractNumId w:val="18"/>
  </w:num>
  <w:num w:numId="33" w16cid:durableId="657736051">
    <w:abstractNumId w:val="8"/>
  </w:num>
  <w:num w:numId="34" w16cid:durableId="2014795611">
    <w:abstractNumId w:val="34"/>
  </w:num>
  <w:num w:numId="35" w16cid:durableId="329454199">
    <w:abstractNumId w:val="10"/>
  </w:num>
  <w:num w:numId="36" w16cid:durableId="97387479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8</Pages>
  <Words>3246</Words>
  <Characters>17855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47</cp:revision>
  <cp:lastPrinted>2021-02-13T18:38:00Z</cp:lastPrinted>
  <dcterms:created xsi:type="dcterms:W3CDTF">2021-06-15T04:50:00Z</dcterms:created>
  <dcterms:modified xsi:type="dcterms:W3CDTF">2022-05-22T09:55:00Z</dcterms:modified>
</cp:coreProperties>
</file>