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Международный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>ЭВРИКА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>Приём заявок до 2</w:t>
      </w:r>
      <w:r w:rsidR="00DD3C6C">
        <w:rPr>
          <w:b/>
          <w:bCs/>
          <w:color w:val="0D1B5E"/>
          <w:sz w:val="32"/>
          <w:szCs w:val="32"/>
        </w:rPr>
        <w:t>5</w:t>
      </w:r>
      <w:r w:rsidRPr="00A34066">
        <w:rPr>
          <w:b/>
          <w:bCs/>
          <w:color w:val="0D1B5E"/>
          <w:sz w:val="32"/>
          <w:szCs w:val="32"/>
        </w:rPr>
        <w:t>.0</w:t>
      </w:r>
      <w:r w:rsidR="00DD3C6C">
        <w:rPr>
          <w:b/>
          <w:bCs/>
          <w:color w:val="0D1B5E"/>
          <w:sz w:val="32"/>
          <w:szCs w:val="32"/>
        </w:rPr>
        <w:t>6</w:t>
      </w:r>
      <w:r w:rsidRPr="00A34066">
        <w:rPr>
          <w:b/>
          <w:bCs/>
          <w:color w:val="0D1B5E"/>
          <w:sz w:val="32"/>
          <w:szCs w:val="32"/>
        </w:rPr>
        <w:t>.2026 года.</w:t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