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b/>
          <w:sz w:val="26"/>
        </w:rPr>
        <w:t>ПРОЕКТ ПУНКТОВ К РАМОЧНОМУ ДОГОВОРУ № ___. РЕДАКЦИЯ 2</w:t>
      </w:r>
    </w:p>
    <w:p>
      <w:pPr>
        <w:spacing w:before="200"/>
        <w:jc w:val="center"/>
      </w:pPr>
      <w:r>
        <w:rPr>
          <w:b/>
          <w:sz w:val="20"/>
        </w:rPr>
        <w:t>по договорённости от 26.08.2026: расходы продавца не вычитаются, предельный срок оплаты 30 дней, поручительство директора в тексте договора, калькуляция сохраняется</w:t>
      </w:r>
    </w:p>
    <w:p>
      <w:pPr>
        <w:jc w:val="both"/>
      </w:pPr>
      <w:r>
        <w:t>Редакция для обсуждения. Курсивом — пояснения, в текст договора не переносятся. Поля со знаком ____ требуют подстановки значений.</w:t>
      </w:r>
    </w:p>
    <w:p>
      <w:pPr>
        <w:spacing w:before="280"/>
      </w:pPr>
      <w:r>
        <w:rPr>
          <w:b/>
          <w:sz w:val="24"/>
        </w:rPr>
        <w:t>Раздел A. Смена экономической модели: убираем себестоимость и расходы проекта</w:t>
      </w:r>
    </w:p>
    <w:p>
      <w:pPr>
        <w:ind w:left="454"/>
        <w:jc w:val="both"/>
      </w:pPr>
      <w:r>
        <w:rPr>
          <w:i/>
          <w:sz w:val="20"/>
        </w:rPr>
        <w:t>По новой договорённости прибыль считается как разница между ценой, по которой продавец забрал товар по спецификации, и ценой, по которой он его реализовал. Никакие его расходы — комиссии маркетплейсов, логистика, хранение, реклама, скидки, возвраты, эквайринг, налоги — из этой разницы не вычитаются. Значит из договора уходят понятия «себестоимость» и «прямые расходы проекта», и вместе с ними уходит наша обязанность раскрывать структуру своих затрат. Это отдельная и большая польза: действующая редакция п. 3.4 прямо запрещает включать в себестоимость нашу прибыль и обязывает показывать калькуляцию по статьям.</w:t>
      </w:r>
    </w:p>
    <w:p>
      <w:pPr>
        <w:spacing w:before="160"/>
      </w:pPr>
      <w:r>
        <w:rPr>
          <w:b/>
        </w:rPr>
        <w:t>A.1. Пункт 1.4 изложить в следующей редакции:</w:t>
      </w:r>
    </w:p>
    <w:p>
      <w:pPr>
        <w:ind w:firstLine="567"/>
        <w:jc w:val="both"/>
      </w:pPr>
      <w:r>
        <w:t>«1.4. Под ценой передачи понимается согласованная Сторонами в спецификации цена единицы продукции и партии продукции, по которой продукция передаётся Компании-продавцу. Под ценой реализации понимается цена, по которой продукция фактически реализована Компанией-продавцом конечным покупателям. Под наценкой от реализации понимается положительная разница между ценой реализации и ценой передачи. Все показатели при расчётах по настоящему договору учитываются без учёта налога на добавленную стоимость.»</w:t>
      </w:r>
    </w:p>
    <w:p>
      <w:pPr>
        <w:spacing w:before="160"/>
      </w:pPr>
      <w:r>
        <w:rPr>
          <w:b/>
        </w:rPr>
        <w:t>A.2. Пункт 2.3 изложить в следующей редакции:</w:t>
      </w:r>
    </w:p>
    <w:p>
      <w:pPr>
        <w:ind w:firstLine="567"/>
        <w:jc w:val="both"/>
      </w:pPr>
      <w:r>
        <w:t>«2.3. Компания-производитель получает цену передачи переданной продукции, а также премию в размере 50% наценки от реализации, начисляемую в порядке раздела 7 настоящего договора.»</w:t>
      </w:r>
    </w:p>
    <w:p>
      <w:pPr>
        <w:spacing w:before="160"/>
      </w:pPr>
      <w:r>
        <w:rPr>
          <w:b/>
        </w:rPr>
        <w:t>A.3. Пункты 3.3 и 3.4 изложить в следующей редакции:</w:t>
      </w:r>
    </w:p>
    <w:p>
      <w:pPr>
        <w:ind w:firstLine="567"/>
        <w:jc w:val="both"/>
      </w:pPr>
      <w:r>
        <w:t>«3.3. Цена передачи определяется Компанией-производителем и согласовывается Сторонами в спецификации до передачи партии. После подписания спецификации цена передачи соответствующей партии не может быть изменена в одностороннем порядке. Изменённая цена передачи применяется только к последующим партиям.»</w:t>
      </w:r>
    </w:p>
    <w:p>
      <w:pPr>
        <w:ind w:firstLine="567"/>
        <w:jc w:val="both"/>
      </w:pPr>
      <w:r>
        <w:t>«3.4. Цена передачи равна полной себестоимости производства соответствующей партии и не включает прибыль Компании-производителя. Полная себестоимость определяется на основании калькуляции по форме Приложения № 3, которая составляется Компанией-производителем и передаётся Компании-продавцу вместе со спецификацией, и включает: прямые расходы на производство продукции (сырьё, компоненты, тара, крышки, дозаторы, распылители, этикетки, упаковка, транспортная упаковка, маркировка и коды маркировки, прямой производственный труд, лабораторные испытания партии), а также производственные и накладные расходы, приходящиеся на соответствующую партию (амортизация и обслуживание оборудования, энергоресурсы, оплата труда производственного и вспомогательного персонала, технологические потери и брак, контроль качества, доставка сырья и комплектующих). Сведения, содержащиеся в калькуляции, являются конфиденциальной информацией Компании-производителя и подпадают под раздел 10 настоящего договора.»</w:t>
      </w:r>
    </w:p>
    <w:p>
      <w:pPr>
        <w:ind w:left="454"/>
        <w:jc w:val="both"/>
      </w:pPr>
      <w:r>
        <w:rPr>
          <w:i/>
          <w:sz w:val="20"/>
        </w:rPr>
        <w:t>Логика сохранена ровно та, о которой договорились: прибыль в цену передачи не закладываем, продавец видит по калькуляции, что наценки нет, а зарабатываем мы только на половине наценки от реализации. Единственное, что изменено по сравнению с их редакцией, — состав себестоимости. В действующем пункте 3.4 разрешены только прямые расходы и прямо исключены административные, управленческие и общехозяйственные. При таком тексте мы не покрываем амортизацию оборудования, энергию, зарплату производственного персонала, брак и лабораторный контроль, то есть отдаём товар дешевле реальной себестоимости и уходим в минус на каждой партии. В новой редакции себестоимость полная: без прибыли, но со всеми затратами на производство партии.</w:t>
      </w:r>
    </w:p>
    <w:p>
      <w:pPr>
        <w:spacing w:before="160"/>
      </w:pPr>
      <w:r>
        <w:rPr>
          <w:b/>
        </w:rPr>
        <w:t>A.4. Пункты 6.3 и 6.4 изложить в следующей редакции:</w:t>
      </w:r>
    </w:p>
    <w:p>
      <w:pPr>
        <w:ind w:firstLine="567"/>
        <w:jc w:val="both"/>
      </w:pPr>
      <w:r>
        <w:t>«6.3. Все расходы, связанные с реализацией продукции, несёт Компания-продавец за свой счёт. К таким расходам относятся, в том числе: комиссии и удержания маркетплейсов и иных площадок, логистика, приёмка, хранение, обработка, упаковка при отгрузке конечному покупателю, реклама и продвижение, участие в акциях, скидки, промокоды, кэшбэк, эквайринг и банковские комиссии, обработка возвратов от конечных покупателей, утилизация, штрафы площадок, доставка продукции от Компании-производителя, а также налоги, сборы и обязательные платежи Компании-продавца.»</w:t>
      </w:r>
    </w:p>
    <w:p>
      <w:pPr>
        <w:ind w:firstLine="567"/>
        <w:jc w:val="both"/>
      </w:pPr>
      <w:r>
        <w:t>«6.4. Расходы Компании-продавца, указанные в пункте 6.3, не уменьшают цену реализации, наценку от реализации и размер премии Компании-производителя и при расчётах по настоящему договору не учитываются.»</w:t>
      </w:r>
    </w:p>
    <w:p>
      <w:pPr>
        <w:spacing w:before="160"/>
      </w:pPr>
      <w:r>
        <w:rPr>
          <w:b/>
        </w:rPr>
        <w:t>A.5. Пункт 8.4 изложить в следующей редакции:</w:t>
      </w:r>
    </w:p>
    <w:p>
      <w:pPr>
        <w:ind w:firstLine="567"/>
        <w:jc w:val="both"/>
      </w:pPr>
      <w:r>
        <w:t>«8.4. Возвраты продукции от конечных покупателей, удержания площадок, расходы на логистику, хранение и утилизацию относятся на Компанию-продавца и не уменьшают обязательства Компании-продавца перед Компанией-производителем. Настоящее положение не применяется к случаям, предусмотренным пунктом 8.2 (ответственность Компании-производителя за производственный брак и нарушения, возникшие до передачи продукции).»</w:t>
      </w:r>
    </w:p>
    <w:p>
      <w:pPr>
        <w:ind w:left="454"/>
        <w:jc w:val="both"/>
      </w:pPr>
      <w:r>
        <w:rPr>
          <w:i/>
          <w:sz w:val="20"/>
        </w:rPr>
        <w:t>Оговорка про п. 8.2 нужна: наш брак остаётся нашим, иначе условие будет выглядеть кабальным и его будут оспаривать.</w:t>
      </w:r>
    </w:p>
    <w:p>
      <w:pPr>
        <w:spacing w:before="280"/>
      </w:pPr>
      <w:r>
        <w:rPr>
          <w:b/>
          <w:sz w:val="24"/>
        </w:rPr>
        <w:t>Раздел B. Расчёты: цена передачи, премия 50% и сроки оплаты</w:t>
      </w:r>
    </w:p>
    <w:p>
      <w:pPr>
        <w:spacing w:before="160"/>
      </w:pPr>
      <w:r>
        <w:rPr>
          <w:b/>
        </w:rPr>
        <w:t>B.1. Пункты 7.2 и 7.3 изложить в следующей редакции:</w:t>
      </w:r>
    </w:p>
    <w:p>
      <w:pPr>
        <w:ind w:firstLine="567"/>
        <w:jc w:val="both"/>
      </w:pPr>
      <w:r>
        <w:t>«7.2. Компания-продавец уплачивает Компании-производителю: цену передачи продукции в порядке раздела 7А настоящего договора и премию в размере 50% наценки от реализации по итогам отчётного периода. Наценка от реализации определяется как разница между ценой реализации и ценой передачи по фактически реализованной за отчётный период продукции, без вычета каких-либо расходов Компании-продавца.»</w:t>
      </w:r>
    </w:p>
    <w:p>
      <w:pPr>
        <w:ind w:firstLine="567"/>
        <w:jc w:val="both"/>
      </w:pPr>
      <w:r>
        <w:t>«7.3. Если продукция реализована по цене, равной цене передачи или ниже неё, премия по такой продукции не начисляется. Отрицательная разница не уменьшает премию по иной продукции, не переносится на последующие отчётные периоды и не уменьшает обязанность Компании-продавца уплатить цену передачи в полном объёме.»</w:t>
      </w:r>
    </w:p>
    <w:p>
      <w:pPr>
        <w:ind w:left="454"/>
        <w:jc w:val="both"/>
      </w:pPr>
      <w:r>
        <w:rPr>
          <w:i/>
          <w:sz w:val="20"/>
        </w:rPr>
        <w:t>В действующей редакции п. 7.3 отрицательный результат переносится на будущие периоды и гасит нашу долю. При новой модели этого быть не должно.</w:t>
      </w:r>
    </w:p>
    <w:p>
      <w:pPr>
        <w:spacing w:before="160"/>
      </w:pPr>
      <w:r>
        <w:rPr>
          <w:b/>
        </w:rPr>
        <w:t>B.2. Порядок оформления премии — новый пункт 7.10:</w:t>
      </w:r>
    </w:p>
    <w:p>
      <w:pPr>
        <w:ind w:firstLine="567"/>
        <w:jc w:val="both"/>
      </w:pPr>
      <w:r>
        <w:t>«7.10. Премия, предусмотренная пунктом 7.2, является увеличением цены переданной продукции и оформляется корректировочным универсальным передаточным документом (корректировочным счётом-фактурой) на основании согласованного Сторонами отчёта за отчётный период. Компания-продавец обязана подписать документ, подтверждающий согласие на изменение стоимости отгруженной продукции, в течение 3 рабочих дней с даты его получения.»</w:t>
      </w:r>
    </w:p>
    <w:p>
      <w:pPr>
        <w:ind w:left="454"/>
        <w:jc w:val="both"/>
      </w:pPr>
      <w:r>
        <w:rPr>
          <w:i/>
          <w:sz w:val="20"/>
        </w:rPr>
        <w:t>Так премия остаётся частью цены товара, а не отдельной услугой, и не вызывает вопросов о безвозмездности или посредничестве. По НДС: с 01.07.2013 (Федеральный закон от 05.04.2013 № 39-ФЗ) увеличение стоимости отгруженных товаров учитывается в налоговом периоде составления корректировочных документов, а не в периоде отгрузки — уточнённые декларации и пени не потребуются.</w:t>
      </w:r>
    </w:p>
    <w:p>
      <w:pPr>
        <w:spacing w:before="280"/>
      </w:pPr>
      <w:r>
        <w:rPr>
          <w:b/>
          <w:sz w:val="24"/>
        </w:rPr>
        <w:t>Раздел 7А (новый). Сроки оплаты, риск непродажи, возврат или оплата остатков</w:t>
      </w:r>
    </w:p>
    <w:p>
      <w:pPr>
        <w:spacing w:before="160"/>
      </w:pPr>
      <w:r>
        <w:rPr>
          <w:b/>
        </w:rPr>
        <w:t>7А.1. Оплата реализованной продукции:</w:t>
      </w:r>
    </w:p>
    <w:p>
      <w:pPr>
        <w:ind w:firstLine="567"/>
        <w:jc w:val="both"/>
      </w:pPr>
      <w:r>
        <w:t>«7А.1. Цена передачи реализованной продукции уплачивается Компанией-продавцом в течение 5 рабочих дней с даты поступления денежных средств от конечного покупателя, маркетплейса или иного лица, но в любом случае не позднее 30 календарных дней с даты реализации соответствующей продукции. Неполучение, неполное или несвоевременное получение Компанией-продавцом оплаты от конечных покупателей, маркетплейсов и иных лиц, а также удержания, произведённые такими лицами, не освобождают Компанию-продавца от обязанности оплатить продукцию в установленный срок и не переносят срок оплаты. Компания-продавец исполняет обязательство собственными денежными средствами.»</w:t>
      </w:r>
    </w:p>
    <w:p>
      <w:pPr>
        <w:spacing w:before="160"/>
      </w:pPr>
      <w:r>
        <w:rPr>
          <w:b/>
        </w:rPr>
        <w:t>7А.2. Предельный срок оплаты партии:</w:t>
      </w:r>
    </w:p>
    <w:p>
      <w:pPr>
        <w:ind w:firstLine="567"/>
        <w:jc w:val="both"/>
      </w:pPr>
      <w:r>
        <w:t>«7А.2. Независимо от факта и объёма реализации продукции вся партия, включая нереализованный остаток, подлежит оплате Компанией-продавцом не позднее 30 (тридцати) календарных дней с даты передачи партии по УПД или иному передаточному документу (предельный срок оплаты), если Компания-производитель не приняла решение о возврате остатка в порядке пункта 7А.4. Отсутствие реализации продукции, полное или частичное, не является основанием для продления предельного срока оплаты.»</w:t>
      </w:r>
    </w:p>
    <w:p>
      <w:pPr>
        <w:ind w:left="454"/>
        <w:jc w:val="both"/>
      </w:pPr>
      <w:r>
        <w:rPr>
          <w:i/>
          <w:sz w:val="20"/>
        </w:rPr>
        <w:t>Срок закрыт: 30 календарных дней на всю партию от даты передачи. Продали или нет — через 30 дней деньги у нас либо товар возвращается, и выбор между этим делаем мы. Этот же пункт снимает риск переквалификации сделки в комиссию: твёрдый срок оплаты, не зависящий от реализации, — главный признак поставки.</w:t>
      </w:r>
    </w:p>
    <w:p>
      <w:pPr>
        <w:spacing w:before="160"/>
      </w:pPr>
      <w:r>
        <w:rPr>
          <w:b/>
        </w:rPr>
        <w:t>7А.3. Сверка остатков перед предельным сроком:</w:t>
      </w:r>
    </w:p>
    <w:p>
      <w:pPr>
        <w:ind w:firstLine="567"/>
        <w:jc w:val="both"/>
      </w:pPr>
      <w:r>
        <w:t>«7А.3. Не позднее 23 (двадцать третьего) календарного дня с даты передачи партии, то есть за 7 календарных дней до истечения предельного срока оплаты, Компания-продавец направляет Компании-производителю сверку остатков по партии с указанием количества нереализованной продукции, её состояния, остаточного срока годности и места нахождения, и вправе заявить предложение о возврате нереализованного остатка.»</w:t>
      </w:r>
    </w:p>
    <w:p>
      <w:pPr>
        <w:spacing w:before="160"/>
      </w:pPr>
      <w:r>
        <w:rPr>
          <w:b/>
        </w:rPr>
        <w:t>7А.4. Право выбора — за производителем:</w:t>
      </w:r>
    </w:p>
    <w:p>
      <w:pPr>
        <w:ind w:firstLine="567"/>
        <w:jc w:val="both"/>
      </w:pPr>
      <w:r>
        <w:t>«7А.4. Право выбора между оплатой нереализованного остатка и его возвратом принадлежит Компании-производителю (пункт 3 статьи 488 Гражданского кодекса Российской Федерации). Компания-производитель сообщает своё решение в течение 3 рабочих дней с даты получения сверки. Если решение не сообщено, нереализованный остаток подлежит оплате в предельный срок оплаты.»</w:t>
      </w:r>
    </w:p>
    <w:p>
      <w:pPr>
        <w:ind w:left="454"/>
        <w:jc w:val="both"/>
      </w:pPr>
      <w:r>
        <w:rPr>
          <w:i/>
          <w:sz w:val="20"/>
        </w:rPr>
        <w:t>Пункт 3 статьи 488 ГК даёт право выбора именно продавцу товара. Позиция Президиума ВАС РФ от 16.05.2006: продавец вправе требовать возврата или оплаты товара независимо от момента перехода права собственности.</w:t>
      </w:r>
    </w:p>
    <w:p>
      <w:pPr>
        <w:spacing w:before="160"/>
      </w:pPr>
      <w:r>
        <w:rPr>
          <w:b/>
        </w:rPr>
        <w:t>7А.5. Условия приёма возврата:</w:t>
      </w:r>
    </w:p>
    <w:p>
      <w:pPr>
        <w:ind w:firstLine="567"/>
        <w:jc w:val="both"/>
      </w:pPr>
      <w:r>
        <w:t>«7А.5. Возврат нереализованной продукции допускается при одновременном соблюдении следующих условий: продукция находится в товарном виде, в неповреждённой оригинальной потребительской и транспортной упаковке, с неповреждённой этикеткой и маркировкой; остаточный срок годности составляет не менее 70% от установленного срока годности; продукция не была в употреблении, не вскрывалась, не переупаковывалась и не переклеивалась; в отношении маркированной продукции Компанией-продавцом совершены все операции в государственной информационной системе мониторинга товаров, обеспечивающие возможность дальнейшего оборота продукции Компанией-производителем.»</w:t>
      </w:r>
    </w:p>
    <w:p>
      <w:pPr>
        <w:spacing w:before="160"/>
      </w:pPr>
      <w:r>
        <w:rPr>
          <w:b/>
        </w:rPr>
        <w:t>7А.6. Оформление и расходы на возврат:</w:t>
      </w:r>
    </w:p>
    <w:p>
      <w:pPr>
        <w:ind w:firstLine="567"/>
        <w:jc w:val="both"/>
      </w:pPr>
      <w:r>
        <w:t>«7А.6. Возврат оформляется как обратная реализация: Компания-продавец выставляет УПД, продукция передаётся на складе Компании-производителя. Расходы на доставку возвращаемой продукции, погрузку, разгрузку, а также расходы на перемаркировку, если она необходима, несёт Компания-продавец. Цена возврата равна цене передачи соответствующей продукции.»</w:t>
      </w:r>
    </w:p>
    <w:p>
      <w:pPr>
        <w:spacing w:before="160"/>
      </w:pPr>
      <w:r>
        <w:rPr>
          <w:b/>
        </w:rPr>
        <w:t>7А.7. Залог:</w:t>
      </w:r>
    </w:p>
    <w:p>
      <w:pPr>
        <w:ind w:firstLine="567"/>
        <w:jc w:val="both"/>
      </w:pPr>
      <w:r>
        <w:t>«7А.7. Продукция, переданная на условиях отсрочки платежа, признаётся находящейся в залоге у Компании-производителя с момента передачи и до момента полной оплаты (пункт 5 статьи 488 Гражданского кодекса Российской Федерации). Стороны не отменяют указанный залог. Залог не препятствует реализации продукции конечным покупателям в обычном порядке.»</w:t>
      </w:r>
    </w:p>
    <w:p>
      <w:pPr>
        <w:spacing w:before="160"/>
      </w:pPr>
      <w:r>
        <w:rPr>
          <w:b/>
        </w:rPr>
        <w:t>7А.8. Последствия просрочки:</w:t>
      </w:r>
    </w:p>
    <w:p>
      <w:pPr>
        <w:ind w:firstLine="567"/>
        <w:jc w:val="both"/>
      </w:pPr>
      <w:r>
        <w:t>«7А.8. При нарушении Компанией-продавцом сроков оплаты, установленных пунктами 7А.1 и 7А.2, Компания-производитель вправе по своему выбору потребовать оплаты продукции либо её возврата, а также приостановить производство и передачу новых партий до устранения нарушения. На сумму задолженности начисляются проценты за пользование коммерческим кредитом в размере 1% (одного процента) за каждый календарный день просрочки (статья 823 Гражданского кодекса Российской Федерации). Дополнительно Компания-продавец уплачивает неустойку в соответствии с пунктом 11.1 настоящего договора. Если суд признает проценты, предусмотренные настоящим пунктом, мерой ответственности, подлежит применению большая из сумм — проценты или неустойка, без их суммирования.»</w:t>
      </w:r>
    </w:p>
    <w:p>
      <w:pPr>
        <w:ind w:left="454"/>
        <w:jc w:val="both"/>
      </w:pPr>
      <w:r>
        <w:rPr>
          <w:i/>
          <w:sz w:val="20"/>
        </w:rPr>
        <w:t>1% в день — это 365% годовых. Проценты по статье 823 ГК являются платой за пользование, а не неустойкой, и по общему правилу не снижаются по статье 333 ГК; правило о ростовщических процентах (пункт 5 статьи 809 ГК) к отношениям между организациями не применяется. Тем не менее в практике есть случаи, когда суд при значительном превышении обычно взимаемых ставок квалифицирует такое условие как злоупотребление правом и снижает плату. Поэтому оставляем и проценты, и неустойку: если суд срежет одно, останется другое. Оговорка последнего предложения нужна, чтобы нам не отказали во всём сразу из-за двойной ответственности.</w:t>
      </w:r>
    </w:p>
    <w:p>
      <w:pPr>
        <w:spacing w:before="160"/>
      </w:pPr>
      <w:r>
        <w:rPr>
          <w:b/>
        </w:rPr>
        <w:t>7А.9. Расчёты при прекращении договора — дополнение к пункту 12.4:</w:t>
      </w:r>
    </w:p>
    <w:p>
      <w:pPr>
        <w:ind w:firstLine="567"/>
        <w:jc w:val="both"/>
      </w:pPr>
      <w:r>
        <w:t>«При прекращении настоящего договора вся нереализованная продукция подлежит оплате либо возврату в порядке настоящего раздела в течение 15 рабочих дней с даты прекращения договора, независимо от того, наступил ли предельный срок оплаты соответствующей партии.»</w:t>
      </w:r>
    </w:p>
    <w:p>
      <w:pPr>
        <w:spacing w:before="280"/>
      </w:pPr>
      <w:r>
        <w:rPr>
          <w:b/>
          <w:sz w:val="24"/>
        </w:rPr>
        <w:t>Раздел C. Поручительство директора и собственника — прямо в тексте договора</w:t>
      </w:r>
    </w:p>
    <w:p>
      <w:pPr>
        <w:ind w:left="454"/>
        <w:jc w:val="both"/>
      </w:pPr>
      <w:r>
        <w:rPr>
          <w:i/>
          <w:sz w:val="20"/>
        </w:rPr>
        <w:t>Да, отдельный договор не нужен: поручительство можно включить в основной договор, он становится трёхсторонним и поручитель подписывает его лично как физическое лицо. Это прямо допускается (п. 3 ст. 361 ГК РФ, п. 6 Постановления Пленума Верховного Суда РФ от 24.12.2020 № 45; Готовое решение КонсультантПлюс «Как составить договор поручительства», 2026, раздел о трёхстороннем договоре). Обязательное условие — письменная форма и личная подпись поручителя, иначе поручительство ничтожно (ст. 362 ГК РФ).</w:t>
      </w:r>
    </w:p>
    <w:p>
      <w:pPr>
        <w:spacing w:before="160"/>
      </w:pPr>
      <w:r>
        <w:rPr>
          <w:b/>
        </w:rPr>
        <w:t>C.1. Преамбулу договора дополнить третьей стороной:</w:t>
      </w:r>
    </w:p>
    <w:p>
      <w:pPr>
        <w:ind w:firstLine="567"/>
        <w:jc w:val="both"/>
      </w:pPr>
      <w:r>
        <w:t>«и ____________________ (паспорт серия ______ № ____________, выдан ______________________, дата выдачи ____________, зарегистрирован по адресу: ______________________), являющийся единоличным исполнительным органом Компании-продавца, и ____________________ (паспорт серия ______ № __________, выдан ______________________, дата выдачи ____________, зарегистрирован по адресу: ______________________), являющийся участником Компании-продавца, именуемые в дальнейшем «Поручители», с третьей стороны,»</w:t>
      </w:r>
    </w:p>
    <w:p>
      <w:pPr>
        <w:spacing w:before="160"/>
      </w:pPr>
      <w:r>
        <w:rPr>
          <w:b/>
        </w:rPr>
        <w:t>C.2. Новый раздел 15 «Поручительство»:</w:t>
      </w:r>
    </w:p>
    <w:p>
      <w:pPr>
        <w:ind w:firstLine="567"/>
        <w:jc w:val="both"/>
      </w:pPr>
      <w:r>
        <w:t>«15.1. Поручители обязуются отвечать перед Компанией-производителем за исполнение Компанией-продавцом всех денежных обязательств, возникающих из настоящего договора и заключённых во исполнение него заявок, спецификаций и иных документов, включая обязательства по уплате цены передачи продукции, премии, процентов за пользование коммерческим кредитом, неустойки, возмещению убытков и имущественных потерь, а также по возврату неосновательного обогащения.»</w:t>
      </w:r>
    </w:p>
    <w:p>
      <w:pPr>
        <w:ind w:firstLine="567"/>
        <w:jc w:val="both"/>
      </w:pPr>
      <w:r>
        <w:t>«15.2. Поручители отвечают перед Компанией-производителем солидарно с Компанией-продавцом и между собой, в том же объёме, что и Компания-продавец (пункты 1 и 2 статьи 363 Гражданского кодекса Российской Федерации). Компания-производитель вправе предъявить требование к любому из Поручителей или ко всем совместно, не предъявляя предварительно требование к Компании-продавцу.»</w:t>
      </w:r>
    </w:p>
    <w:p>
      <w:pPr>
        <w:ind w:firstLine="567"/>
        <w:jc w:val="both"/>
      </w:pPr>
      <w:r>
        <w:t>«15.3. Поручительство обеспечивает обязательства Компании-продавца, как существующие на дату подписания настоящего договора, так и те, которые возникнут в будущем в течение срока его действия, включая обязательства по партиям продукции, передаваемым после подписания договора. Размер обеспечиваемых обязательств не ограничен.»</w:t>
      </w:r>
    </w:p>
    <w:p>
      <w:pPr>
        <w:ind w:firstLine="567"/>
        <w:jc w:val="both"/>
      </w:pPr>
      <w:r>
        <w:t>«15.4. Поручители заранее дают согласие отвечать перед Компанией-производителем на изменённых условиях в случае изменения обеспеченных обязательств, в том числе при увеличении объёма партий, изменения цены передачи, сроков оплаты и размера ответственности, в пределах, не превышающих ____________ рублей по каждой партии (пункт 2 статьи 367 Гражданского кодекса Российской Федерации).»</w:t>
      </w:r>
    </w:p>
    <w:p>
      <w:pPr>
        <w:ind w:left="454"/>
        <w:jc w:val="both"/>
      </w:pPr>
      <w:r>
        <w:rPr>
          <w:i/>
          <w:sz w:val="20"/>
        </w:rPr>
        <w:t>Пункт 15.4 обязателен. Без заранее данного согласия любое изменение, увеличивающее ответственность должника, прекращает поручительство в этой части — то есть при первой же новой спецификации на больший объём поручительство перестанет покрывать разницу. Лимит можно поставить с запасом, например максимальный планируемый размер партии, умноженный на два.</w:t>
      </w:r>
    </w:p>
    <w:p>
      <w:pPr>
        <w:ind w:firstLine="567"/>
        <w:jc w:val="both"/>
      </w:pPr>
      <w:r>
        <w:t>«15.5. Поручительство действует в течение 3 (трёх) лет с даты наступления срока исполнения соответствующего обеспеченного обязательства.»</w:t>
      </w:r>
    </w:p>
    <w:p>
      <w:pPr>
        <w:ind w:left="454"/>
        <w:jc w:val="both"/>
      </w:pPr>
      <w:r>
        <w:rPr>
          <w:i/>
          <w:sz w:val="20"/>
        </w:rPr>
        <w:t>Срок указывать обязательно. Если его не написать, поручительство прекращается через год со дня, когда обязательство должно было быть исполнено, если за этот год не подан иск (пункт 6 статьи 367 ГК РФ; конституционно-правовой смысл нормы раскрыт в Постановлении Конституционного Суда РФ от 26.02.2024 № 8-П). При сроке оплаты 30 дней это означало бы, что по каждой партии у нас всего год.</w:t>
      </w:r>
    </w:p>
    <w:p>
      <w:pPr>
        <w:ind w:firstLine="567"/>
        <w:jc w:val="both"/>
      </w:pPr>
      <w:r>
        <w:t>«15.6. Прекращение полномочий единоличного исполнительного органа Компании-продавца, выход участника из состава участников Компании-продавца, отчуждение доли, реорганизация или смена наименования Компании-продавца не прекращают поручительство и не освобождают Поручителей от ответственности по обязательствам, возникшим до наступления указанных обстоятельств.»</w:t>
      </w:r>
    </w:p>
    <w:p>
      <w:pPr>
        <w:ind w:firstLine="567"/>
        <w:jc w:val="both"/>
      </w:pPr>
      <w:r>
        <w:t>«15.7. Поручители подтверждают, что ознакомлены со всеми условиями настоящего договора, в том числе с разделом 7А, размером процентов и неустойки, и что заключение поручительства не требует получения согласия третьих лиц.»</w:t>
      </w:r>
    </w:p>
    <w:p>
      <w:pPr>
        <w:ind w:firstLine="567"/>
        <w:jc w:val="both"/>
      </w:pPr>
      <w:r>
        <w:t>«15.8. Утрата поручительства по любому основанию является основанием для приостановления Компанией-производителем производства и передачи новых партий продукции до предоставления равноценного обеспечения.»</w:t>
      </w:r>
    </w:p>
    <w:p>
      <w:pPr>
        <w:spacing w:before="160"/>
      </w:pPr>
      <w:r>
        <w:rPr>
          <w:b/>
        </w:rPr>
        <w:t>C.3. Раздел 14 (реквизиты) — три блока подписей:</w:t>
      </w:r>
    </w:p>
    <w:p>
      <w:pPr>
        <w:ind w:firstLine="567"/>
        <w:jc w:val="both"/>
      </w:pPr>
      <w:r>
        <w:t>Блок 1 — КОМПАНИЯ-ПРОИЗВОДИТЕЛЬ: реквизиты организации, должность, ФИО и подпись нашего директора, печать.</w:t>
      </w:r>
    </w:p>
    <w:p>
      <w:pPr>
        <w:ind w:firstLine="567"/>
        <w:jc w:val="both"/>
      </w:pPr>
      <w:r>
        <w:t>Блок 2 — КОМПАНИЯ-ПРОДАВЕЦ: реквизиты организации, должность, ФИО и подпись их директора, печать.</w:t>
      </w:r>
    </w:p>
    <w:p>
      <w:pPr>
        <w:ind w:firstLine="567"/>
        <w:jc w:val="both"/>
      </w:pPr>
      <w:r>
        <w:t>Блок 3 — ПОРУЧИТЕЛИ (новый): «ФИО ____________________, паспорт серия ______ № ____________, выдан ______________________, дата выдачи ____________, адрес регистрации ____________________, телефон ____________, e-mail ____________, подпись ____________________ / ____________ /» — отдельная строка на каждого поручителя.</w:t>
      </w:r>
    </w:p>
    <w:p>
      <w:pPr>
        <w:ind w:left="454"/>
        <w:jc w:val="both"/>
      </w:pPr>
      <w:r>
        <w:rPr>
          <w:i/>
          <w:sz w:val="20"/>
        </w:rPr>
        <w:t>Да, всё верно: в реквизитах будет наш директор, их директор и отдельно поручитель. Если поручитель — это тот же их директор, он подписывает договор дважды: во втором блоке за организацию, в третьем блоке за себя лично как физическое лицо, с паспортными данными. Без личной подписи физлица поручительство ничтожно (ст. 362 ГК РФ). Если поручителей двое — директор и участник — блок 3 содержит две подписи.</w:t>
      </w:r>
    </w:p>
    <w:p>
      <w:pPr>
        <w:spacing w:before="280"/>
      </w:pPr>
      <w:r>
        <w:rPr>
          <w:b/>
          <w:sz w:val="24"/>
        </w:rPr>
        <w:t>Раздел D. Налоговый режим сторон</w:t>
      </w:r>
    </w:p>
    <w:p>
      <w:pPr>
        <w:spacing w:before="160"/>
      </w:pPr>
      <w:r>
        <w:rPr>
          <w:b/>
        </w:rPr>
        <w:t>D.1. Новый пункт 10.5:</w:t>
      </w:r>
    </w:p>
    <w:p>
      <w:pPr>
        <w:ind w:firstLine="567"/>
        <w:jc w:val="both"/>
      </w:pPr>
      <w:r>
        <w:t>«10.5. Стороны заверяют друг друга (статья 431.2 Гражданского кодекса Российской Федерации), что применяют общую систему налогообложения и являются плательщиками налога на добавленную стоимость, надлежащим образом зарегистрированы, исполняют налоговые обязанности и отражают операции по настоящему договору в налоговой отчётности. Сторона обязана письменно уведомить другую Сторону о предстоящем изменении применяемой системы налогообложения или статуса плательщика налога на добавленную стоимость не позднее чем за 30 календарных дней до такого изменения. До согласования Сторонами последствий такого изменения Компания-производитель вправе не согласовывать новые заявки и спецификации и не передавать продукцию. Сторона, нарушившая настоящие заверения или обязанность по уведомлению, возмещает другой Стороне имущественные потери, включая суммы отказанных налоговых вычетов, доначисленных налогов, пеней и штрафов.»</w:t>
      </w:r>
    </w:p>
    <w:p>
      <w:pPr>
        <w:spacing w:before="280"/>
      </w:pPr>
      <w:r>
        <w:rPr>
          <w:b/>
          <w:sz w:val="24"/>
        </w:rPr>
        <w:t>Раздел E. Свобода производителя в приёме заявок и защита цены реализации</w:t>
      </w:r>
    </w:p>
    <w:p>
      <w:pPr>
        <w:spacing w:before="160"/>
      </w:pPr>
      <w:r>
        <w:rPr>
          <w:b/>
        </w:rPr>
        <w:t>E.1. Дополнение к пункту 3.1:</w:t>
      </w:r>
    </w:p>
    <w:p>
      <w:pPr>
        <w:ind w:firstLine="567"/>
        <w:jc w:val="both"/>
      </w:pPr>
      <w:r>
        <w:t>«Настоящий договор не порождает обязанности Компании-производителя принимать заявки и подписывать спецификации. Компания-производитель вправе отказать в согласовании любой заявки полностью или в части без объяснения причин, в том числе с учётом своей производственной загрузки, наличия сырья и коммерческой целесообразности. Отказ не является нарушением договора и не влечёт ответственности.»</w:t>
      </w:r>
    </w:p>
    <w:p>
      <w:pPr>
        <w:ind w:left="454"/>
        <w:jc w:val="both"/>
      </w:pPr>
      <w:r>
        <w:rPr>
          <w:i/>
          <w:sz w:val="20"/>
        </w:rPr>
        <w:t>Это замена минимальной цены реализации, о которой договорились не писать: если продавец начнёт продавать по ценам, при которых наценки нет, мы просто перестаём подписывать спецификации.</w:t>
      </w:r>
    </w:p>
    <w:p>
      <w:pPr>
        <w:spacing w:before="160"/>
      </w:pPr>
      <w:r>
        <w:rPr>
          <w:b/>
        </w:rPr>
        <w:t>E.2. Новый пункт 7.11 — защита от занижения цены реализации:</w:t>
      </w:r>
    </w:p>
    <w:p>
      <w:pPr>
        <w:ind w:firstLine="567"/>
        <w:jc w:val="both"/>
      </w:pPr>
      <w:r>
        <w:t>«7.11. При реализации продукции лицам, являющимся по отношению к Компании-продавцу взаимозависимыми или аффилированными, а также при передаче продукции безвозмездно, наценка от реализации определяется исходя из цены последующей реализации такой продукции независимым покупателям, а при её отсутствии — исходя из средней цены реализации аналогичной продукции Компанией-продавцом за отчётный период.»</w:t>
      </w:r>
    </w:p>
    <w:p>
      <w:pPr>
        <w:ind w:left="454"/>
        <w:jc w:val="both"/>
      </w:pPr>
      <w:r>
        <w:rPr>
          <w:i/>
          <w:sz w:val="20"/>
        </w:rPr>
        <w:t>Минимальную цену не устанавливаем, но без этого пункта наценку можно обнулить одной продажей «своей» компании по цене передачи с последующей перепродажей уже мимо нас.</w:t>
      </w:r>
    </w:p>
    <w:p>
      <w:pPr>
        <w:spacing w:before="280"/>
      </w:pPr>
      <w:r>
        <w:rPr>
          <w:b/>
          <w:sz w:val="24"/>
        </w:rPr>
        <w:t>Раздел F. Отчётность под новую модель</w:t>
      </w:r>
    </w:p>
    <w:p>
      <w:pPr>
        <w:spacing w:before="160"/>
      </w:pPr>
      <w:r>
        <w:rPr>
          <w:b/>
        </w:rPr>
        <w:t>F.1. Пункт 7.5 изложить в следующей редакции:</w:t>
      </w:r>
    </w:p>
    <w:p>
      <w:pPr>
        <w:ind w:firstLine="567"/>
        <w:jc w:val="both"/>
      </w:pPr>
      <w:r>
        <w:t>«7.5. Ежемесячный отчёт содержит по каждому SKU: количество реализованной продукции, цену реализации без учёта налога на добавленную стоимость, цену передачи, наценку от реализации, размер премии Компании-производителя, а также остатки продукции с указанием партий и дат передачи. Сведения о расходах Компании-продавца в отчёт не включаются и при расчётах не учитываются.»</w:t>
      </w:r>
    </w:p>
    <w:p>
      <w:pPr>
        <w:spacing w:before="160"/>
      </w:pPr>
      <w:r>
        <w:rPr>
          <w:b/>
        </w:rPr>
        <w:t>F.2. Пункт 7.6 изложить в следующей редакции:</w:t>
      </w:r>
    </w:p>
    <w:p>
      <w:pPr>
        <w:ind w:firstLine="567"/>
        <w:jc w:val="both"/>
      </w:pPr>
      <w:r>
        <w:t>«7.6. Компания-производитель вправе в течение 10 рабочих дней с даты получения отчёта направить мотивированные возражения. Согласование отчёта не лишает Компанию-производителя права требовать перерасчёта в течение 12 месяцев при выявлении ошибок, а также при получении Компанией-продавцом корректировок от маркетплейсов.»</w:t>
      </w:r>
    </w:p>
    <w:p>
      <w:pPr>
        <w:spacing w:before="160"/>
      </w:pPr>
      <w:r>
        <w:rPr>
          <w:b/>
        </w:rPr>
        <w:t>F.3. Новый пункт 7.7.1:</w:t>
      </w:r>
    </w:p>
    <w:p>
      <w:pPr>
        <w:ind w:firstLine="567"/>
        <w:jc w:val="both"/>
      </w:pPr>
      <w:r>
        <w:t>«7.7.1. Одновременно с отчётом Компания-продавец передаёт исходные выгрузки отчётов маркетплейсов и иных площадок о реализации продукции по настоящему договору в машиночитаемом формате (XLSX или CSV), содержащие сведения о количестве и ценах реализации.»</w:t>
      </w:r>
    </w:p>
    <w:p>
      <w:pPr>
        <w:ind w:left="454"/>
        <w:jc w:val="both"/>
      </w:pPr>
      <w:r>
        <w:rPr>
          <w:i/>
          <w:sz w:val="20"/>
        </w:rPr>
        <w:t>Расходные выгрузки больше не нужны — нам важны только количество и цена реализации.</w:t>
      </w:r>
    </w:p>
    <w:p>
      <w:pPr>
        <w:spacing w:before="280"/>
      </w:pPr>
      <w:r>
        <w:rPr>
          <w:b/>
          <w:sz w:val="24"/>
        </w:rPr>
        <w:t>Раздел G. Прочие правки, сохраняющие силу</w:t>
      </w:r>
    </w:p>
    <w:p>
      <w:pPr>
        <w:spacing w:before="160"/>
      </w:pPr>
      <w:r>
        <w:rPr>
          <w:b/>
        </w:rPr>
        <w:t>G.1. Пункт 11.1:</w:t>
      </w:r>
    </w:p>
    <w:p>
      <w:pPr>
        <w:ind w:firstLine="567"/>
        <w:jc w:val="both"/>
      </w:pPr>
      <w:r>
        <w:t>«11.1. За нарушение срока уплаты денежных средств Компания-продавец уплачивает Компании-производителю неустойку в размере 0,1% от суммы просроченного платежа за каждый календарный день просрочки.»</w:t>
      </w:r>
    </w:p>
    <w:p>
      <w:pPr>
        <w:spacing w:before="160"/>
      </w:pPr>
      <w:r>
        <w:rPr>
          <w:b/>
        </w:rPr>
        <w:t>G.2. Пункт 11.3 — исключить ограничение размера неустойки 10% для денежных обязательств Компании-продавца.</w:t>
      </w:r>
    </w:p>
    <w:p>
      <w:pPr>
        <w:spacing w:before="160"/>
      </w:pPr>
      <w:r>
        <w:rPr>
          <w:b/>
        </w:rPr>
        <w:t>G.3. Пункт 13.2:</w:t>
      </w:r>
    </w:p>
    <w:p>
      <w:pPr>
        <w:ind w:firstLine="567"/>
        <w:jc w:val="both"/>
      </w:pPr>
      <w:r>
        <w:t>«13.2. Если спор не урегулирован в претензионном порядке, он подлежит рассмотрению в Арбитражном суде ____________________ (по месту нахождения Компании-производителя).»</w:t>
      </w:r>
    </w:p>
    <w:p>
      <w:pPr>
        <w:spacing w:before="160"/>
      </w:pPr>
      <w:r>
        <w:rPr>
          <w:b/>
        </w:rPr>
        <w:t>G.4. Пункты 8.5 и 8.6 исключить (заменены разделом 7А).</w:t>
      </w:r>
    </w:p>
    <w:p>
      <w:pPr>
        <w:spacing w:before="160"/>
      </w:pPr>
      <w:r>
        <w:rPr>
          <w:b/>
        </w:rPr>
        <w:t>G.5. Приложение № 2 (спецификация): графы «Себестоимость единицы» и «Общая себестоимость» переименовать в «Цена передачи за единицу» и «Общая цена передачи партии».</w:t>
      </w:r>
    </w:p>
    <w:p>
      <w:pPr>
        <w:spacing w:before="160"/>
      </w:pPr>
      <w:r>
        <w:rPr>
          <w:b/>
        </w:rPr>
        <w:t>G.6. Приложение № 3 (калькуляция) сохраняется, форма дополняется строками производственных и накладных расходов, приходящихся на партию, и грифом «Конфиденциально».</w:t>
      </w:r>
    </w:p>
    <w:p>
      <w:pPr>
        <w:spacing w:before="160"/>
      </w:pPr>
      <w:r>
        <w:rPr>
          <w:b/>
        </w:rPr>
        <w:t>G.7. Приложение № 5 (отчёт): исключить графы «Прямые расходы проекта» и «Себестоимость реализованного товара», добавить графы «Цена реализации без НДС», «Цена передачи», «Наценка», «Премия 50%».</w:t>
      </w:r>
    </w:p>
    <w:p>
      <w:pPr>
        <w:spacing w:before="280"/>
      </w:pPr>
      <w:r>
        <w:rPr>
          <w:b/>
          <w:sz w:val="24"/>
        </w:rPr>
        <w:t>Раздел H. Что осталось уточнить</w:t>
      </w:r>
    </w:p>
    <w:p>
      <w:pPr>
        <w:jc w:val="both"/>
      </w:pPr>
      <w:r>
        <w:t>1. ФИО, паспортные данные и адреса регистрации поручителей — директора и участника Компании-продавца.</w:t>
      </w:r>
    </w:p>
    <w:p>
      <w:pPr>
        <w:jc w:val="both"/>
      </w:pPr>
      <w:r>
        <w:t>2. Лимит для пункта 15.4 (сумма, в пределах которой поручители заранее согласны отвечать при изменении условий) — предлагаем максимальный размер планируемой партии, умноженный на два.</w:t>
      </w:r>
    </w:p>
    <w:p>
      <w:pPr>
        <w:jc w:val="both"/>
      </w:pPr>
      <w:r>
        <w:t>3. Подтвердить, что наценка считается без НДС (в проекте заложено так, обе стороны на ОСНО).</w:t>
      </w:r>
    </w:p>
    <w:p>
      <w:pPr>
        <w:jc w:val="both"/>
      </w:pPr>
      <w:r>
        <w:t>4. Наименование арбитражного суда для пункта 13.2 — по месту нахождения Компании-производителя.</w:t>
      </w:r>
    </w:p>
    <w:sectPr w:rsidR="00FC693F" w:rsidRPr="0006063C" w:rsidSect="00034616">
      <w:pgSz w:w="12240" w:h="15840"/>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