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6"/>
        </w:rPr>
        <w:t>ПРОЕКТ ПУНКТОВ К РАМОЧНОМУ ДОГОВОРУ № ___. РЕДАКЦИЯ 2</w:t>
      </w:r>
    </w:p>
    <w:p>
      <w:pPr>
        <w:spacing w:before="200"/>
        <w:jc w:val="center"/>
      </w:pPr>
      <w:r>
        <w:rPr>
          <w:b/>
          <w:sz w:val="20"/>
        </w:rPr>
        <w:t>по договорённости от 26.08.2026: расходы продавца не вычитаются, предельный срок оплаты 30 дней, поручительство директора в тексте договора, калькуляция сохраняется</w:t>
      </w:r>
    </w:p>
    <w:p>
      <w:pPr>
        <w:jc w:val="both"/>
      </w:pPr>
      <w:r>
        <w:t>Редакция для обсуждения. Курсивом — пояснения, в текст договора не переносятся. Поля со знаком ____ требуют подстановки значений.</w:t>
      </w:r>
    </w:p>
    <w:p>
      <w:pPr>
        <w:spacing w:before="280"/>
      </w:pPr>
      <w:r>
        <w:rPr>
          <w:b/>
          <w:sz w:val="24"/>
        </w:rPr>
        <w:t>Раздел A. Смена экономической модели: убираем себестоимость и расходы проекта</w:t>
      </w:r>
    </w:p>
    <w:p>
      <w:pPr>
        <w:ind w:left="454"/>
        <w:jc w:val="both"/>
      </w:pPr>
      <w:r>
        <w:rPr>
          <w:i/>
          <w:sz w:val="20"/>
        </w:rPr>
        <w:t>По новой договорённости прибыль считается как разница между ценой, по которой продавец забрал товар по спецификации, и ценой, по которой он его реализовал. Никакие его расходы — комиссии маркетплейсов, логистика, хранение, реклама, скидки, возвраты, эквайринг, налоги — из этой разницы не вычитаются. Значит из договора уходят понятия «себестоимость» и «прямые расходы проекта», и вместе с ними уходит наша обязанность раскрывать структуру своих затрат. Это отдельная и большая польза: действующая редакция п. 3.4 прямо запрещает включать в себестоимость нашу прибыль и обязывает показывать калькуляцию по статьям.</w:t>
      </w:r>
    </w:p>
    <w:p>
      <w:pPr>
        <w:spacing w:before="160"/>
      </w:pPr>
      <w:r>
        <w:rPr>
          <w:b/>
        </w:rPr>
        <w:t>A.1. Пункт 1.4 изложить в следующей редакции:</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160"/>
      </w:pPr>
      <w:r>
        <w:rPr>
          <w:b/>
        </w:rPr>
        <w:t>A.2. Пункт 2.3 изложить в следующей редакции:</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spacing w:before="160"/>
      </w:pPr>
      <w:r>
        <w:rPr>
          <w:b/>
        </w:rPr>
        <w:t>A.3. Пункты 3.3 и 3.4 изложить в следующей редакции:</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Изменённая цена передачи применяется только к последующим партиям.»</w:t>
      </w:r>
    </w:p>
    <w:p>
      <w:pPr>
        <w:ind w:firstLine="567"/>
        <w:jc w:val="both"/>
      </w:pPr>
      <w:r>
        <w:t>«3.4. Цена передачи определяется на основании калькуляции по форме Приложения № 3, которая составляется Компанией-производителем и передаётся Компании-продавцу вместе со спецификацией. Калькуляция включает прямые расходы на производство продукции (сырьё, компоненты, тара, крышки, дозаторы, распылители, этикетки, упаковка, транспортная упаковка, маркировка, прямой производственный труд, лабораторные испытания партии), а также производственные и накладные расходы, приходящиеся на соответствующую партию (амортизация и обслуживание оборудования, энергоресурсы, оплата труда производственного и вспомогательного персонала, технологические потери и брак, контроль качества). Калькуляция носит информационный характер, подтверждает состав цены передачи и не ограничивает право Сторон согласовать иную цену передачи в спецификации. Сведения, содержащиеся в калькуляции, являются конфиденциальной информацией Компании-производителя и подпадают под раздел 10 настоящего договора.»</w:t>
      </w:r>
    </w:p>
    <w:p>
      <w:pPr>
        <w:ind w:left="454"/>
        <w:jc w:val="both"/>
      </w:pPr>
      <w:r>
        <w:rPr>
          <w:i/>
          <w:sz w:val="20"/>
        </w:rPr>
        <w:t>Никита просил оставить калькуляцию, чтобы продавец видел отсутствие наценки. Оставляем, но с двумя правками. Первая: в действующей редакции пункт 3.4 разрешает включать в себестоимость только прямые расходы и прямо исключает административные, управленческие и общехозяйственные — при таком тексте мы не покрываем даже амортизацию оборудования, энергию, зарплату производственного персонала и брак. В новой редакции производственные и накладные расходы на партию включены. Вторая: убрана фраза о том, что себестоимость не включает прибыль производителя. Показывать состав цены — нормально, принимать на себя обязательство работать без прибыли на уровне партии — нет: при такой формулировке весь наш доход зависит только от того, по какой цене продаст продавец, а он этим управляет единолично. И калькуляция прямо отнесена к коммерческой тайне.</w:t>
      </w:r>
    </w:p>
    <w:p>
      <w:pPr>
        <w:spacing w:before="160"/>
      </w:pPr>
      <w:r>
        <w:rPr>
          <w:b/>
        </w:rPr>
        <w:t>A.4. Пункты 6.3 и 6.4 изложить в следующей редакции:</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w:t>
      </w:r>
    </w:p>
    <w:p>
      <w:pPr>
        <w:spacing w:before="160"/>
      </w:pPr>
      <w:r>
        <w:rPr>
          <w:b/>
        </w:rPr>
        <w:t>A.5. Пункт 8.4 изложить в следующей редакции:</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 (ответственность Компании-производителя за производственный брак и нарушения, возникшие до передачи продукции).»</w:t>
      </w:r>
    </w:p>
    <w:p>
      <w:pPr>
        <w:ind w:left="454"/>
        <w:jc w:val="both"/>
      </w:pPr>
      <w:r>
        <w:rPr>
          <w:i/>
          <w:sz w:val="20"/>
        </w:rPr>
        <w:t>Оговорка про п. 8.2 нужна: наш брак остаётся нашим, иначе условие будет выглядеть кабальным и его будут оспаривать.</w:t>
      </w:r>
    </w:p>
    <w:p>
      <w:pPr>
        <w:spacing w:before="280"/>
      </w:pPr>
      <w:r>
        <w:rPr>
          <w:b/>
          <w:sz w:val="24"/>
        </w:rPr>
        <w:t>Раздел B. Расчёты: цена передачи, премия 50% и сроки оплаты</w:t>
      </w:r>
    </w:p>
    <w:p>
      <w:pPr>
        <w:spacing w:before="160"/>
      </w:pPr>
      <w:r>
        <w:rPr>
          <w:b/>
        </w:rPr>
        <w:t>B.1. Пункты 7.2 и 7.3 изложить в следующей редакции:</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left="454"/>
        <w:jc w:val="both"/>
      </w:pPr>
      <w:r>
        <w:rPr>
          <w:i/>
          <w:sz w:val="20"/>
        </w:rPr>
        <w:t>В действующей редакции п. 7.3 отрицательный результат переносится на будущие периоды и гасит нашу долю. При новой модели этого быть не должно.</w:t>
      </w:r>
    </w:p>
    <w:p>
      <w:pPr>
        <w:spacing w:before="160"/>
      </w:pPr>
      <w:r>
        <w:rPr>
          <w:b/>
        </w:rPr>
        <w:t>B.2. Порядок оформления премии — новый пункт 7.10:</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left="454"/>
        <w:jc w:val="both"/>
      </w:pPr>
      <w:r>
        <w:rPr>
          <w:i/>
          <w:sz w:val="20"/>
        </w:rPr>
        <w:t>Так премия остаётся частью цены товара, а не отдельной услугой, и не вызывает вопросов о безвозмездности или посредничестве. По НДС: с 01.07.2013 (Федеральный закон от 05.04.2013 № 39-ФЗ) увеличение стоимости отгруженных товаров учитывается в налоговом периоде составления корректировочных документов, а не в периоде отгрузки — уточнённые декларации и пени не потребуются.</w:t>
      </w:r>
    </w:p>
    <w:p>
      <w:pPr>
        <w:spacing w:before="280"/>
      </w:pPr>
      <w:r>
        <w:rPr>
          <w:b/>
          <w:sz w:val="24"/>
        </w:rPr>
        <w:t>Раздел 7А (новый). Сроки оплаты, риск непродажи, возврат или оплата остатков</w:t>
      </w:r>
    </w:p>
    <w:p>
      <w:pPr>
        <w:spacing w:before="160"/>
      </w:pPr>
      <w:r>
        <w:rPr>
          <w:b/>
        </w:rPr>
        <w:t>7А.1. Оплата реализованной продукции:</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spacing w:before="160"/>
      </w:pPr>
      <w:r>
        <w:rPr>
          <w:b/>
        </w:rPr>
        <w:t>7А.2. Предельный срок оплаты партии: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30 (тридцати) календарных дней с даты передачи партии по УПД или иному передаточному документу (предельный срок оплаты), если Компания-производитель не приняла решение о возврате остатка в порядке пункта 7А.4. Отсутствие реализации продукции, полное или частичное, не является основанием для продления предельного срока оплаты.»</w:t>
      </w:r>
    </w:p>
    <w:p>
      <w:pPr>
        <w:ind w:left="454"/>
        <w:jc w:val="both"/>
      </w:pPr>
      <w:r>
        <w:rPr>
          <w:i/>
          <w:sz w:val="20"/>
        </w:rPr>
        <w:t>Срок закрыт: 30 календарных дней на всю партию от даты передачи. Продали или нет — через 30 дней деньги у нас либо товар возвращается, и выбор между этим делаем мы. Этот же пункт снимает риск переквалификации сделки в комиссию: твёрдый срок оплаты, не зависящий от реализации, — главный признак поставки.</w:t>
      </w:r>
    </w:p>
    <w:p>
      <w:pPr>
        <w:spacing w:before="160"/>
      </w:pPr>
      <w:r>
        <w:rPr>
          <w:b/>
        </w:rPr>
        <w:t>7А.3. Сверка остатков перед предельным сроком:</w:t>
      </w:r>
    </w:p>
    <w:p>
      <w:pPr>
        <w:ind w:firstLine="567"/>
        <w:jc w:val="both"/>
      </w:pPr>
      <w:r>
        <w:t>«7А.3. Не позднее чем за 7 календарных дней до наступления предельного срока оплаты Компания-продавец направляет Компании-производителю сверку остатков по партии с указанием количества нереализованной продукции, её состояния, остаточного срока годности и места нахождения, и вправе заявить предложение о возврате нереализованного остатка.»</w:t>
      </w:r>
    </w:p>
    <w:p>
      <w:pPr>
        <w:spacing w:before="160"/>
      </w:pPr>
      <w:r>
        <w:rPr>
          <w:b/>
        </w:rPr>
        <w:t>7А.4. Право выбора — за производителем:</w:t>
      </w:r>
    </w:p>
    <w:p>
      <w:pPr>
        <w:ind w:firstLine="567"/>
        <w:jc w:val="both"/>
      </w:pPr>
      <w:r>
        <w:t>«7А.4. Право выбора между оплатой нереализованного остатка и его возвратом принадлежит Компании-производителю (пункт 3 статьи 488 Гражданского кодекса Российской Федерации). Компания-производитель сообщает своё решение в течение 3 рабочих дней с даты получения сверки. Если решение не сообщено, нереализованный остаток подлежит оплате в предельный срок оплаты.»</w:t>
      </w:r>
    </w:p>
    <w:p>
      <w:pPr>
        <w:ind w:left="454"/>
        <w:jc w:val="both"/>
      </w:pPr>
      <w:r>
        <w:rPr>
          <w:i/>
          <w:sz w:val="20"/>
        </w:rPr>
        <w:t>Пункт 3 статьи 488 ГК даёт право выбора именно продавцу товара. Позиция Президиума ВАС РФ от 16.05.2006: продавец вправе требовать возврата или оплаты товара независимо от момента перехода права собственности.</w:t>
      </w:r>
    </w:p>
    <w:p>
      <w:pPr>
        <w:spacing w:before="160"/>
      </w:pPr>
      <w:r>
        <w:rPr>
          <w:b/>
        </w:rPr>
        <w:t>7А.5. Условия приёма возврата:</w:t>
      </w:r>
    </w:p>
    <w:p>
      <w:pPr>
        <w:ind w:firstLine="567"/>
        <w:jc w:val="both"/>
      </w:pPr>
      <w:r>
        <w:t>«7А.5. Возврат нереализованной продукции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в отношении маркированной продукции Компанией-продавцом совершены все операции в государственной информационной системе мониторинга товаров, обеспечивающие возможность дальнейшего оборота продукции Компанией-производителем.»</w:t>
      </w:r>
    </w:p>
    <w:p>
      <w:pPr>
        <w:spacing w:before="160"/>
      </w:pPr>
      <w:r>
        <w:rPr>
          <w:b/>
        </w:rPr>
        <w:t>7А.6. Оформление и расходы на возврат:</w:t>
      </w:r>
    </w:p>
    <w:p>
      <w:pPr>
        <w:ind w:firstLine="567"/>
        <w:jc w:val="both"/>
      </w:pPr>
      <w:r>
        <w:t>«7А.6.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погрузку, разгрузку, а также расходы на перемаркировку, если она необходима, несёт Компания-продавец. Цена возврата равна цене передачи соответствующей продукции.»</w:t>
      </w:r>
    </w:p>
    <w:p>
      <w:pPr>
        <w:spacing w:before="160"/>
      </w:pPr>
      <w:r>
        <w:rPr>
          <w:b/>
        </w:rPr>
        <w:t>7А.7. Залог:</w:t>
      </w:r>
    </w:p>
    <w:p>
      <w:pPr>
        <w:ind w:firstLine="567"/>
        <w:jc w:val="both"/>
      </w:pPr>
      <w:r>
        <w:t>«7А.7.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spacing w:before="160"/>
      </w:pPr>
      <w:r>
        <w:rPr>
          <w:b/>
        </w:rPr>
        <w:t>7А.8. Последствия просрочки:</w:t>
      </w:r>
    </w:p>
    <w:p>
      <w:pPr>
        <w:ind w:firstLine="567"/>
        <w:jc w:val="both"/>
      </w:pPr>
      <w:r>
        <w:t>«7А.8. При нарушении Компанией-продавцом сроков оплаты, установленных пунктами 7А.1 и 7А.2, Компания-производитель вправе по своему выбору потребовать оплаты продукции либо её возврата, а также приостановить производство и передачу новых партий до устранения нарушения. На сумму задолженности начисляются проценты за пользование коммерческим кредитом в размере 1% (одного процента) за каждый календарный день просрочки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left="454"/>
        <w:jc w:val="both"/>
      </w:pPr>
      <w:r>
        <w:rPr>
          <w:i/>
          <w:sz w:val="20"/>
        </w:rPr>
        <w:t>1% в день — это 365% годовых. Проценты по статье 823 ГК являются платой за пользование, а не неустойкой, и по общему правилу не снижаются по статье 333 ГК; правило о ростовщических процентах (пункт 5 статьи 809 ГК) к отношениям между организациями не применяется. Тем не менее в практике есть случаи, когда суд при значительном превышении обычно взимаемых ставок квалифицирует такое условие как злоупотребление правом и снижает плату. Поэтому оставляем и проценты, и неустойку: если суд срежет одно, останется другое. Оговорка последнего предложения нужна, чтобы нам не отказали во всём сразу из-за двойной ответственности.</w:t>
      </w:r>
    </w:p>
    <w:p>
      <w:pPr>
        <w:spacing w:before="160"/>
      </w:pPr>
      <w:r>
        <w:rPr>
          <w:b/>
        </w:rPr>
        <w:t>7А.9. Расчёты при прекращении договора — дополнение к пункту 12.4:</w:t>
      </w:r>
    </w:p>
    <w:p>
      <w:pPr>
        <w:ind w:firstLine="567"/>
        <w:jc w:val="both"/>
      </w:pPr>
      <w:r>
        <w:t>«При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80"/>
      </w:pPr>
      <w:r>
        <w:rPr>
          <w:b/>
          <w:sz w:val="24"/>
        </w:rPr>
        <w:t>Раздел C. Поручительство директора и собственника — прямо в тексте договора</w:t>
      </w:r>
    </w:p>
    <w:p>
      <w:pPr>
        <w:ind w:left="454"/>
        <w:jc w:val="both"/>
      </w:pPr>
      <w:r>
        <w:rPr>
          <w:i/>
          <w:sz w:val="20"/>
        </w:rPr>
        <w:t>Да, отдельный договор не нужен: поручительство можно включить в основной договор, он становится трёхсторонним и поручитель подписывает его лично как физическое лицо. Это прямо допускается (п. 3 ст. 361 ГК РФ, п. 6 Постановления Пленума Верховного Суда РФ от 24.12.2020 № 45; Готовое решение КонсультантПлюс «Как составить договор поручительства», 2026, раздел о трёхстороннем договоре). Обязательное условие — письменная форма и личная подпись поручителя, иначе поручительство ничтожно (ст. 362 ГК РФ).</w:t>
      </w:r>
    </w:p>
    <w:p>
      <w:pPr>
        <w:spacing w:before="160"/>
      </w:pPr>
      <w:r>
        <w:rPr>
          <w:b/>
        </w:rPr>
        <w:t>C.1. Преамбулу договора дополнить третьей стороной:</w:t>
      </w:r>
    </w:p>
    <w:p>
      <w:pPr>
        <w:ind w:firstLine="567"/>
        <w:jc w:val="both"/>
      </w:pPr>
      <w:r>
        <w:t>«и ____________________ (паспорт серия ______ № ____________, выдан ______________________, дата выдачи ____________, зарегистрирован по адресу: ______________________), являющийся единоличным исполнительным органом Компании-продавца, и ____________________ (паспорт серия ______ № __________, выдан ______________________, дата выдачи ____________, зарегистрирован по адресу: ______________________), являющийся участником Компании-продавца, именуемые в дальнейшем «Поручители», с третьей стороны,»</w:t>
      </w:r>
    </w:p>
    <w:p>
      <w:pPr>
        <w:spacing w:before="160"/>
      </w:pPr>
      <w:r>
        <w:rPr>
          <w:b/>
        </w:rPr>
        <w:t>C.2. Новый раздел 15 «Поручительство»:</w:t>
      </w:r>
    </w:p>
    <w:p>
      <w:pPr>
        <w:ind w:firstLine="567"/>
        <w:jc w:val="both"/>
      </w:pPr>
      <w:r>
        <w:t>«15.1. Поручители обязуются отвечать перед Компанией-производителем за исполнение Компанией-продавцом всех денежных обязательств, возникающих из настоящего договора и заключённых во исполнение него заявок, спецификаций и иных документов, включая обязательства по уплате цены передачи продукции, премии, процентов за пользование коммерческим кредитом, неустойки, возмещению убытков и имущественных потерь, а также по возврату неосновательного обогащения.»</w:t>
      </w:r>
    </w:p>
    <w:p>
      <w:pPr>
        <w:ind w:firstLine="567"/>
        <w:jc w:val="both"/>
      </w:pPr>
      <w:r>
        <w:t>«15.2. Поручители отвечают перед Компанией-производителем солидарно с Компанией-продавцом и между собой, в том же объёме, что и Компания-продавец (пункты 1 и 2 статьи 363 Гражданского кодекса Российской Федерации). Компания-производитель вправе предъявить требование к любому из Поручителей или ко всем совместно, не предъявляя предварительно требование к Компании-продавцу.»</w:t>
      </w:r>
    </w:p>
    <w:p>
      <w:pPr>
        <w:ind w:firstLine="567"/>
        <w:jc w:val="both"/>
      </w:pPr>
      <w:r>
        <w:t>«15.3. Поручительство обеспечивает обязательства Компании-продавца, как существующие на дату подписания настоящего договора, так и те, которые возникнут в будущем в течение срока его действия, включая обязательства по партиям продукции, передаваемым после подписания договора. Размер обеспечиваемых обязательств не ограничен.»</w:t>
      </w:r>
    </w:p>
    <w:p>
      <w:pPr>
        <w:ind w:firstLine="567"/>
        <w:jc w:val="both"/>
      </w:pPr>
      <w:r>
        <w:t>«15.4. Поручители заранее дают согласие отвечать перед Компанией-производителем на изменённых условиях в случае изменения обеспеченных обязательств, в том числе при увеличении объёма партий, изменения цены передачи, сроков оплаты и размера ответственности, в пределах, не превышающих ____________ рублей по каждой партии (пункт 2 статьи 367 Гражданского кодекса Российской Федерации).»</w:t>
      </w:r>
    </w:p>
    <w:p>
      <w:pPr>
        <w:ind w:left="454"/>
        <w:jc w:val="both"/>
      </w:pPr>
      <w:r>
        <w:rPr>
          <w:i/>
          <w:sz w:val="20"/>
        </w:rPr>
        <w:t>Пункт 15.4 обязателен. Без заранее данного согласия любое изменение, увеличивающее ответственность должника, прекращает поручительство в этой части — то есть при первой же новой спецификации на больший объём поручительство перестанет покрывать разницу. Лимит можно поставить с запасом, например максимальный планируемый размер партии, умноженный на два.</w:t>
      </w:r>
    </w:p>
    <w:p>
      <w:pPr>
        <w:ind w:firstLine="567"/>
        <w:jc w:val="both"/>
      </w:pPr>
      <w:r>
        <w:t>«15.5. Поручительство действует в течение 3 (трёх) лет с даты наступления срока исполнения соответствующего обеспеченного обязательства.»</w:t>
      </w:r>
    </w:p>
    <w:p>
      <w:pPr>
        <w:ind w:left="454"/>
        <w:jc w:val="both"/>
      </w:pPr>
      <w:r>
        <w:rPr>
          <w:i/>
          <w:sz w:val="20"/>
        </w:rPr>
        <w:t>Срок указывать обязательно. Если его не написать, поручительство прекращается через год со дня, когда обязательство должно было быть исполнено, если за этот год не подан иск (пункт 6 статьи 367 ГК РФ; конституционно-правовой смысл нормы раскрыт в Постановлении Конституционного Суда РФ от 26.02.2024 № 8-П). При сроке оплаты 30 дней это означало бы, что по каждой партии у нас всего год.</w:t>
      </w:r>
    </w:p>
    <w:p>
      <w:pPr>
        <w:ind w:firstLine="567"/>
        <w:jc w:val="both"/>
      </w:pPr>
      <w:r>
        <w:t>«15.6. Прекращение полномочий единоличного исполнительного органа Компании-продавца, выход участника из состава участников Компании-продавца, отчуждение доли, реорганизация или смена наименования Компании-продавца не прекращают поручительство и не освобождают Поручителей от ответственности по обязательствам, возникшим до наступления указанных обстоятельств.»</w:t>
      </w:r>
    </w:p>
    <w:p>
      <w:pPr>
        <w:ind w:firstLine="567"/>
        <w:jc w:val="both"/>
      </w:pPr>
      <w:r>
        <w:t>«15.7. Поручители подтверждают, что ознакомлены со всеми условиями настоящего договора, в том числе с разделом 7А, размером процентов и неустойки, и что заключение поручительства не требует получения согласия третьих лиц.»</w:t>
      </w:r>
    </w:p>
    <w:p>
      <w:pPr>
        <w:ind w:firstLine="567"/>
        <w:jc w:val="both"/>
      </w:pPr>
      <w:r>
        <w:t>«15.8. Утрата поручительства по любому основанию является основанием для приостановления Компанией-производителем производства и передачи новых партий продукции до предоставления равноценного обеспечения.»</w:t>
      </w:r>
    </w:p>
    <w:p>
      <w:pPr>
        <w:spacing w:before="160"/>
      </w:pPr>
      <w:r>
        <w:rPr>
          <w:b/>
        </w:rPr>
        <w:t>C.3. Раздел 14 (реквизиты) дополнить третьим блоком:</w:t>
      </w:r>
    </w:p>
    <w:p>
      <w:pPr>
        <w:ind w:firstLine="567"/>
        <w:jc w:val="both"/>
      </w:pPr>
      <w:r>
        <w:t>«ПОРУЧИТЕЛИ: ФИО ____________________, паспорт ____________, адрес регистрации ____________________, телефон ____________, e-mail ____________, подпись ____________________ / ____________ /»</w:t>
      </w:r>
    </w:p>
    <w:p>
      <w:pPr>
        <w:ind w:left="454"/>
        <w:jc w:val="both"/>
      </w:pPr>
      <w:r>
        <w:rPr>
          <w:i/>
          <w:sz w:val="20"/>
        </w:rPr>
        <w:t>Подпись поручителя ставится лично как физического лица, отдельно от подписи за Компанию-продавца, даже если это тот же человек. Один и тот же директор подписывает договор дважды: за организацию и за себя как поручителя.</w:t>
      </w:r>
    </w:p>
    <w:p>
      <w:pPr>
        <w:spacing w:before="280"/>
      </w:pPr>
      <w:r>
        <w:rPr>
          <w:b/>
          <w:sz w:val="24"/>
        </w:rPr>
        <w:t>Раздел D. Налоговый режим сторон</w:t>
      </w:r>
    </w:p>
    <w:p>
      <w:pPr>
        <w:spacing w:before="160"/>
      </w:pPr>
      <w:r>
        <w:rPr>
          <w:b/>
        </w:rPr>
        <w:t>D.1. Новый пункт 10.5:</w:t>
      </w:r>
    </w:p>
    <w:p>
      <w:pPr>
        <w:ind w:firstLine="567"/>
        <w:jc w:val="both"/>
      </w:pPr>
      <w:r>
        <w:t>«10.5.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spacing w:before="280"/>
      </w:pPr>
      <w:r>
        <w:rPr>
          <w:b/>
          <w:sz w:val="24"/>
        </w:rPr>
        <w:t>Раздел E. Свобода производителя в приёме заявок и защита цены реализации</w:t>
      </w:r>
    </w:p>
    <w:p>
      <w:pPr>
        <w:spacing w:before="160"/>
      </w:pPr>
      <w:r>
        <w:rPr>
          <w:b/>
        </w:rPr>
        <w:t>E.1. Дополнение к пункту 3.1:</w:t>
      </w:r>
    </w:p>
    <w:p>
      <w:pPr>
        <w:ind w:firstLine="567"/>
        <w:jc w:val="both"/>
      </w:pPr>
      <w:r>
        <w:t>«Настоящий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своей производственной загрузки, наличия сырья и коммерческой целесообразности. Отказ не является нарушением договора и не влечёт ответственности.»</w:t>
      </w:r>
    </w:p>
    <w:p>
      <w:pPr>
        <w:ind w:left="454"/>
        <w:jc w:val="both"/>
      </w:pPr>
      <w:r>
        <w:rPr>
          <w:i/>
          <w:sz w:val="20"/>
        </w:rPr>
        <w:t>Это замена минимальной цены реализации, о которой договорились не писать: если продавец начнёт продавать по ценам, при которых наценки нет, мы просто перестаём подписывать спецификации.</w:t>
      </w:r>
    </w:p>
    <w:p>
      <w:pPr>
        <w:spacing w:before="160"/>
      </w:pPr>
      <w:r>
        <w:rPr>
          <w:b/>
        </w:rPr>
        <w:t>E.2. Новый пункт 7.11 — защита от занижения цены реализации:</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передаче продукции безвозмездно,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ind w:left="454"/>
        <w:jc w:val="both"/>
      </w:pPr>
      <w:r>
        <w:rPr>
          <w:i/>
          <w:sz w:val="20"/>
        </w:rPr>
        <w:t>Минимальную цену не устанавливаем, но без этого пункта наценку можно обнулить одной продажей «своей» компании по цене передачи с последующей перепродажей уже мимо нас.</w:t>
      </w:r>
    </w:p>
    <w:p>
      <w:pPr>
        <w:spacing w:before="280"/>
      </w:pPr>
      <w:r>
        <w:rPr>
          <w:b/>
          <w:sz w:val="24"/>
        </w:rPr>
        <w:t>Раздел F. Отчётность под новую модель</w:t>
      </w:r>
    </w:p>
    <w:p>
      <w:pPr>
        <w:spacing w:before="160"/>
      </w:pPr>
      <w:r>
        <w:rPr>
          <w:b/>
        </w:rPr>
        <w:t>F.1. Пункт 7.5 изложить в следующей редакции:</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w:t>
      </w:r>
    </w:p>
    <w:p>
      <w:pPr>
        <w:spacing w:before="160"/>
      </w:pPr>
      <w:r>
        <w:rPr>
          <w:b/>
        </w:rPr>
        <w:t>F.2. Пункт 7.6 изложить в следующей редакции:</w:t>
      </w:r>
    </w:p>
    <w:p>
      <w:pPr>
        <w:ind w:firstLine="567"/>
        <w:jc w:val="both"/>
      </w:pPr>
      <w:r>
        <w:t>«7.6. Компания-производитель вправе в течение 10 рабочих дней с даты получения отчёта направить мотивированные возражения.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spacing w:before="160"/>
      </w:pPr>
      <w:r>
        <w:rPr>
          <w:b/>
        </w:rPr>
        <w:t>F.3. Новый пункт 7.7.1:</w:t>
      </w:r>
    </w:p>
    <w:p>
      <w:pPr>
        <w:ind w:firstLine="567"/>
        <w:jc w:val="both"/>
      </w:pPr>
      <w:r>
        <w:t>«7.7.1.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left="454"/>
        <w:jc w:val="both"/>
      </w:pPr>
      <w:r>
        <w:rPr>
          <w:i/>
          <w:sz w:val="20"/>
        </w:rPr>
        <w:t>Расходные выгрузки больше не нужны — нам важны только количество и цена реализации.</w:t>
      </w:r>
    </w:p>
    <w:p>
      <w:pPr>
        <w:spacing w:before="280"/>
      </w:pPr>
      <w:r>
        <w:rPr>
          <w:b/>
          <w:sz w:val="24"/>
        </w:rPr>
        <w:t>Раздел G. Прочие правки, сохраняющие силу</w:t>
      </w:r>
    </w:p>
    <w:p>
      <w:pPr>
        <w:spacing w:before="160"/>
      </w:pPr>
      <w:r>
        <w:rPr>
          <w:b/>
        </w:rPr>
        <w:t>G.1. Пункт 11.1:</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spacing w:before="160"/>
      </w:pPr>
      <w:r>
        <w:rPr>
          <w:b/>
        </w:rPr>
        <w:t>G.2. Пункт 11.3 — исключить ограничение размера неустойки 10% для денежных обязательств Компании-продавца.</w:t>
      </w:r>
    </w:p>
    <w:p>
      <w:pPr>
        <w:spacing w:before="160"/>
      </w:pPr>
      <w:r>
        <w:rPr>
          <w:b/>
        </w:rPr>
        <w:t>G.3. Пункт 13.2:</w:t>
      </w:r>
    </w:p>
    <w:p>
      <w:pPr>
        <w:ind w:firstLine="567"/>
        <w:jc w:val="both"/>
      </w:pPr>
      <w:r>
        <w:t>«13.2. Если спор не урегулирован в претензионном порядке, он подлежит рассмотрению в Арбитражном суде ____________________ (по месту нахождения Компании-производителя).»</w:t>
      </w:r>
    </w:p>
    <w:p>
      <w:pPr>
        <w:spacing w:before="160"/>
      </w:pPr>
      <w:r>
        <w:rPr>
          <w:b/>
        </w:rPr>
        <w:t>G.4. Пункты 8.5 и 8.6 исключить (заменены разделом 7А).</w:t>
      </w:r>
    </w:p>
    <w:p>
      <w:pPr>
        <w:spacing w:before="160"/>
      </w:pPr>
      <w:r>
        <w:rPr>
          <w:b/>
        </w:rPr>
        <w:t>G.5. Приложение № 2 (спецификация): графы «Себестоимость единицы» и «Общая себестоимость» переименовать в «Цена передачи за единицу» и «Общая цена передачи партии».</w:t>
      </w:r>
    </w:p>
    <w:p>
      <w:pPr>
        <w:spacing w:before="160"/>
      </w:pPr>
      <w:r>
        <w:rPr>
          <w:b/>
        </w:rPr>
        <w:t>G.6. Приложение № 3 (калькуляция) сохраняется, форма дополняется строками производственных и накладных расходов, приходящихся на партию, и грифом «Конфиденциально».</w:t>
      </w:r>
    </w:p>
    <w:p>
      <w:pPr>
        <w:spacing w:before="160"/>
      </w:pPr>
      <w:r>
        <w:rPr>
          <w:b/>
        </w:rPr>
        <w:t>G.7. Приложение № 5 (отчёт): исключить графы «Прямые расходы проекта» и «Себестоимость реализованного товара», добавить графы «Цена реализации без НДС», «Цена передачи», «Наценка», «Премия 50%».</w:t>
      </w:r>
    </w:p>
    <w:p>
      <w:pPr>
        <w:spacing w:before="280"/>
      </w:pPr>
      <w:r>
        <w:rPr>
          <w:b/>
          <w:sz w:val="24"/>
        </w:rPr>
        <w:t>Раздел H. Что осталось уточнить</w:t>
      </w:r>
    </w:p>
    <w:p>
      <w:pPr>
        <w:jc w:val="both"/>
      </w:pPr>
      <w:r>
        <w:t>1. ФИО, паспортные данные и адреса регистрации поручителей — директора и участника Компании-продавца.</w:t>
      </w:r>
    </w:p>
    <w:p>
      <w:pPr>
        <w:jc w:val="both"/>
      </w:pPr>
      <w:r>
        <w:t>2. Лимит для пункта 15.4 (сумма, в пределах которой поручители заранее согласны отвечать при изменении условий) — предлагаем максимальный размер планируемой партии, умноженный на два.</w:t>
      </w:r>
    </w:p>
    <w:p>
      <w:pPr>
        <w:jc w:val="both"/>
      </w:pPr>
      <w:r>
        <w:t>3. Подтвердить, что наценка считается без НДС (в проекте заложено так, обе стороны на ОСНО).</w:t>
      </w:r>
    </w:p>
    <w:p>
      <w:pPr>
        <w:jc w:val="both"/>
      </w:pPr>
      <w:r>
        <w:t>4. Наименование арбитражного суда для пункта 13.2 — по месту нахождения Компании-производителя.</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