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/>
        <w:jc w:val="center"/>
      </w:pPr>
      <w:r>
        <w:rPr>
          <w:b/>
          <w:sz w:val="26"/>
        </w:rPr>
        <w:t>ПРОЕКТ ПУНКТОВ К РАМОЧНОМУ ДОГОВОРУ № ___</w:t>
      </w:r>
    </w:p>
    <w:p>
      <w:pPr>
        <w:spacing w:before="200"/>
        <w:jc w:val="center"/>
      </w:pPr>
      <w:r>
        <w:rPr>
          <w:b/>
          <w:sz w:val="22"/>
        </w:rPr>
        <w:t>отсрочка платежа, риск непродажи, возврат или оплата остатков</w:t>
      </w:r>
    </w:p>
    <w:p>
      <w:pPr>
        <w:jc w:val="both"/>
      </w:pPr>
      <w:r>
        <w:rPr>
          <w:b w:val="0"/>
          <w:i/>
        </w:rPr>
        <w:t>Редакция для обсуждения. Не включать в договор до согласования сторонами. Курсивом — пояснения, в текст договора не переносятся.</w:t>
      </w:r>
    </w:p>
    <w:p>
      <w:pPr>
        <w:spacing w:before="240"/>
      </w:pPr>
      <w:r>
        <w:rPr>
          <w:b/>
        </w:rPr>
        <w:t>1. Правки к действующим пунктам договора</w:t>
      </w:r>
    </w:p>
    <w:p>
      <w:pPr>
        <w:jc w:val="both"/>
      </w:pPr>
      <w:r>
        <w:rPr>
          <w:b/>
          <w:i w:val="0"/>
        </w:rPr>
        <w:t>Пункт 5.2 изложить в следующей редакции:</w:t>
      </w:r>
    </w:p>
    <w:p>
      <w:pPr>
        <w:ind w:firstLine="567"/>
        <w:jc w:val="both"/>
      </w:pPr>
      <w:r>
        <w:rPr>
          <w:b w:val="0"/>
          <w:i w:val="0"/>
        </w:rPr>
        <w:t>«5.2. Переход права собственности к Компании-продавцу не прекращает право Компании-производителя на получение оплаты продукции и вознаграждения в порядке, установленном настоящим договором. Продукция передаётся Компании-продавцу на условиях отсрочки платежа. Оплата производится по мере фактической реализации продукции, но в любом случае не позднее предельного срока оплаты, установленного пунктом 7А.1 настоящего договора, независимо от факта и объёма реализации продукции.»</w:t>
      </w:r>
    </w:p>
    <w:p>
      <w:pPr>
        <w:ind w:left="454"/>
        <w:jc w:val="both"/>
      </w:pPr>
      <w:r>
        <w:rPr>
          <w:i/>
          <w:sz w:val="20"/>
        </w:rPr>
        <w:t>Сейчас: «оплата не за всю партию сразу, а по мере фактической реализации» — без предельного срока. В этой редакции риск непродажи целиком на производителе: не продали — платить не обязаны и вернуть не обязаны.</w:t>
      </w:r>
    </w:p>
    <w:p>
      <w:pPr>
        <w:jc w:val="both"/>
      </w:pPr>
      <w:r>
        <w:rPr>
          <w:b/>
          <w:i w:val="0"/>
        </w:rPr>
        <w:t>Пункт 7.2 дополнить абзацем:</w:t>
      </w:r>
    </w:p>
    <w:p>
      <w:pPr>
        <w:ind w:firstLine="567"/>
        <w:jc w:val="both"/>
      </w:pPr>
      <w:r>
        <w:rPr>
          <w:b w:val="0"/>
          <w:i w:val="0"/>
        </w:rPr>
        <w:t>«Расчёт по итогам отчётного периода не отменяет и не переносит обязанность Компании-продавца оплатить нереализованный остаток партии по наступлении предельного срока оплаты в соответствии с разделом 7А настоящего договора.»</w:t>
      </w:r>
    </w:p>
    <w:p>
      <w:pPr>
        <w:jc w:val="both"/>
      </w:pPr>
      <w:r>
        <w:rPr>
          <w:b/>
          <w:i w:val="0"/>
        </w:rPr>
        <w:t>Пункт 7.3 изложить в следующей редакции:</w:t>
      </w:r>
    </w:p>
    <w:p>
      <w:pPr>
        <w:ind w:firstLine="567"/>
        <w:jc w:val="both"/>
      </w:pPr>
      <w:r>
        <w:rPr>
          <w:b w:val="0"/>
          <w:i w:val="0"/>
        </w:rPr>
        <w:t>«7.3. Если по итогам отчётного периода чистая прибыль отсутствует или является отрицательной, Компания-производитель получает стоимость фактически реализованной продукции. Отрицательный коммерческий результат может уменьшать будущую чистую прибыль по тому же SKU в течение не более 6 месяцев с даты его возникновения и не может уменьшать выплаты Компании-производителю в части стоимости продукции. Отрицательный результат, возникший вследствие реализации продукции по цене ниже минимальной цены реализации, установленной пунктом 6.1.1, а также вследствие превышения предельного размера рекламных расходов, установленного пунктом 6.3.1, при расчёте чистой прибыли не учитывается.»</w:t>
      </w:r>
    </w:p>
    <w:p>
      <w:pPr>
        <w:ind w:left="454"/>
        <w:jc w:val="both"/>
      </w:pPr>
      <w:r>
        <w:rPr>
          <w:i/>
          <w:sz w:val="20"/>
        </w:rPr>
        <w:t>Иначе продавец, свободно назначая цены, скидки и рекламные бюджеты (п. 6.1), может годами гасить нашу долю прибыли накопленным убытком, на который мы не влияем.</w:t>
      </w:r>
    </w:p>
    <w:p>
      <w:pPr>
        <w:jc w:val="both"/>
      </w:pPr>
      <w:r>
        <w:rPr>
          <w:b/>
          <w:i w:val="0"/>
        </w:rPr>
        <w:t>Пункты 8.5 и 8.6 исключить, заменив разделом 7А.</w:t>
      </w:r>
    </w:p>
    <w:p>
      <w:pPr>
        <w:ind w:left="454"/>
        <w:jc w:val="both"/>
      </w:pPr>
      <w:r>
        <w:rPr>
          <w:i/>
          <w:sz w:val="20"/>
        </w:rPr>
        <w:t>Сейчас 8.5–8.6: через 6 месяцев стороны «обсуждают», а если не договорились за 10 рабочих дней — продавец решает судьбу остатков сам. Это прямо противоположно договорённости.</w:t>
      </w:r>
    </w:p>
    <w:p>
      <w:pPr>
        <w:jc w:val="both"/>
      </w:pPr>
      <w:r>
        <w:rPr>
          <w:b/>
          <w:i w:val="0"/>
        </w:rPr>
        <w:t>Пункт 12.4 дополнить:</w:t>
      </w:r>
    </w:p>
    <w:p>
      <w:pPr>
        <w:ind w:firstLine="567"/>
        <w:jc w:val="both"/>
      </w:pPr>
      <w:r>
        <w:rPr>
          <w:b w:val="0"/>
          <w:i w:val="0"/>
        </w:rPr>
        <w:t>«При прекращении настоящего договора вся нереализованная продукция, переданная Компании-продавцу, подлежит оплате либо возврату в порядке раздела 7А в течение 15 рабочих дней с даты прекращения договора, независимо от того, наступил ли предельный срок оплаты по соответствующей партии.»</w:t>
      </w:r>
    </w:p>
    <w:p>
      <w:pPr>
        <w:jc w:val="both"/>
      </w:pPr>
      <w:r>
        <w:rPr>
          <w:b/>
          <w:i w:val="0"/>
        </w:rPr>
        <w:t>Пункт 13.2 изложить в следующей редакции:</w:t>
      </w:r>
    </w:p>
    <w:p>
      <w:pPr>
        <w:ind w:firstLine="567"/>
        <w:jc w:val="both"/>
      </w:pPr>
      <w:r>
        <w:rPr>
          <w:b w:val="0"/>
          <w:i w:val="0"/>
        </w:rPr>
        <w:t>«13.2. Если спор не урегулирован в претензионном порядке, он подлежит рассмотрению в Арбитражном суде ____________________ (по месту нахождения Компании-производителя).»</w:t>
      </w:r>
    </w:p>
    <w:p>
      <w:pPr>
        <w:ind w:left="454"/>
        <w:jc w:val="both"/>
      </w:pPr>
      <w:r>
        <w:rPr>
          <w:i/>
          <w:sz w:val="20"/>
        </w:rPr>
        <w:t>Взыскивать деньги будем мы — при подсудности по месту ответчика судиться придётся в их регионе.</w:t>
      </w:r>
    </w:p>
    <w:p>
      <w:pPr>
        <w:spacing w:before="240"/>
      </w:pPr>
      <w:r>
        <w:rPr>
          <w:b/>
        </w:rPr>
        <w:t>2. Новый раздел 7А. Предельный срок оплаты, возврат или выкуп остатков</w:t>
      </w:r>
    </w:p>
    <w:p>
      <w:pPr>
        <w:ind w:firstLine="567"/>
        <w:jc w:val="both"/>
      </w:pPr>
      <w:r>
        <w:rPr>
          <w:b w:val="0"/>
          <w:i w:val="0"/>
        </w:rPr>
        <w:t>«7А.1. Предельный срок оплаты партии продукции составляет ______ (____________) календарных дней с даты передачи партии по УПД или иному передаточному документу. По наступлении предельного срока оплаты Компания-продавец обязана оплатить всю нереализованную часть партии независимо от факта её реализации, если Компания-производитель не приняла решение о возврате остатка в порядке пункта 7А.3.»</w:t>
      </w:r>
    </w:p>
    <w:p>
      <w:pPr>
        <w:ind w:firstLine="567"/>
        <w:jc w:val="both"/>
      </w:pPr>
      <w:r>
        <w:rPr>
          <w:b w:val="0"/>
          <w:i w:val="0"/>
        </w:rPr>
        <w:t>«7А.2. Не позднее чем за 15 рабочих дней до наступления предельного срока оплаты Компания-продавец направляет Компании-производителю сверку остатков по партии с указанием количества нереализованной продукции, её состояния, остаточного срока годности и места нахождения, а также вправе заявить предложение о возврате нереализованного остатка.»</w:t>
      </w:r>
    </w:p>
    <w:p>
      <w:pPr>
        <w:ind w:firstLine="567"/>
        <w:jc w:val="both"/>
      </w:pPr>
      <w:r>
        <w:rPr>
          <w:b w:val="0"/>
          <w:i w:val="0"/>
        </w:rPr>
        <w:t>«7А.3. Право выбора между оплатой нереализованного остатка и его возвратом принадлежит Компании-производителю (пункт 3 статьи 488 Гражданского кодекса Российской Федерации). Компания-производитель сообщает своё решение в течение 5 рабочих дней с даты получения сверки. Если решение не сообщено, нереализованный остаток подлежит оплате.»</w:t>
      </w:r>
    </w:p>
    <w:p>
      <w:pPr>
        <w:ind w:left="454"/>
        <w:jc w:val="both"/>
      </w:pPr>
      <w:r>
        <w:rPr>
          <w:i/>
          <w:sz w:val="20"/>
        </w:rPr>
        <w:t>Ключевой пункт. Если право выбора отдать продавцу, он вернёт нам весь неликвид: мятые и вскрытые упаковки со склада маркетплейса, короткий остаточный срок годности, выведенные из оборота коды «Честного знака». Закон (п. 3 ст. 488 ГК) даёт право выбора именно продавцу товара, то есть нам. Позиция Президиума ВАС РФ от 16.05.2006: продавец вправе требовать возврата или оплаты товара независимо от момента перехода права собственности.</w:t>
      </w:r>
    </w:p>
    <w:p>
      <w:pPr>
        <w:ind w:firstLine="567"/>
        <w:jc w:val="both"/>
      </w:pPr>
      <w:r>
        <w:rPr>
          <w:b w:val="0"/>
          <w:i w:val="0"/>
        </w:rPr>
        <w:t>«7А.4. Возврат нереализованной продукции допускается при одновременном соблюдении следующих условий: продукция находится в товарном виде, в неповреждённой оригинальной потребительской и транспортной упаковке, с неповреждённой этикеткой и маркировкой; остаточный срок годности составляет не менее 70% от установленного срока годности; продукция не была в употреблении, не вскрывалась, не переупаковывалась и не переклеивалась; в отношении маркированной продукции Компанией-продавцом совершены все необходимые операции в государственной информационной системе мониторинга товаров, обеспечивающие возможность дальнейшего оборота продукции Компанией-производителем.»</w:t>
      </w:r>
    </w:p>
    <w:p>
      <w:pPr>
        <w:ind w:firstLine="567"/>
        <w:jc w:val="both"/>
      </w:pPr>
      <w:r>
        <w:rPr>
          <w:b w:val="0"/>
          <w:i w:val="0"/>
        </w:rPr>
        <w:t>«7А.5. Возврат оформляется как обратная реализация: Компания-продавец выставляет УПД, продукция передаётся на складе Компании-производителя. Расходы на доставку возвращаемой продукции, её погрузку, разгрузку, а также расходы на перемаркировку, если она необходима, несёт Компания-продавец. Цена возврата равна стоимости соответствующей продукции, по которой она была передана Компании-продавцу.»</w:t>
      </w:r>
    </w:p>
    <w:p>
      <w:pPr>
        <w:ind w:left="454"/>
        <w:jc w:val="both"/>
      </w:pPr>
      <w:r>
        <w:rPr>
          <w:i/>
          <w:sz w:val="20"/>
        </w:rPr>
        <w:t>Возврат качественного товара оформляется обратной реализацией (Типовая ситуация «Возврат товара поставщику: учёт у покупателя», Главная книга, 2026). Если мы плательщики НДС, а продавец на УСН, вычета НДС при обратной реализации мы не получим — возврат обойдётся нам дороже номинала. Это ещё один довод за то, чтобы выбор оставался за нами.</w:t>
      </w:r>
    </w:p>
    <w:p>
      <w:pPr>
        <w:ind w:firstLine="567"/>
        <w:jc w:val="both"/>
      </w:pPr>
      <w:r>
        <w:rPr>
          <w:b w:val="0"/>
          <w:i w:val="0"/>
        </w:rPr>
        <w:t>«7А.6. Продукция, переданная на условиях отсрочки платежа, признаётся находящейся в залоге у Компании-производителя с момента её передачи и до момента полной оплаты (пункт 5 статьи 488 Гражданского кодекса Российской Федерации). Стороны не отменяют указанный залог. Залог не препятствует реализации продукции Компанией-продавцом конечным покупателям в обычном порядке.»</w:t>
      </w:r>
    </w:p>
    <w:p>
      <w:pPr>
        <w:ind w:firstLine="567"/>
        <w:jc w:val="both"/>
      </w:pPr>
      <w:r>
        <w:rPr>
          <w:b w:val="0"/>
          <w:i w:val="0"/>
        </w:rPr>
        <w:t>«7А.7. При нарушении Компанией-продавцом предельного срока оплаты Компания-производитель вправе по своему выбору потребовать оплаты нереализованной продукции либо её возврата, а также приостановить производство и передачу новых партий продукции до устранения нарушения. На сумму задолженности, не погашенной по истечении предельного срока оплаты, начисляются проценты за пользование коммерческим кредитом в размере ______% годовых (статья 823 Гражданского кодекса Российской Федерации), а также неустойка в соответствии с пунктом 11.1 настоящего договора.»</w:t>
      </w:r>
    </w:p>
    <w:p>
      <w:pPr>
        <w:ind w:firstLine="567"/>
        <w:jc w:val="both"/>
      </w:pPr>
      <w:r>
        <w:rPr>
          <w:b w:val="0"/>
          <w:i w:val="0"/>
        </w:rPr>
        <w:t>«7А.8. Обязательства Компании-продавца по оплате продукции обеспечиваются поручительством ____________________ (собственника (бенефициара) Компании-продавца), оформляемым отдельным договором поручительства, являющимся приложением к настоящему договору.»</w:t>
      </w:r>
    </w:p>
    <w:p>
      <w:pPr>
        <w:ind w:left="454"/>
        <w:jc w:val="both"/>
      </w:pPr>
      <w:r>
        <w:rPr>
          <w:i/>
          <w:sz w:val="20"/>
        </w:rPr>
        <w:t>Опционально, но это единственное реально работающее обеспечение: залог по п. 5 ст. 488 ГК прекращается, как только товар уходит рознице.</w:t>
      </w:r>
    </w:p>
    <w:p>
      <w:pPr>
        <w:spacing w:before="240"/>
      </w:pPr>
      <w:r>
        <w:rPr>
          <w:b/>
        </w:rPr>
        <w:t>3. Сопутствующие пункты, без которых раздел 7А работает вполсилы</w:t>
      </w:r>
    </w:p>
    <w:p>
      <w:pPr>
        <w:ind w:firstLine="567"/>
        <w:jc w:val="both"/>
      </w:pPr>
      <w:r>
        <w:rPr>
          <w:b w:val="0"/>
          <w:i w:val="0"/>
        </w:rPr>
        <w:t>«6.1.1. Минимальная цена реализации продукции по каждому SKU согласовывается Сторонами в спецификации. Реализация продукции по цене ниже минимальной цены реализации, в том числе с учётом скидок, промокодов и участия в акциях, допускается только с предварительного письменного согласия Компании-производителя.»</w:t>
      </w:r>
    </w:p>
    <w:p>
      <w:pPr>
        <w:ind w:firstLine="567"/>
        <w:jc w:val="both"/>
      </w:pPr>
      <w:r>
        <w:rPr>
          <w:b w:val="0"/>
          <w:i w:val="0"/>
        </w:rPr>
        <w:t>«6.3.1. Предельный размер рекламных расходов и расходов на продвижение, учитываемых при расчёте чистой прибыли, составляет ______% от выручки от реализации соответствующей продукции за отчётный период. Расходы сверх указанного размера при расчёте чистой прибыли не учитываются, если иное не согласовано Сторонами письменно.»</w:t>
      </w:r>
    </w:p>
    <w:p>
      <w:pPr>
        <w:ind w:firstLine="567"/>
        <w:jc w:val="both"/>
      </w:pPr>
      <w:r>
        <w:rPr>
          <w:b w:val="0"/>
          <w:i w:val="0"/>
        </w:rPr>
        <w:t>«6.4.1. При расчёте чистой прибыли не учитываются налоги, исчисляемые с дохода или прибыли Компании-продавца, в том числе налог на прибыль организаций и налог, уплачиваемый в связи с применением упрощённой системы налогообложения, а также страховые взносы и иные обязательные платежи, связанные с деятельностью Компании-продавца в целом.»</w:t>
      </w:r>
    </w:p>
    <w:p>
      <w:pPr>
        <w:ind w:firstLine="567"/>
        <w:jc w:val="both"/>
      </w:pPr>
      <w:r>
        <w:rPr>
          <w:b w:val="0"/>
          <w:i w:val="0"/>
        </w:rPr>
        <w:t>«7.6. Компания-производитель вправе в течение 10 рабочих дней с даты получения отчёта направить мотивированные возражения. Согласование отчёта не лишает Компанию-производителя права требовать перерасчёта в течение 12 месяцев при выявлении ошибок, а также при получении Компанией-продавцом корректировок от маркетплейсов.»</w:t>
      </w:r>
    </w:p>
    <w:p>
      <w:pPr>
        <w:ind w:firstLine="567"/>
        <w:jc w:val="both"/>
      </w:pPr>
      <w:r>
        <w:rPr>
          <w:b w:val="0"/>
          <w:i w:val="0"/>
        </w:rPr>
        <w:t>«7.7.1. Одновременно с отчётом Компания-продавец передаёт исходные выгрузки отчётов маркетплейсов по реализации, комиссиям, логистике, хранению, рекламе и возвратам в отношении продукции по настоящему договору в машиночитаемом формате (XLSX или CSV).»</w:t>
      </w:r>
    </w:p>
    <w:p>
      <w:pPr>
        <w:ind w:firstLine="567"/>
        <w:jc w:val="both"/>
      </w:pPr>
      <w:r>
        <w:rPr>
          <w:b w:val="0"/>
          <w:i w:val="0"/>
        </w:rPr>
        <w:t>«8.7. Компания-продавец обеспечивает условия хранения продукции, соответствующие требованиям производителя, указанным на упаковке и в документах качества, в том числе при передаче продукции на склады маркетплейсов и третьих лиц. Порча продукции вследствие нарушения условий хранения после её приёмки относится на Компанию-продавца.»</w:t>
      </w:r>
    </w:p>
    <w:p>
      <w:pPr>
        <w:ind w:firstLine="567"/>
        <w:jc w:val="both"/>
      </w:pPr>
      <w:r>
        <w:rPr>
          <w:b w:val="0"/>
          <w:i w:val="0"/>
        </w:rPr>
        <w:t>«10.5. Стороны заверяют друг друга (статья 431.2 Гражданского кодекса Российской Федерации), что надлежащим образом зарегистрированы, применяют следующую систему налогообложения: Компания-производитель — ____________, Компания-продавец — ____________; своевременно и в полном объёме исполняют налоговые обязанности, отражают операции по настоящему договору в налоговой отчётности и обязуются возместить другой Стороне имущественные потери, возникшие вследствие недостоверности настоящих заверений, включая суммы отказанных налоговых вычетов, доначисленных налогов, пеней и штрафов.»</w:t>
      </w:r>
    </w:p>
    <w:p>
      <w:pPr>
        <w:spacing w:before="240"/>
      </w:pPr>
      <w:r>
        <w:rPr>
          <w:b/>
        </w:rPr>
        <w:t>4. Что нужно решить до включения пунктов</w:t>
      </w:r>
    </w:p>
    <w:p>
      <w:pPr>
        <w:jc w:val="both"/>
      </w:pPr>
      <w:r>
        <w:rPr>
          <w:b w:val="0"/>
          <w:i w:val="0"/>
        </w:rPr>
        <w:t>1. Предельный срок оплаты: 90, 120 или 180 календарных дней с даты передачи партии (предлагаем 120).</w:t>
      </w:r>
    </w:p>
    <w:p>
      <w:pPr>
        <w:jc w:val="both"/>
      </w:pPr>
      <w:r>
        <w:rPr>
          <w:b w:val="0"/>
          <w:i w:val="0"/>
        </w:rPr>
        <w:t>2. Право выбора «возврат или оплата» — за нами (рекомендуем) или за Компанией-продавцом.</w:t>
      </w:r>
    </w:p>
    <w:p>
      <w:pPr>
        <w:jc w:val="both"/>
      </w:pPr>
      <w:r>
        <w:rPr>
          <w:b w:val="0"/>
          <w:i w:val="0"/>
        </w:rPr>
        <w:t>3. Остаточный срок годности для приёма возврата — 70% или иной.</w:t>
      </w:r>
    </w:p>
    <w:p>
      <w:pPr>
        <w:jc w:val="both"/>
      </w:pPr>
      <w:r>
        <w:rPr>
          <w:b w:val="0"/>
          <w:i w:val="0"/>
        </w:rPr>
        <w:t>4. Логистика и перемаркировка возвращаемой продукции — за счёт Компании-продавца (рекомендуем) или пополам.</w:t>
      </w:r>
    </w:p>
    <w:p>
      <w:pPr>
        <w:jc w:val="both"/>
      </w:pPr>
      <w:r>
        <w:rPr>
          <w:b w:val="0"/>
          <w:i w:val="0"/>
        </w:rPr>
        <w:t>5. Системы налогообложения обеих сторон — от этого зависит реальная цена возврата для нас.</w:t>
      </w:r>
    </w:p>
    <w:p>
      <w:pPr>
        <w:jc w:val="both"/>
      </w:pPr>
      <w:r>
        <w:rPr>
          <w:b w:val="0"/>
          <w:i w:val="0"/>
        </w:rPr>
        <w:t>6. Проценты за коммерческий кредит после предельного срока — ставим и в каком размере.</w:t>
      </w:r>
    </w:p>
    <w:p>
      <w:pPr>
        <w:jc w:val="both"/>
      </w:pPr>
      <w:r>
        <w:rPr>
          <w:b w:val="0"/>
          <w:i w:val="0"/>
        </w:rPr>
        <w:t>7. Поручительство собственника Компании-продавца — просим или нет.</w:t>
      </w:r>
    </w:p>
    <w:p>
      <w:pPr>
        <w:jc w:val="both"/>
      </w:pPr>
      <w:r>
        <w:rPr>
          <w:b w:val="0"/>
          <w:i w:val="0"/>
        </w:rPr>
        <w:t>8. Минимальная цена реализации и потолок рекламных расходов — конкретные значения.</w:t>
      </w:r>
    </w:p>
    <w:p>
      <w:pPr>
        <w:jc w:val="both"/>
      </w:pPr>
      <w:r>
        <w:rPr>
          <w:b w:val="0"/>
          <w:i w:val="0"/>
        </w:rPr>
        <w:t>9. Эксклюзивность: он не берёт конкурирующую бытовую химию / мы не отгружаем другим продавцам.</w:t>
      </w:r>
    </w:p>
    <w:sectPr w:rsidR="00FC693F" w:rsidRPr="0006063C" w:rsidSect="00034616"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