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6"/>
        </w:rPr>
        <w:t>ПРОЕКТ ПУНКТОВ К РАМОЧНОМУ ДОГОВОРУ № ___. РЕДАКЦИЯ 2</w:t>
      </w:r>
    </w:p>
    <w:p>
      <w:pPr>
        <w:spacing w:before="200"/>
        <w:jc w:val="center"/>
      </w:pPr>
      <w:r>
        <w:rPr>
          <w:b/>
          <w:sz w:val="20"/>
        </w:rPr>
        <w:t>по договорённости от 26.08.2026: расходы продавца не вычитаются, предельный срок оплаты 30 дней, поручительство директора в тексте договора, калькуляция сохраняется</w:t>
      </w:r>
    </w:p>
    <w:p>
      <w:pPr>
        <w:jc w:val="both"/>
      </w:pPr>
      <w:r>
        <w:t>Редакция для обсуждения. Курсивом — пояснения, в текст договора не переносятся. Поля со знаком ____ требуют подстановки значений.</w:t>
      </w:r>
    </w:p>
    <w:p>
      <w:pPr>
        <w:spacing w:before="280"/>
      </w:pPr>
      <w:r>
        <w:rPr>
          <w:b/>
          <w:sz w:val="24"/>
        </w:rPr>
        <w:t>Раздел A. Смена экономической модели: убираем себестоимость и расходы проекта</w:t>
      </w:r>
    </w:p>
    <w:p>
      <w:pPr>
        <w:ind w:left="454"/>
        <w:jc w:val="both"/>
      </w:pPr>
      <w:r>
        <w:rPr>
          <w:i/>
          <w:sz w:val="20"/>
        </w:rPr>
        <w:t>По новой договорённости прибыль считается как разница между ценой, по которой продавец забрал товар по спецификации, и ценой, по которой он его реализовал. Никакие его расходы — комиссии маркетплейсов, логистика, хранение, реклама, скидки, возвраты, эквайринг, налоги — из этой разницы не вычитаются. Значит из договора уходят понятия «себестоимость» и «прямые расходы проекта», и вместе с ними уходит наша обязанность раскрывать структуру своих затрат. Это отдельная и большая польза: действующая редакция п. 3.4 прямо запрещает включать в себестоимость нашу прибыль и обязывает показывать калькуляцию по статьям.</w:t>
      </w:r>
    </w:p>
    <w:p>
      <w:pPr>
        <w:spacing w:before="160"/>
      </w:pPr>
      <w:r>
        <w:rPr>
          <w:b/>
        </w:rPr>
        <w:t>A.1. Пункт 1.4 изложить в следующей редакции:</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160"/>
      </w:pPr>
      <w:r>
        <w:rPr>
          <w:b/>
        </w:rPr>
        <w:t>A.2. Пункт 2.3 изложить в следующей редакции:</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spacing w:before="160"/>
      </w:pPr>
      <w:r>
        <w:rPr>
          <w:b/>
        </w:rPr>
        <w:t>A.3. Пункты 3.3 и 3.4 изложить в следующей редакции:</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Изменённая цена передачи применяется только к последующим партиям.»</w:t>
      </w:r>
    </w:p>
    <w:p>
      <w:pPr>
        <w:ind w:firstLine="567"/>
        <w:jc w:val="both"/>
      </w:pPr>
      <w:r>
        <w:t>«3.4. Цена передачи равна полной себестоимости производства соответствующей партии и не включает прибыль Компании-производителя. Полная себестоимость определяется на основании калькуляции по форме Приложения № 3, которая составляется Компанией-производителем и передаётся Компании-продавцу вместе со спецификацией, и включает: прямые расходы на производство продукции (сырьё, компоненты, тара, крышки, дозаторы, распылители, этикетки, упаковка, транспортная упаковка, маркировка и коды маркировки, прямой производственный труд, лабораторные испытания партии), а также производственные и накладные расходы, приходящиеся на соответствующую партию (амортизация и обслуживание оборудования, энергоресурсы, оплата труда производственного и вспомогательного персонала, технологические потери и брак, контроль качества, доставка сырья и комплектующих). Сведения, содержащиеся в калькуляции, являются конфиденциальной информацией Компании-производителя и подпадают под раздел 10 настоящего договора.»</w:t>
      </w:r>
    </w:p>
    <w:p>
      <w:pPr>
        <w:ind w:left="454"/>
        <w:jc w:val="both"/>
      </w:pPr>
      <w:r>
        <w:rPr>
          <w:i/>
          <w:sz w:val="20"/>
        </w:rPr>
        <w:t>Логика сохранена ровно та, о которой договорились: прибыль в цену передачи не закладываем, продавец видит по калькуляции, что наценки нет, а зарабатываем мы только на половине наценки от реализации. Единственное, что изменено по сравнению с их редакцией, — состав себестоимости. В действующем пункте 3.4 разрешены только прямые расходы и прямо исключены административные, управленческие и общехозяйственные. При таком тексте мы не покрываем амортизацию оборудования, энергию, зарплату производственного персонала, брак и лабораторный контроль, то есть отдаём товар дешевле реальной себестоимости и уходим в минус на каждой партии. В новой редакции себестоимость полная: без прибыли, но со всеми затратами на производство партии.</w:t>
      </w:r>
    </w:p>
    <w:p>
      <w:pPr>
        <w:spacing w:before="160"/>
      </w:pPr>
      <w:r>
        <w:rPr>
          <w:b/>
        </w:rPr>
        <w:t>A.4. Пункты 6.3 и 6.4 изложить в следующей редакции:</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w:t>
      </w:r>
    </w:p>
    <w:p>
      <w:pPr>
        <w:spacing w:before="160"/>
      </w:pPr>
      <w:r>
        <w:rPr>
          <w:b/>
        </w:rPr>
        <w:t>A.5. Пункт 8.4 изложить в следующей редакции:</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 (ответственность Компании-производителя за производственный брак и нарушения, возникшие до передачи продукции).»</w:t>
      </w:r>
    </w:p>
    <w:p>
      <w:pPr>
        <w:ind w:left="454"/>
        <w:jc w:val="both"/>
      </w:pPr>
      <w:r>
        <w:rPr>
          <w:i/>
          <w:sz w:val="20"/>
        </w:rPr>
        <w:t>Оговорка про п. 8.2 нужна: наш брак остаётся нашим, иначе условие будет выглядеть кабальным и его будут оспаривать.</w:t>
      </w:r>
    </w:p>
    <w:p>
      <w:pPr>
        <w:spacing w:before="280"/>
      </w:pPr>
      <w:r>
        <w:rPr>
          <w:b/>
          <w:sz w:val="24"/>
        </w:rPr>
        <w:t>Раздел B. Расчёты: цена передачи, премия 50% и сроки оплаты</w:t>
      </w:r>
    </w:p>
    <w:p>
      <w:pPr>
        <w:spacing w:before="160"/>
      </w:pPr>
      <w:r>
        <w:rPr>
          <w:b/>
        </w:rPr>
        <w:t>B.1. Пункты 7.2 и 7.3 изложить в следующей редакции:</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left="454"/>
        <w:jc w:val="both"/>
      </w:pPr>
      <w:r>
        <w:rPr>
          <w:i/>
          <w:sz w:val="20"/>
        </w:rPr>
        <w:t>В действующей редакции п. 7.3 отрицательный результат переносится на будущие периоды и гасит нашу долю. При новой модели этого быть не должно.</w:t>
      </w:r>
    </w:p>
    <w:p>
      <w:pPr>
        <w:spacing w:before="160"/>
      </w:pPr>
      <w:r>
        <w:rPr>
          <w:b/>
        </w:rPr>
        <w:t>B.2. Порядок оформления премии — новый пункт 7.10:</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left="454"/>
        <w:jc w:val="both"/>
      </w:pPr>
      <w:r>
        <w:rPr>
          <w:i/>
          <w:sz w:val="20"/>
        </w:rPr>
        <w:t>Так премия остаётся частью цены товара, а не отдельной услугой, и не вызывает вопросов о безвозмездности или посредничестве. По НДС: с 01.07.2013 (Федеральный закон от 05.04.2013 № 39-ФЗ) увеличение стоимости отгруженных товаров учитывается в налоговом периоде составления корректировочных документов, а не в периоде отгрузки — уточнённые декларации и пени не потребуются.</w:t>
      </w:r>
    </w:p>
    <w:p>
      <w:pPr>
        <w:spacing w:before="280"/>
      </w:pPr>
      <w:r>
        <w:rPr>
          <w:b/>
          <w:sz w:val="24"/>
        </w:rPr>
        <w:t>Раздел 7А (новый). Сроки оплаты, риск непродажи, возврат или оплата остатков</w:t>
      </w:r>
    </w:p>
    <w:p>
      <w:pPr>
        <w:spacing w:before="160"/>
      </w:pPr>
      <w:r>
        <w:rPr>
          <w:b/>
        </w:rPr>
        <w:t>7А.1. Оплата реализованной продукции:</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spacing w:before="160"/>
      </w:pPr>
      <w:r>
        <w:rPr>
          <w:b/>
        </w:rPr>
        <w:t>7А.2. Предельный срок оплаты партии: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30 (тридцати) календарных дней с даты передачи партии по УПД или иному передаточному документу (предельный срок оплаты), если Компания-производитель не приняла решение о возврате остатка в порядке пункта 7А.4. Отсутствие реализации продукции, полное или частичное, не является основанием для продления предельного срока оплаты.»</w:t>
      </w:r>
    </w:p>
    <w:p>
      <w:pPr>
        <w:ind w:left="454"/>
        <w:jc w:val="both"/>
      </w:pPr>
      <w:r>
        <w:rPr>
          <w:i/>
          <w:sz w:val="20"/>
        </w:rPr>
        <w:t>Срок закрыт: 30 календарных дней на всю партию от даты передачи. Продали или нет — через 30 дней деньги у нас либо товар возвращается, и выбор между этим делаем мы. Этот же пункт снимает риск переквалификации сделки в комиссию: твёрдый срок оплаты, не зависящий от реализации, — главный признак поставки.</w:t>
      </w:r>
    </w:p>
    <w:p>
      <w:pPr>
        <w:spacing w:before="160"/>
      </w:pPr>
      <w:r>
        <w:rPr>
          <w:b/>
        </w:rPr>
        <w:t>7А.3. Уведомление о неоплате — 6 дней:</w:t>
      </w:r>
    </w:p>
    <w:p>
      <w:pPr>
        <w:ind w:firstLine="567"/>
        <w:jc w:val="both"/>
      </w:pPr>
      <w:r>
        <w:t>«7А.3. Если в предельный срок оплаты партия оплачена не полностью, Компания-продавец обязана в течение 6 (шести) календарных дней с даты истечения предельного срока оплаты направить Компании-производителю письменное уведомление о неоплате с приложением сверки остатков, содержащей: количество реализованной и нереализованной продукции по партии, сумму задолженности, состояние нереализованной продукции, остаточный срок годности и место её нахождения. Неисполнение или несвоевременное исполнение настоящей обязанности не лишает Компанию-производителя прав, предусмотренных пунктом 7А.4, и влечёт уплату штрафа в размере ____________ рублей.»</w:t>
      </w:r>
    </w:p>
    <w:p>
      <w:pPr>
        <w:ind w:left="454"/>
        <w:jc w:val="both"/>
      </w:pPr>
      <w:r>
        <w:rPr>
          <w:i/>
          <w:sz w:val="20"/>
        </w:rPr>
        <w:t>Шесть дней — как договорились. Это обязанность продавца, а не право: он должен сам прийти и показать, что осталось. Если промолчал, мы всё равно действуем по 7А.4, но получаем ещё и штраф.</w:t>
      </w:r>
    </w:p>
    <w:p>
      <w:pPr>
        <w:spacing w:before="160"/>
      </w:pPr>
      <w:r>
        <w:rPr>
          <w:b/>
        </w:rPr>
        <w:t>7А.4. Требование производителя — оплата или возврат:</w:t>
      </w:r>
    </w:p>
    <w:p>
      <w:pPr>
        <w:ind w:firstLine="567"/>
        <w:jc w:val="both"/>
      </w:pPr>
      <w:r>
        <w:t>«7А.4. По истечении предельного срока оплаты Компания-производитель вправе по своему выбору потребовать от Компании-продавца оплаты неоплаченной продукции либо возврата нереализованного остатка продукции (пункт 3 статьи 488 Гражданского кодекса Российской Федерации). Требование направляется в письменной форме в течение 5 (пяти) рабочих дней с даты получения уведомления, предусмотренного пунктом 7А.3, а при его неполучении — в любой момент после истечения срока, установленного пунктом 7А.3. Компания-продавец не вправе выбирать между оплатой и возвратом и обязана исполнить требование Компании-производителя в том виде, в котором оно заявлено.»</w:t>
      </w:r>
    </w:p>
    <w:p>
      <w:pPr>
        <w:spacing w:before="160"/>
      </w:pPr>
      <w:r>
        <w:rPr>
          <w:b/>
        </w:rPr>
        <w:t>7А.5. Продукция, которая уже реализована, оплачивается в любом случае:</w:t>
      </w:r>
    </w:p>
    <w:p>
      <w:pPr>
        <w:ind w:firstLine="567"/>
        <w:jc w:val="both"/>
      </w:pPr>
      <w:r>
        <w:t>«7А.5. Требование о возврате может быть заявлено только в отношении нереализованного остатка продукции. Продукция, реализованная Компанией-продавцом на дату получения требования, подлежит оплате в полном объёме независимо от возврата остатка, вместе с премией, начисленной по такой продукции.»</w:t>
      </w:r>
    </w:p>
    <w:p>
      <w:pPr>
        <w:spacing w:before="160"/>
      </w:pPr>
      <w:r>
        <w:rPr>
          <w:b/>
        </w:rPr>
        <w:t>7А.6. Сроки исполнения требования:</w:t>
      </w:r>
    </w:p>
    <w:p>
      <w:pPr>
        <w:ind w:firstLine="567"/>
        <w:jc w:val="both"/>
      </w:pPr>
      <w:r>
        <w:t>«7А.6. Компания-продавец обязана исполнить требование Компании-производителя в следующие сроки: при требовании об оплате — в течение 5 (пяти) рабочих дней с даты получения требования; при требовании о возврате — передать нереализованный остаток на складе Компании-производителя в течение 10 (десяти) рабочих дней с даты получения требования. С даты получения требования о возврате Компания-продавец обязана прекратить реализацию соответствующей продукции, снять её с публикации в каналах продаж и обеспечить её сохранность. Продукция, реализованная после получения требования о возврате, подлежит оплате в полном объёме.»</w:t>
      </w:r>
    </w:p>
    <w:p>
      <w:pPr>
        <w:spacing w:before="160"/>
      </w:pPr>
      <w:r>
        <w:rPr>
          <w:b/>
        </w:rPr>
        <w:t>7А.6.1. Условия приёма возврата:</w:t>
      </w:r>
    </w:p>
    <w:p>
      <w:pPr>
        <w:ind w:firstLine="567"/>
        <w:jc w:val="both"/>
      </w:pPr>
      <w:r>
        <w:t>«7А.6.1. Возврат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в отношении маркированной продукции Компанией-продавцом совершены все операции в государственной информационной системе мониторинга товаров, обеспечивающие возможность дальнейшего оборота продукции Компанией-производителем. Продукция, не отвечающая указанным условиям, возврату не подлежит и оплачивается Компанией-продавцом в полном объёме.»</w:t>
      </w:r>
    </w:p>
    <w:p>
      <w:pPr>
        <w:ind w:left="454"/>
        <w:jc w:val="both"/>
      </w:pPr>
      <w:r>
        <w:rPr>
          <w:i/>
          <w:sz w:val="20"/>
        </w:rPr>
        <w:t>Последнее предложение важно: без него продавец привезёт битую и просроченную часть остатка и будет считать обязательство исполненным. Теперь всё, что не проходит по состоянию, автоматически переходит в разряд оплачиваемого.</w:t>
      </w:r>
    </w:p>
    <w:p>
      <w:pPr>
        <w:spacing w:before="160"/>
      </w:pPr>
      <w:r>
        <w:rPr>
          <w:b/>
        </w:rPr>
        <w:t>7А.6.2. Оформление и расходы на возврат:</w:t>
      </w:r>
    </w:p>
    <w:p>
      <w:pPr>
        <w:ind w:firstLine="567"/>
        <w:jc w:val="both"/>
      </w:pPr>
      <w:r>
        <w:t>«7А.6.2.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погрузку, разгрузку, а также расходы на перемаркировку, если она необходима, несёт Компания-продавец. Цена возврата равна цене передачи соответствующей продукции. Обязательство Компании-продавца по оплате возвращённой продукции прекращается зачётом с даты подписания Сторонами документа о возврате.»</w:t>
      </w:r>
    </w:p>
    <w:p>
      <w:pPr>
        <w:spacing w:before="160"/>
      </w:pPr>
      <w:r>
        <w:rPr>
          <w:b/>
        </w:rPr>
        <w:t>7А.7. Залог:</w:t>
      </w:r>
    </w:p>
    <w:p>
      <w:pPr>
        <w:ind w:firstLine="567"/>
        <w:jc w:val="both"/>
      </w:pPr>
      <w:r>
        <w:t>«7А.7.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spacing w:before="160"/>
      </w:pPr>
      <w:r>
        <w:rPr>
          <w:b/>
        </w:rPr>
        <w:t>7А.8. Последствия просрочки:</w:t>
      </w:r>
    </w:p>
    <w:p>
      <w:pPr>
        <w:ind w:firstLine="567"/>
        <w:jc w:val="both"/>
      </w:pPr>
      <w:r>
        <w:t>«7А.8. При нарушении Компанией-продавцом сроков оплаты, установленных пунктами 7А.1 и 7А.2, Компания-производитель вправе приостановить производство и передачу новых партий продукции до устранения нарушения. На сумму задолженности за период с даты, следующей за истечением предельного срока оплаты, и до даты фактической оплаты либо до даты фактического возврата нереализованного остатка начисляются проценты за пользование коммерческим кредитом в размере 1% (одного процента) за каждый календарный день просрочки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left="454"/>
        <w:jc w:val="both"/>
      </w:pPr>
      <w:r>
        <w:rPr>
          <w:i/>
          <w:sz w:val="20"/>
        </w:rPr>
        <w:t>1% в день — это 365% годовых. Проценты по статье 823 ГК являются платой за пользование, а не неустойкой, и по общему правилу не снижаются по статье 333 ГК; правило о ростовщических процентах (пункт 5 статьи 809 ГК) к отношениям между организациями не применяется. Тем не менее в практике есть случаи, когда суд при значительном превышении обычно взимаемых ставок квалифицирует такое условие как злоупотребление правом и снижает плату. Поэтому оставляем и проценты, и неустойку: если суд срежет одно, останется другое. Оговорка последнего предложения нужна, чтобы нам не отказали во всём сразу из-за двойной ответственности.</w:t>
      </w:r>
    </w:p>
    <w:p>
      <w:pPr>
        <w:spacing w:before="160"/>
      </w:pPr>
      <w:r>
        <w:rPr>
          <w:b/>
        </w:rPr>
        <w:t>7А.9. Расчёты при прекращении договора — дополнение к пункту 12.4:</w:t>
      </w:r>
    </w:p>
    <w:p>
      <w:pPr>
        <w:ind w:firstLine="567"/>
        <w:jc w:val="both"/>
      </w:pPr>
      <w:r>
        <w:t>«При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80"/>
      </w:pPr>
      <w:r>
        <w:rPr>
          <w:b/>
          <w:sz w:val="24"/>
        </w:rPr>
        <w:t>Раздел C. Поручительство директора и собственника — прямо в тексте договора</w:t>
      </w:r>
    </w:p>
    <w:p>
      <w:pPr>
        <w:ind w:left="454"/>
        <w:jc w:val="both"/>
      </w:pPr>
      <w:r>
        <w:rPr>
          <w:i/>
          <w:sz w:val="20"/>
        </w:rPr>
        <w:t>Да, отдельный договор не нужен: поручительство можно включить в основной договор, он становится трёхсторонним и поручитель подписывает его лично как физическое лицо. Это прямо допускается (п. 3 ст. 361 ГК РФ, п. 6 Постановления Пленума Верховного Суда РФ от 24.12.2020 № 45; Готовое решение КонсультантПлюс «Как составить договор поручительства», 2026, раздел о трёхстороннем договоре). Обязательное условие — письменная форма и личная подпись поручителя, иначе поручительство ничтожно (ст. 362 ГК РФ).</w:t>
      </w:r>
    </w:p>
    <w:p>
      <w:pPr>
        <w:spacing w:before="160"/>
      </w:pPr>
      <w:r>
        <w:rPr>
          <w:b/>
        </w:rPr>
        <w:t>C.1. Преамбулу договора дополнить третьей стороной:</w:t>
      </w:r>
    </w:p>
    <w:p>
      <w:pPr>
        <w:ind w:firstLine="567"/>
        <w:jc w:val="both"/>
      </w:pPr>
      <w:r>
        <w:t>«и ____________________ (паспорт серия ______ № ____________, выдан ______________________, дата выдачи ____________, зарегистрирован по адресу: ______________________), являющийся единоличным исполнительным органом Компании-продавца, и ____________________ (паспорт серия ______ № __________, выдан ______________________, дата выдачи ____________, зарегистрирован по адресу: ______________________), являющийся участником Компании-продавца, именуемые в дальнейшем «Поручители», с третьей стороны,»</w:t>
      </w:r>
    </w:p>
    <w:p>
      <w:pPr>
        <w:spacing w:before="160"/>
      </w:pPr>
      <w:r>
        <w:rPr>
          <w:b/>
        </w:rPr>
        <w:t>C.2. Новый раздел 15 «Поручительство»:</w:t>
      </w:r>
    </w:p>
    <w:p>
      <w:pPr>
        <w:ind w:firstLine="567"/>
        <w:jc w:val="both"/>
      </w:pPr>
      <w:r>
        <w:t>«15.1. Поручители обязуются отвечать перед Компанией-производителем за исполнение Компанией-продавцом всех денежных обязательств, возникающих из настоящего договора и заключённых во исполнение него заявок, спецификаций и иных документов, включая обязательства по уплате цены передачи продукции, премии, процентов за пользование коммерческим кредитом, неустойки, возмещению убытков и имущественных потерь, а также по возврату неосновательного обогащения.»</w:t>
      </w:r>
    </w:p>
    <w:p>
      <w:pPr>
        <w:ind w:firstLine="567"/>
        <w:jc w:val="both"/>
      </w:pPr>
      <w:r>
        <w:t>«15.2. Поручители отвечают перед Компанией-производителем солидарно с Компанией-продавцом и между собой, в том же объёме, что и Компания-продавец (пункты 1 и 2 статьи 363 Гражданского кодекса Российской Федерации). Компания-производитель вправе предъявить требование к любому из Поручителей или ко всем совместно, не предъявляя предварительно требование к Компании-продавцу.»</w:t>
      </w:r>
    </w:p>
    <w:p>
      <w:pPr>
        <w:ind w:firstLine="567"/>
        <w:jc w:val="both"/>
      </w:pPr>
      <w:r>
        <w:t>«15.3. Поручительство обеспечивает обязательства Компании-продавца, как существующие на дату подписания настоящего договора, так и те, которые возникнут в будущем в течение срока его действия, включая обязательства по партиям продукции, передаваемым после подписания договора. Размер обеспечиваемых обязательств не ограничен.»</w:t>
      </w:r>
    </w:p>
    <w:p>
      <w:pPr>
        <w:ind w:firstLine="567"/>
        <w:jc w:val="both"/>
      </w:pPr>
      <w:r>
        <w:t>«15.4. Поручители заранее дают согласие отвечать перед Компанией-производителем на изменённых условиях в случае изменения обеспеченных обязательств, в том числе при увеличении объёма партий, изменения цены передачи, сроков оплаты и размера ответственности, в пределах, не превышающих ____________ рублей по каждой партии (пункт 2 статьи 367 Гражданского кодекса Российской Федерации).»</w:t>
      </w:r>
    </w:p>
    <w:p>
      <w:pPr>
        <w:ind w:left="454"/>
        <w:jc w:val="both"/>
      </w:pPr>
      <w:r>
        <w:rPr>
          <w:i/>
          <w:sz w:val="20"/>
        </w:rPr>
        <w:t>Пункт 15.4 обязателен. Без заранее данного согласия любое изменение, увеличивающее ответственность должника, прекращает поручительство в этой части — то есть при первой же новой спецификации на больший объём поручительство перестанет покрывать разницу. Лимит можно поставить с запасом, например максимальный планируемый размер партии, умноженный на два.</w:t>
      </w:r>
    </w:p>
    <w:p>
      <w:pPr>
        <w:ind w:firstLine="567"/>
        <w:jc w:val="both"/>
      </w:pPr>
      <w:r>
        <w:t>«15.5. Поручительство действует в течение 3 (трёх) лет с даты наступления срока исполнения соответствующего обеспеченного обязательства.»</w:t>
      </w:r>
    </w:p>
    <w:p>
      <w:pPr>
        <w:ind w:left="454"/>
        <w:jc w:val="both"/>
      </w:pPr>
      <w:r>
        <w:rPr>
          <w:i/>
          <w:sz w:val="20"/>
        </w:rPr>
        <w:t>Срок указывать обязательно. Если его не написать, поручительство прекращается через год со дня, когда обязательство должно было быть исполнено, если за этот год не подан иск (пункт 6 статьи 367 ГК РФ; конституционно-правовой смысл нормы раскрыт в Постановлении Конституционного Суда РФ от 26.02.2024 № 8-П). При сроке оплаты 30 дней это означало бы, что по каждой партии у нас всего год.</w:t>
      </w:r>
    </w:p>
    <w:p>
      <w:pPr>
        <w:ind w:firstLine="567"/>
        <w:jc w:val="both"/>
      </w:pPr>
      <w:r>
        <w:t>«15.6. Прекращение полномочий единоличного исполнительного органа Компании-продавца, выход участника из состава участников Компании-продавца, отчуждение доли, реорганизация или смена наименования Компании-продавца не прекращают поручительство и не освобождают Поручителей от ответственности по обязательствам, возникшим до наступления указанных обстоятельств.»</w:t>
      </w:r>
    </w:p>
    <w:p>
      <w:pPr>
        <w:ind w:firstLine="567"/>
        <w:jc w:val="both"/>
      </w:pPr>
      <w:r>
        <w:t>«15.7. Поручители подтверждают, что ознакомлены со всеми условиями настоящего договора, в том числе с разделом 7А, размером процентов и неустойки, и что заключение поручительства не требует получения согласия третьих лиц.»</w:t>
      </w:r>
    </w:p>
    <w:p>
      <w:pPr>
        <w:ind w:firstLine="567"/>
        <w:jc w:val="both"/>
      </w:pPr>
      <w:r>
        <w:t>«15.8. Утрата поручительства по любому основанию является основанием для приостановления Компанией-производителем производства и передачи новых партий продукции до предоставления равноценного обеспечения.»</w:t>
      </w:r>
    </w:p>
    <w:p>
      <w:pPr>
        <w:spacing w:before="160"/>
      </w:pPr>
      <w:r>
        <w:rPr>
          <w:b/>
        </w:rPr>
        <w:t>C.3. Раздел 14 (реквизиты) — три блока подписей:</w:t>
      </w:r>
    </w:p>
    <w:p>
      <w:pPr>
        <w:ind w:firstLine="567"/>
        <w:jc w:val="both"/>
      </w:pPr>
      <w:r>
        <w:t>Блок 1 — КОМПАНИЯ-ПРОИЗВОДИТЕЛЬ: реквизиты организации, должность, ФИО и подпись нашего директора, печать.</w:t>
      </w:r>
    </w:p>
    <w:p>
      <w:pPr>
        <w:ind w:firstLine="567"/>
        <w:jc w:val="both"/>
      </w:pPr>
      <w:r>
        <w:t>Блок 2 — КОМПАНИЯ-ПРОДАВЕЦ: реквизиты организации, должность, ФИО и подпись их директора, печать.</w:t>
      </w:r>
    </w:p>
    <w:p>
      <w:pPr>
        <w:ind w:firstLine="567"/>
        <w:jc w:val="both"/>
      </w:pPr>
      <w:r>
        <w:t>Блок 3 — ПОРУЧИТЕЛИ (новый): «ФИО ____________________, паспорт серия ______ № ____________, выдан ______________________, дата выдачи ____________, адрес регистрации ____________________, телефон ____________, e-mail ____________, подпись ____________________ / ____________ /» — отдельная строка на каждого поручителя.</w:t>
      </w:r>
    </w:p>
    <w:p>
      <w:pPr>
        <w:ind w:left="454"/>
        <w:jc w:val="both"/>
      </w:pPr>
      <w:r>
        <w:rPr>
          <w:i/>
          <w:sz w:val="20"/>
        </w:rPr>
        <w:t>Да, всё верно: в реквизитах будет наш директор, их директор и отдельно поручитель. Если поручитель — это тот же их директор, он подписывает договор дважды: во втором блоке за организацию, в третьем блоке за себя лично как физическое лицо, с паспортными данными. Без личной подписи физлица поручительство ничтожно (ст. 362 ГК РФ). Если поручителей двое — директор и участник — блок 3 содержит две подписи.</w:t>
      </w:r>
    </w:p>
    <w:p>
      <w:pPr>
        <w:spacing w:before="280"/>
      </w:pPr>
      <w:r>
        <w:rPr>
          <w:b/>
          <w:sz w:val="24"/>
        </w:rPr>
        <w:t>Раздел D. Налоговый режим сторон</w:t>
      </w:r>
    </w:p>
    <w:p>
      <w:pPr>
        <w:spacing w:before="160"/>
      </w:pPr>
      <w:r>
        <w:rPr>
          <w:b/>
        </w:rPr>
        <w:t>D.1. Новый пункт 10.5:</w:t>
      </w:r>
    </w:p>
    <w:p>
      <w:pPr>
        <w:ind w:firstLine="567"/>
        <w:jc w:val="both"/>
      </w:pPr>
      <w:r>
        <w:t>«10.5.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spacing w:before="280"/>
      </w:pPr>
      <w:r>
        <w:rPr>
          <w:b/>
          <w:sz w:val="24"/>
        </w:rPr>
        <w:t>Раздел E. Свобода производителя в приёме заявок и защита цены реализации</w:t>
      </w:r>
    </w:p>
    <w:p>
      <w:pPr>
        <w:spacing w:before="160"/>
      </w:pPr>
      <w:r>
        <w:rPr>
          <w:b/>
        </w:rPr>
        <w:t>E.1. Дополнение к пункту 3.1:</w:t>
      </w:r>
    </w:p>
    <w:p>
      <w:pPr>
        <w:ind w:firstLine="567"/>
        <w:jc w:val="both"/>
      </w:pPr>
      <w:r>
        <w:t>«Настоящий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своей производственной загрузки, наличия сырья и коммерческой целесообразности. Отказ не является нарушением договора и не влечёт ответственности.»</w:t>
      </w:r>
    </w:p>
    <w:p>
      <w:pPr>
        <w:ind w:left="454"/>
        <w:jc w:val="both"/>
      </w:pPr>
      <w:r>
        <w:rPr>
          <w:i/>
          <w:sz w:val="20"/>
        </w:rPr>
        <w:t>Это замена минимальной цены реализации, о которой договорились не писать: если продавец начнёт продавать по ценам, при которых наценки нет, мы просто перестаём подписывать спецификации.</w:t>
      </w:r>
    </w:p>
    <w:p>
      <w:pPr>
        <w:spacing w:before="160"/>
      </w:pPr>
      <w:r>
        <w:rPr>
          <w:b/>
        </w:rPr>
        <w:t>E.2. Новый пункт 7.11 — защита от занижения цены реализации:</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передаче продукции безвозмездно,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ind w:left="454"/>
        <w:jc w:val="both"/>
      </w:pPr>
      <w:r>
        <w:rPr>
          <w:i/>
          <w:sz w:val="20"/>
        </w:rPr>
        <w:t>Минимальную цену не устанавливаем, но без этого пункта наценку можно обнулить одной продажей «своей» компании по цене передачи с последующей перепродажей уже мимо нас.</w:t>
      </w:r>
    </w:p>
    <w:p>
      <w:pPr>
        <w:spacing w:before="280"/>
      </w:pPr>
      <w:r>
        <w:rPr>
          <w:b/>
          <w:sz w:val="24"/>
        </w:rPr>
        <w:t>Раздел F. Отчётность под новую модель</w:t>
      </w:r>
    </w:p>
    <w:p>
      <w:pPr>
        <w:spacing w:before="160"/>
      </w:pPr>
      <w:r>
        <w:rPr>
          <w:b/>
        </w:rPr>
        <w:t>F.1. Пункт 7.5 изложить в следующей редакции:</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w:t>
      </w:r>
    </w:p>
    <w:p>
      <w:pPr>
        <w:spacing w:before="160"/>
      </w:pPr>
      <w:r>
        <w:rPr>
          <w:b/>
        </w:rPr>
        <w:t>F.2. Пункт 7.6 изложить в следующей редакции:</w:t>
      </w:r>
    </w:p>
    <w:p>
      <w:pPr>
        <w:ind w:firstLine="567"/>
        <w:jc w:val="both"/>
      </w:pPr>
      <w:r>
        <w:t>«7.6. Компания-производитель вправе в течение 10 рабочих дней с даты получения отчёта направить мотивированные возражения.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spacing w:before="160"/>
      </w:pPr>
      <w:r>
        <w:rPr>
          <w:b/>
        </w:rPr>
        <w:t>F.3. Новый пункт 7.7.1:</w:t>
      </w:r>
    </w:p>
    <w:p>
      <w:pPr>
        <w:ind w:firstLine="567"/>
        <w:jc w:val="both"/>
      </w:pPr>
      <w:r>
        <w:t>«7.7.1.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left="454"/>
        <w:jc w:val="both"/>
      </w:pPr>
      <w:r>
        <w:rPr>
          <w:i/>
          <w:sz w:val="20"/>
        </w:rPr>
        <w:t>Расходные выгрузки больше не нужны — нам важны только количество и цена реализации.</w:t>
      </w:r>
    </w:p>
    <w:p>
      <w:pPr>
        <w:spacing w:before="280"/>
      </w:pPr>
      <w:r>
        <w:rPr>
          <w:b/>
          <w:sz w:val="24"/>
        </w:rPr>
        <w:t>Раздел G. Прочие правки, сохраняющие силу</w:t>
      </w:r>
    </w:p>
    <w:p>
      <w:pPr>
        <w:spacing w:before="160"/>
      </w:pPr>
      <w:r>
        <w:rPr>
          <w:b/>
        </w:rPr>
        <w:t>G.1. Пункт 11.1:</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spacing w:before="160"/>
      </w:pPr>
      <w:r>
        <w:rPr>
          <w:b/>
        </w:rPr>
        <w:t>G.2. Пункт 11.3 — исключить ограничение размера неустойки 10% для денежных обязательств Компании-продавца.</w:t>
      </w:r>
    </w:p>
    <w:p>
      <w:pPr>
        <w:spacing w:before="160"/>
      </w:pPr>
      <w:r>
        <w:rPr>
          <w:b/>
        </w:rPr>
        <w:t>G.3. Пункт 13.2:</w:t>
      </w:r>
    </w:p>
    <w:p>
      <w:pPr>
        <w:ind w:firstLine="567"/>
        <w:jc w:val="both"/>
      </w:pPr>
      <w:r>
        <w:t>«13.2. Если спор не урегулирован в претензионном порядке, он подлежит рассмотрению в Арбитражном суде ____________________ (по месту нахождения Компании-производителя).»</w:t>
      </w:r>
    </w:p>
    <w:p>
      <w:pPr>
        <w:spacing w:before="160"/>
      </w:pPr>
      <w:r>
        <w:rPr>
          <w:b/>
        </w:rPr>
        <w:t>G.4. Пункты 8.5 и 8.6 исключить (заменены разделом 7А).</w:t>
      </w:r>
    </w:p>
    <w:p>
      <w:pPr>
        <w:spacing w:before="160"/>
      </w:pPr>
      <w:r>
        <w:rPr>
          <w:b/>
        </w:rPr>
        <w:t>G.5. Приложение № 2 (спецификация): графы «Себестоимость единицы» и «Общая себестоимость» переименовать в «Цена передачи за единицу» и «Общая цена передачи партии».</w:t>
      </w:r>
    </w:p>
    <w:p>
      <w:pPr>
        <w:spacing w:before="160"/>
      </w:pPr>
      <w:r>
        <w:rPr>
          <w:b/>
        </w:rPr>
        <w:t>G.6. Приложение № 3 (калькуляция) сохраняется, форма дополняется строками производственных и накладных расходов, приходящихся на партию, и грифом «Конфиденциально».</w:t>
      </w:r>
    </w:p>
    <w:p>
      <w:pPr>
        <w:spacing w:before="160"/>
      </w:pPr>
      <w:r>
        <w:rPr>
          <w:b/>
        </w:rPr>
        <w:t>G.7. Приложение № 5 (отчёт): исключить графы «Прямые расходы проекта» и «Себестоимость реализованного товара», добавить графы «Цена реализации без НДС», «Цена передачи», «Наценка», «Премия 50%».</w:t>
      </w:r>
    </w:p>
    <w:p>
      <w:pPr>
        <w:spacing w:before="280"/>
      </w:pPr>
      <w:r>
        <w:rPr>
          <w:b/>
          <w:sz w:val="24"/>
        </w:rPr>
        <w:t>Раздел H. Что осталось уточнить</w:t>
      </w:r>
    </w:p>
    <w:p>
      <w:pPr>
        <w:jc w:val="both"/>
      </w:pPr>
      <w:r>
        <w:t>1. ФИО, паспортные данные и адреса регистрации поручителей — директора и участника Компании-продавца.</w:t>
      </w:r>
    </w:p>
    <w:p>
      <w:pPr>
        <w:jc w:val="both"/>
      </w:pPr>
      <w:r>
        <w:t>2. Лимит для пункта 15.4 (сумма, в пределах которой поручители заранее согласны отвечать при изменении условий) — предлагаем максимальный размер планируемой партии, умноженный на два.</w:t>
      </w:r>
    </w:p>
    <w:p>
      <w:pPr>
        <w:jc w:val="both"/>
      </w:pPr>
      <w:r>
        <w:t>3. Подтвердить, что наценка считается без НДС (в проекте заложено так, обе стороны на ОСНО).</w:t>
      </w:r>
    </w:p>
    <w:p>
      <w:pPr>
        <w:jc w:val="both"/>
      </w:pPr>
      <w:r>
        <w:t>4. Наименование арбитражного суда для пункта 13.2 — по месту нахождения Компании-производителя.</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