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Начальнику ОГИБДД УВД по Троицкому и Новомосковскому административным округам ГУ МВД России по г. Москве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[адрес по официальному сайту]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Копия: Начальнику Управления ГИБДД ГУ МВД России по г. Москве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от [Фамилия Имя Отчество полностью],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собственника (жителя) квартиры № [__] в доме по адресу: [индекс], г. Москва, поселение Сосенское, [улица, дом, корпус] (ЖК «Бунинские луга», 1-й микрорайон)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адрес для направления ответа: [почтовый адрес полностью]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телефон: [__________], e-mail: [__________]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[при коллективном обращении: «от жителей домов ... ЖК «Бунинские луга», 1-й микрорайон, список подписей прилагается; представитель для связи - ФИО, адрес, телефон»]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ЗАЯВЛЕНИЕ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о проведении проверки законности установки дорожных знаков 3.27 «Остановка запрещена» с табличками 8.24 «Работает эвакуатор» на дворовой территории 1-го микрорайона ЖК «Бунинские луга» (г. Москва, поселение Сосенское)</w:t>
      </w:r>
    </w:p>
    <w:p>
      <w:pPr>
        <w:jc w:val="left"/>
      </w:pPr>
      <w:r>
        <w:rPr>
          <w:rFonts w:ascii="Times New Roman" w:hAnsi="Times New Roman"/>
          <w:b/>
          <w:sz w:val="28"/>
        </w:rPr>
        <w:t>1. Обстоятельства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Я являюсь собственником (жителем) жилого помещения в многоквартирном доме, расположенном в 1-м микрорайоне ЖК «Бунинские луга» (г. Москва, поселение Сосенское, пос. Коммунарка). Территория 1-го микрорайона ограничена проспектом Куприна, улицей Александры Монаховой, Проектируемым проездом № 7048 и территорией ЖК «Бунинские кварталы».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 [месяц, год] на внутриквартальных проездах и дворовой территории 1-го микрорайона установлены дорожные знаки 3.27 «Остановка запрещена» с табличками 8.24 «Работает эвакуатор», знаки 3.28 «Стоянка запрещена», 5.21/5.22 «Жилая зона», 5.29/5.30 «Зона регулируемой стоянки», а также искусственные дорожные неровности. Знаки 3.27 и 8.24 размещены вдоль всей протяжённости внутридворовых проездов между жилыми корпусами, в том числе у подъездов. С момента установки знаков в отношении транспортных средств жителей применяется задержание (перемещение на специализированную стоянку) и назначаются штрафы по ч. 5 ст. 12.16 КоАП РФ [указать конкретные факты: даты, номера постановлений, адреса]. При этом количество парковочных мест на территории микрорайона не обеспечивает потребности жителей, кратковременная остановка у подъездов для посадки и высадки пассажиров (в том числе детей и маломобильных граждан), разгрузки стала невозможной.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 распоряжении заявителя имеется проектная документация «Транспортное обслуживание объекта «1, 2, 3 микрорайон ЖК «Бунинские луга». Проект организации дорожного движения на период эксплуатации в 1-ом микрорайоне» (шифр ИК-09П/2022-ПОДД, разработчик - ООО «Инжиниринговая компания БИЛЛДЭКС», 2023 г., заказчик - ПАО «ПИК-Специализированный застройщик», договор от 02.03.2023 № ИК-09П/2022) (далее - ПОДД). По ПОДД на территории 1-го микрорайона предусмотрена установка 60 знаков 3.27 «Остановка запрещена» и 60 табличек 8.24 «Работает эвакуатор», 4 знаков 3.2 «Движение запрещено», 60 знаков 6.4 «Парковка» с табличками 8.6.1 и 8.6.4, по 4 знака 5.21/5.22 «Жилая зона» и 5.29/5.30 «Зона регулируемой стоянки», 148 стоек для знаков.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Из ПОДД и приложенных к нему документов следует: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1) ПОДД разработан на основании постановления Правительства Москвы от 15.06.2016 № 326-ПП (проект планировки территории вблизи деревни Столбово, участок 27 поселения Сосенское). По сведениям Москомархитектуры (письма от 30.08.2023 № МКА-02-33010/23-1 и от 27.10.2023 № МКА-02-43016/23-1, приложенные к ПОДД) указанный проект планировки утратил силу постановлением Правительства Москвы от 20.01.2021 № 41-ПП; Москомархитектура указала на необходимость соблюдения порядка согласования проектной документации по постановлению Правительства Москвы от 30.07.2002 № 586-ПП;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2) префектура Троицкого и Новомосковского административных округов города Москвы (письмо от 10.11.2023 № 09-01-17-21313/23) и администрация поселения Сосенское (письмо от 09.11.2023 № 01-36-2609/23) сообщили об отсутствии принципиальных возражений по схеме организации дорожного движения только при условии согласования проектных решений в установленном порядке в Департаменте транспорта и развития дорожно-транспортной инфраструктуры города Москвы; администрация поселения дополнительно указала на необходимость разработки ПОДД в соответствии с Федеральным законом от 10.12.1995 № 196-ФЗ и приказом Минтранса России от 30.07.2020 № 274;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3) Окружная комиссия по безопасности дорожного движения ТиНАО города Москвы (протокол заседания от 01.03.2024 № 02/24, п. 12), рассмотрев вопрос во исполнение решения Комиссии Департамента транспорта (выписка из протокола от 29.12.2023 № 17-49-51/23), признала размещение искусственных неровностей и знаков, ограничивающих остановку/стоянку, целесообразным и поручила: застройщику ГК «ПИК» - принять меры по установке знаков и неровностей согласно проектной документации «с учётом её согласования в установленном порядке в Департаменте транспорта и развития дорожно-транспортной инфраструктуры города Москвы» (п. 12.1); администрации поселения Сосенское совместно с ГК «ПИК» - обеспечить информирование жителей ЖК «Бунинские луга» о планируемых мерах по ограничению остановки/стоянки (п. 12.2); срок - II квартал 2024 года;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4) в ведомости согласований ПОДД (лист ИК-09П/2022-ПОДД-ВС) указаны только письма префектуры, администрации поселения и протокол окружной комиссии. Документ об утверждении (согласовании) ПОДД Департаментом транспорта в составе документации отсутствует. Сведениями об утверждении ПОДД уполномоченным органом жители не располагают; в открытом доступе утверждённый ПОДД не размещён;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5) информирование жителей о планируемых ограничениях, предусмотренное п. 12.2 протокола, до установки знаков не проводилось [если проводилось - указать, как именно, и скорректировать];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6) в ведомости ссылочных документов ПОДД отсутствуют Федеральный закон от 29.12.2017 № 443-ФЗ «Об организации дорожного движения в Российской Федерации...» и приказ Минтранса России от 30.07.2020 № 274, устанавливавшие обязательные требования к составу и содержанию ПОДД; пояснительная записка (3 листа) не содержит обоснования вводимых ограничений: анализа интенсивности движения, расчёта потребности в парковочных местах и их обеспеченности, оценки последствий для жителей.</w:t>
      </w:r>
    </w:p>
    <w:p>
      <w:pPr>
        <w:jc w:val="left"/>
      </w:pPr>
      <w:r>
        <w:rPr>
          <w:rFonts w:ascii="Times New Roman" w:hAnsi="Times New Roman"/>
          <w:b/>
          <w:sz w:val="28"/>
        </w:rPr>
        <w:t>2. Правовое обоснование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Согласно ч. 11 ст. 18 Федерального закона от 29.12.2017 № 443-ФЗ «Об организации дорожного движения в Российской Федерации и о внесении изменений в отдельные законодательные акты Российской Федерации» (далее - Закон № 443-ФЗ) реализация проектов организации дорожного движения, не прошедших обязательных согласований и не утверждённых в установленном порядке, не допускается. В силу ч. 15 ст. 18 Закона № 443-ФЗ утверждённые проекты подлежат размещению в информационных системах утвердивших их органов и направлению в МВД России в течение тридцати дней со дня утверждения. Согласно ст. 21 Федерального закона от 10.12.1995 № 196-ФЗ «О безопасности дорожного движения» мероприятия по организации дорожного движения осуществляются на основе документации по организации дорожного движения, разработанной в соответствии с Законом № 443-ФЗ.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ГОСТ Р 52289-2019 «Технические средства организации дорожного движения. Правила применения дорожных знаков, разметки, светофоров, дорожных ограждений и направляющих устройств» (утверждён приказом Росстандарта от 20.12.2019 № 1425-ст) распространяется на прилегающие территории (примечание к разделу 1) и устанавливает, в частности, что знаки размещают так, чтобы они воспринимались участниками движения, для которых предназначены, и не были закрыты препятствиями (п. 4.3), устанавливаются на опорах по ГОСТ 32948 справа от проезжей части (п. 5.1.2, 5.1.5); знаки, не предназначенные для действующей схемы организации движения, допускается закрывать чехлами (п. 4.4). Согласно п. 1.2 Правил дорожного движения, утверждённых постановлением Правительства РФ от 23.10.1993 № 1090, дворы относятся к прилегающей территории, движение по которой осуществляется в соответствии с Правилами; в жилых зонах и на дворовых территориях действуют требования раздела 17 Правил (п. 17.2, 17.4).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За несоблюдение требований по обеспечению безопасности дорожного движения при содержании дорог, в том числе требований к установке дорожных знаков, предусмотрена ответственность по ст. 12.34 КоАП РФ (постановление Верховного Суда РФ от 26.12.2023 № 5-АД23-106-К2).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Согласно п. 2 ст. 12 Федерального закона от 10.12.1995 № 196-ФЗ обязанность по обеспечению соответствия состояния дорог при их содержании установленным техническим регламентам и другим нормативным документам возлагается на лиц, осуществляющих содержание автомобильных дорог. Надзор за соблюдением требований в области обеспечения безопасности дорожного движения, в том числе при установке технических средств организации дорожного движения, осуществляет Госавтоинспекция; утверждённые проекты организации дорожного движения направляются в МВД России (ч. 15 ст. 18 Закона № 443-ФЗ).</w:t>
      </w:r>
    </w:p>
    <w:p>
      <w:pPr>
        <w:jc w:val="left"/>
      </w:pPr>
      <w:r>
        <w:rPr>
          <w:rFonts w:ascii="Times New Roman" w:hAnsi="Times New Roman"/>
          <w:b/>
          <w:sz w:val="28"/>
        </w:rPr>
        <w:t>3. Просьба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На основании изложенного, руководствуясь ст. 2, 5, 7, 10, 12 Федерального закона от 02.05.2006 № 59-ФЗ, ст. 12, 21 Федерального закона от 10.12.1995 № 196-ФЗ, ст. 18 Закона № 443-ФЗ, ст. 12.34 КоАП РФ, прошу: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1. Провести проверку (надзорное мероприятие) законности установки и соответствия требованиям ГОСТ Р 52289-2019 дорожных знаков 3.27, 8.24, 3.28, 5.21, 5.22, 5.29, 5.30, 6.4 и искусственных неровностей на внутриквартальных проездах и дворовой территории 1-го микрорайона ЖК «Бунинские луга»; установить лицо, осуществившее установку, и документ, на основании которого она произведена.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2. Сообщить, поступал ли в подразделение Госавтоинспекции утверждённый проект организации дорожного движения на период эксплуатации в 1-м микрорайоне ЖК «Бунинские луга» (шифр ИК-09П/2022-ПОДД) в порядке ч. 15 ст. 18 Закона № 443-ФЗ; участвовало ли подразделение в его согласовании.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3. При выявлении нарушений - выдать предписание об устранении нарушений (демонтаже знаков, установленных без утверждённой документации либо с нарушением ГОСТ Р 52289-2019) и рассмотреть вопрос о привлечении виновных лиц к ответственности по ст. 12.34 КоАП РФ.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4. Сообщить о результатах проверки и принятых мерах.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Прошу рассмотреть настоящее обращение в срок, установленный ст. 12 Федерального закона от 02.05.2006 № 59-ФЗ «О порядке рассмотрения обращений граждан Российской Федерации», и направить письменный ответ по существу каждого из поставленных вопросов (п. 4 ч. 1 ст. 10 указанного закона) по адресу, указанному в обращении.</w:t>
      </w:r>
    </w:p>
    <w:p>
      <w:pPr>
        <w:jc w:val="left"/>
      </w:pPr>
      <w:r>
        <w:rPr>
          <w:rFonts w:ascii="Times New Roman" w:hAnsi="Times New Roman"/>
          <w:b/>
          <w:sz w:val="28"/>
        </w:rPr>
        <w:t>Приложения: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1. Копия ПОДД ИК-09П/2022-ПОДД (титульный лист, содержание, пояснительная записка, ведомость технических средств организации дорожного движения, ведомость согласований, ведомость ссылочных документов, схема ОДД 1-й этап М 1:500) - на [__]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2. Копии писем Москомархитектуры от 30.08.2023 № МКА-02-33010/23-1 и от 27.10.2023 № МКА-02-43016/23-1 - на 2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3. Копия письма префектуры ТиНАО города Москвы от 10.11.2023 № 09-01-17-21313/23 - на 1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4. Копия письма администрации поселения Сосенское от 09.11.2023 № 01-36-2609/23 - на 1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5. Копия протокола заседания Окружной комиссии по безопасности дорожного движения ТиНАО города Москвы от 01.03.2024 № 02/24 (титульный лист, п. 12) - на 3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6. Фотоматериалы установленных знаков с указанием адресов и даты съёмки - на [__]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7. Копии постановлений по делам об административных правонарушениях и протоколов о задержании транспортных средств (при наличии) - на [__]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8. Список подписей жителей (при коллективном обращении) - на [__] л.</w:t>
      </w:r>
    </w:p>
    <w:p/>
    <w:p>
      <w:pPr>
        <w:jc w:val="left"/>
      </w:pPr>
      <w:r>
        <w:rPr>
          <w:rFonts w:ascii="Times New Roman" w:hAnsi="Times New Roman"/>
          <w:b w:val="0"/>
          <w:sz w:val="28"/>
        </w:rPr>
        <w:t>«___» сентября 2026 г.</w:t>
      </w:r>
    </w:p>
    <w:p>
      <w:pPr>
        <w:jc w:val="left"/>
      </w:pPr>
      <w:r>
        <w:rPr>
          <w:rFonts w:ascii="Times New Roman" w:hAnsi="Times New Roman"/>
          <w:b w:val="0"/>
          <w:sz w:val="28"/>
        </w:rPr>
        <w:t>____________________ / [Фамилия И.О.] 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40" w:lineRule="auto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