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b/>
          <w:sz w:val="28"/>
        </w:rPr>
        <w:t>СРАВНЕНИЕ ДОГОВОРОВ</w:t>
      </w:r>
    </w:p>
    <w:p>
      <w:pPr>
        <w:spacing w:before="40"/>
        <w:jc w:val="center"/>
      </w:pPr>
      <w:r>
        <w:rPr>
          <w:b/>
          <w:sz w:val="22"/>
        </w:rPr>
        <w:t>редакция Компании-продавца и наша редакция: что изменено, добавлено и удалено</w:t>
      </w:r>
    </w:p>
    <w:p>
      <w:pPr>
        <w:jc w:val="both"/>
      </w:pPr>
      <w:r>
        <w:rPr>
          <w:b w:val="0"/>
        </w:rPr>
        <w:t>Дата: 26.08.2026. Сравниваются: «Рамочный договор о производстве продукции, передаче продукции и распределении коммерческого результата» (редакция контрагента) и «Рамочный договор о производстве и передаче продукции» (наша редакция).</w:t>
      </w:r>
    </w:p>
    <w:p>
      <w:pPr>
        <w:spacing w:before="280"/>
      </w:pPr>
      <w:r>
        <w:rPr>
          <w:b/>
          <w:sz w:val="24"/>
        </w:rPr>
        <w:t>Коротко: пять принципиальных отличий</w:t>
      </w:r>
    </w:p>
    <w:p>
      <w:pPr>
        <w:jc w:val="both"/>
      </w:pPr>
      <w:r>
        <w:rPr>
          <w:b w:val="0"/>
        </w:rPr>
        <w:t>1. Их редакция: мы получаем деньги только за то, что продано, и только когда продано. Наша редакция: вся партия оплачивается в течение 30 дней с даты передачи, независимо от продаж.</w:t>
      </w:r>
    </w:p>
    <w:p>
      <w:pPr>
        <w:jc w:val="both"/>
      </w:pPr>
      <w:r>
        <w:rPr>
          <w:b w:val="0"/>
        </w:rPr>
        <w:t>2. Их редакция: из прибыли вычитаются все расходы продавца — комиссии маркетплейсов, логистика, реклама, скидки, возвраты, налоги. Наша редакция: расходы продавца на нашу долю не влияют, наценка считается как разница между ценой реализации и ценой передачи.</w:t>
      </w:r>
    </w:p>
    <w:p>
      <w:pPr>
        <w:jc w:val="both"/>
      </w:pPr>
      <w:r>
        <w:rPr>
          <w:b w:val="0"/>
        </w:rPr>
        <w:t>3. Их редакция: судьба непроданных остатков решается «переговорами», а если не договорились — продавцом единолично. Наша редакция: по истечении срока мы сами выбираем — деньги или возврат остатка.</w:t>
      </w:r>
    </w:p>
    <w:p>
      <w:pPr>
        <w:jc w:val="both"/>
      </w:pPr>
      <w:r>
        <w:rPr>
          <w:b w:val="0"/>
        </w:rPr>
        <w:t>4. Их редакция: обеспечения нет вообще. Наша редакция: залог переданного товара в силу закона, проценты за просрочку и поручительство директора и участника прямо в тексте договора.</w:t>
      </w:r>
    </w:p>
    <w:p>
      <w:pPr>
        <w:jc w:val="both"/>
      </w:pPr>
      <w:r>
        <w:rPr>
          <w:b w:val="0"/>
        </w:rPr>
        <w:t>5. Их редакция: мы обязаны раскрывать калькуляцию только по прямым расходам, без права заложить накладные. Наша редакция: калькуляция сохранена и прибыль в цену по-прежнему не закладывается, но себестоимость считается полной, включая производственные и накладные расходы.</w:t>
      </w:r>
    </w:p>
    <w:p>
      <w:r>
        <w:br w:type="page"/>
      </w:r>
    </w:p>
    <w:p>
      <w:pPr>
        <w:spacing w:before="280"/>
      </w:pPr>
      <w:r>
        <w:rPr>
          <w:b/>
          <w:sz w:val="24"/>
        </w:rPr>
        <w:t>1. Изменённые пункты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361"/>
          </w:tcPr>
          <w:p>
            <w:r/>
            <w:r>
              <w:rPr>
                <w:b/>
                <w:sz w:val="18"/>
              </w:rPr>
              <w:t>Пункт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8"/>
              </w:rPr>
              <w:t>Было (их редакция)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8"/>
              </w:rPr>
              <w:t>Стало (наша редакция)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Преамбула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Две стороны: Компания-производитель и Компания-продавец.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Три стороны: добавлены Поручители — директор и участник Компании-продавца.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Поручительство работает только при личной подписи физлица.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1.4. Термины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«Себестоимость» — только прямые расходы. «Чистая прибыль» — выручка минус себестоимость минус прямые расходы проекта.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«Цена передачи», «цена реализации», «наценка от реализации» — разница между ними. Все показатели без НДС.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Расходы продавца перестают уменьшать нашу долю.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2.3. Что мы получаем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Себестоимость фактически реализованной продукции и 50% чистой прибыли.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Цена передачи переданной продукции и премия 50% наценки от реализации.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Платят за переданное, а не только за проданное.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3.1. Заявки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Производство после согласования заявки.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То же плюс: производитель не обязан принимать заявки и вправе отказать без объяснения причин.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Замена минимальной цены реализации, от которой договорились отказаться.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3.3. Цена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Себестоимость определяется до запуска партии, изменение задним числом запрещено.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То же, но термин «цена передачи».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Терминология.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3.4. Состав цены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Себестоимость включает только прямые расходы; административные, управленческие и общехозяйственные прямо исключены; прибыль производителя не включается.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Цена передачи равна полной себестоимости и прибыль не включает, но себестоимость включает и производственные с накладными расходами на партию. Калькуляция — коммерческая тайна.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В их редакции не покрывались амортизация, энергия, зарплата производственного персонала, брак и контроль качества — работа в минус на каждой партии.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5.2. Оплата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Оплата производится не за всю партию сразу, а по мере фактической реализации.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То же, но с оговоркой: в любом случае не позднее предельного срока оплаты по пункту 7А.2, независимо от факта и объёма реализации.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Ключевое изменение: риск непродажи переходит на продавца.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6.3. Расходы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Перечень прямых расходов проекта, которые уменьшают чистую прибыль.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Тот же перечень, но: все расходы несёт Компания-продавец за свой счёт.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Наша доля не размывается расходами, которыми мы не управляем.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6.4. Налоги в расчёте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Общие расходы не уменьшают прибыль; налоги распределяются пропорционально доле выручки.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Расходы продавца не уменьшают наценку; налоги с дохода и прибыли продавца при расчёте не учитываются.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Закрыт вычет их УСН или налога на прибыль из нашей доли.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6.5. Доставка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Расходы на доставку относятся к прямым расходам проекта.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Доставку до склада продавца или маркетплейса несёт Компания-продавец.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Следствие нового распределения расходов.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7.2. Расчёт выплаты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Себестоимость реализованного плюс 50% чистой прибыли.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Цена передачи плюс 50% наценки без вычета каких-либо расходов; расчёт по периоду не переносит обязанность оплатить остаток по разделу 7А.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Основа новой экономики.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7.3. Убытки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При отсутствии прибыли — только себестоимость реализованного; отрицательный результат переносится на следующие периоды и уменьшает будущую прибыль.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Премия не начисляется, но отрицательная разница не переносится и не уменьшает обязанность оплатить цену передачи полностью.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Иначе их скидки годами гасили бы нашу долю.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7.4. Учёт партий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FIFO по себестоимости.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FIFO по цене передачи.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Терминология.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7.5. Отчёт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Отчёт с данными о выручке, расходах проекта, чистой прибыли.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Отчёт: количество, цена реализации без НДС, цена передачи, наценка, премия, остатки. Сведения о расходах продавца не включаются.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Отчёт проще и проверяемее.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7.6. Возражения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3 рабочих дня, дальше отчёт считается согласованным.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10 рабочих дней плюс право требовать перерасчёта в течение 12 месяцев.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Отчёты маркетплейсов приходят с задержкой и корректируются.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7.7. Документы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Подтверждающие документы «могут относиться» к отчётам площадок.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Обязательная передача исходных выгрузок маркетплейсов в XLSX или CSV вместе с отчётом.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Иначе расчёт премии нечем проверить.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7.8. Доступ к данным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Доступ предоставляется, «если это технически возможно и безопасно».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Оговорка убрана, доступ только на просмотр сохранён.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Формулировка делала обязанность необязательной.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8.4. Возвраты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Возвраты, удержания, логистика и утилизация учитываются при расчёте чистой прибыли; расход с неустановленной причиной относится на проект.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Эти расходы относятся на продавца и не уменьшают его обязательства перед нами. Исключение — наш производственный брак по пункту 8.2.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Оговорка про брак нужна, иначе условие выглядит кабальным.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9.5. Остатки под нашим брендом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Порядок реализации остатков «урегулируется отдельно».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Прямая отсылка к разделу 7А.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Убрана отсылка в никуда.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11.1. Неустойка за просрочку оплаты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0,05% в день, но не более 10% от суммы.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0,1% в день без верхнего предела.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При отсрочке в месяц прежняя ставка дешевле кредита — тянуть было выгодно.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11.2. Наша ответственность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0,05% в день от себестоимости просроченной партии, не более 10%.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Без изменений, кроме термина «цена передачи».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Свою ответственность не ужесточали.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12.4. Прекращение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Обязательства сохраняются, включая «урегулирование остатков» — без механизма.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Добавлена отсылка к разделу 7А и к поручительству.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Появился работающий механизм.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13.2. Суд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Арбитражный суд по месту нахождения ответчика.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Арбитражный суд города Москвы.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Взыскивать будем мы, значит истцами будем мы.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13.7. Экземпляры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Два экземпляра.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Три экземпляра — по числу сторон.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Появилась третья сторона.</w:t>
            </w:r>
          </w:p>
        </w:tc>
      </w:tr>
    </w:tbl>
    <w:p>
      <w:r>
        <w:br w:type="page"/>
      </w:r>
    </w:p>
    <w:p>
      <w:pPr>
        <w:spacing w:before="280"/>
      </w:pPr>
      <w:r>
        <w:rPr>
          <w:b/>
          <w:sz w:val="24"/>
        </w:rPr>
        <w:t>2. Добавлено полностью нового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Что добавлено</w:t>
            </w:r>
          </w:p>
        </w:tc>
        <w:tc>
          <w:tcPr>
            <w:tcW w:type="dxa" w:w="7030"/>
          </w:tcPr>
          <w:p>
            <w:r/>
            <w:r>
              <w:rPr>
                <w:b/>
                <w:sz w:val="18"/>
              </w:rPr>
              <w:t>Содержание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Раздел 7А целиком (11 пунктов)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Сроки оплаты, риск нереализации, возврат или оплата остатков. Это ядро новой редакции — в их договоре такого раздела нет вообще.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7А.1. Оплата проданного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5 рабочих дней с получения денег от клиента, но не позднее 30 дней с даты реализации. Неоплата клиентом или удержания маркетплейса не освобождают и не переносят срок — платят своими деньгами.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7А.2. Предельный срок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Вся партия, включая непроданный остаток, оплачивается не позднее 30 календарных дней с даты передачи. Отсутствие реализации срок не продлевает.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7А.3. Уведомление о неоплате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Если в 30 дней не оплатили — обязаны в течение 6 календарных дней прислать письменное уведомление со сверкой остатков: сколько продано, сколько осталось, состояние, срок годности, место нахождения.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7А.4. Требование производителя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После истечения срока мы по своему выбору требуем оплату или возврат остатка (пункт 3 статьи 488 ГК). Продавец выбирать не вправе и обязан исполнить требование в заявленном виде.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7А.5. Проданное — только деньгами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Возврат возможен только по нереализованному остатку. Проданное оплачивается полностью вместе с премией.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7А.6. Сроки исполнения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Оплата — 5 рабочих дней, возврат — 10 рабочих дней с передачей на нашем складе. С даты требования о возврате продавец обязан остановить продажи и снять товар с публикации.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7А.7. Условия приёма возврата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Товарный вид, неповреждённая упаковка и этикетка, остаточный срок годности не менее 70%, не вскрывался и не переклеивался. Всё, что не проходит по состоянию, возврату не подлежит и оплачивается полностью.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7А.8. Оформление возврата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Обратная реализация по УПД на нашем складе, доставка и погрузка за счёт продавца, цена возврата равна цене передачи, обязательство прекращается зачётом.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7А.9. Залог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Переданный с отсрочкой товар в залоге у нас до полной оплаты (пункт 5 статьи 488 ГК). Стороны залог не отменяют. Обычным продажам залог не мешает.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7А.10. Просрочка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Право приостановить производство новых партий. Проценты за пользование коммерческим кредитом 1% в день с 31-го дня и до фактической оплаты либо до фактического возврата, плюс неустойка по пункту 11.1, с оговоркой о применении большей из сумм без суммирования.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7А.11. При расторжении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Весь непроданный остаток оплачивается или возвращается в течение 15 рабочих дней, независимо от того, наступил ли срок по партии.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7.10. Оформление премии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Премия 50% оформляется корректировочным УПД как увеличение цены товара; продавец обязан подписать согласие на изменение стоимости за 3 рабочих дня.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7.11. Продажи своим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При реализации взаимозависимым или аффилированным лицам наценка считается от цены последующей продажи независимому покупателю.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8.5. Хранение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Продавец обеспечивает условия хранения по требованиям производителя, в том числе на складах маркетплейсов. Порча из-за нарушения условий — на продавце.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10.3. Налоговая оговорка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Заверения обеих сторон об ОСНО и статусе плательщика НДС, обязанность уведомить о смене режима за 30 дней, право не отгружать до согласования последствий, возмещение потерь по отказанным вычетам и доначислениям.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13.4. Уступка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Продавец не вправе уступать права и переводить обязанности без нашего письменного согласия.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Раздел 14 целиком (8 пунктов)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Поручительство директора и участника прямо в тексте договора: солидарная ответственность за все денежные обязательства, обеспечение будущих партий, заранее данное согласие с пределами, срок 3 года, сохранение поручительства при смене директора или собственника, право остановить отгрузки при утрате обеспечения.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Приложение № 4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Добавлено: дата передачи в УПД является отправной точкой для отсчёта тридцатидневного срока оплаты.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Приложение № 5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В таблицу остатков добавлена графа «дней с даты передачи» — видно, по каким партиям срок подходит.</w:t>
            </w:r>
          </w:p>
        </w:tc>
      </w:tr>
    </w:tbl>
    <w:p>
      <w:r>
        <w:br w:type="page"/>
      </w:r>
    </w:p>
    <w:p>
      <w:pPr>
        <w:spacing w:before="280"/>
      </w:pPr>
      <w:r>
        <w:rPr>
          <w:b/>
          <w:sz w:val="24"/>
        </w:rPr>
        <w:t>3. Удалено из их редакции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Что удалено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Как было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18"/>
              </w:rPr>
              <w:t>Почему убрано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Пункты 8.5 и 8.6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Если продукция не реализована за 6 месяцев, стороны «обсуждают дальнейший порядок»; если за 10 рабочих дней не договорились — продавец определяет судьбу остатков сам.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Прямо противоречило договорённости: обязанности вернуть или оплатить не возникало вообще.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Понятие «чистая прибыль»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Выручка минус себестоимость минус прямые расходы проекта.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Заменено на «наценку от реализации» без вычета расходов продавца.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Понятие «прямые расходы проекта»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Комиссии, логистика, хранение, реклама, скидки, возвраты, эквайринг, налоги — всё уменьшало нашу долю.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Эти расходы теперь целиком на продавце и в расчёте не участвуют.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Перенос отрицательного результата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Убыток переносился на следующие периоды и уменьшал будущую прибыль по продукции.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Убрано: их коммерческие решения больше не гасят нашу долю.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Запрет включать накладные расходы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Себестоимость не включает административные, управленческие, общехозяйственные и иные косвенные расходы.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Заменено полной себестоимостью: производственные и накладные расходы на партию входят в цену.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Оговорка «если технически возможно и безопасно»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Относилась к доступу к отчётным данным маркетплейсов.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Убрана, доступ и выгрузки стали обязательными.</w:t>
            </w:r>
          </w:p>
        </w:tc>
      </w:tr>
    </w:tbl>
    <w:p>
      <w:pPr>
        <w:spacing w:before="280"/>
      </w:pPr>
      <w:r>
        <w:rPr>
          <w:b/>
          <w:sz w:val="24"/>
        </w:rPr>
        <w:t>4. Оставлено без изменений</w:t>
      </w:r>
    </w:p>
    <w:p>
      <w:pPr>
        <w:jc w:val="both"/>
      </w:pPr>
      <w:r>
        <w:rPr>
          <w:b w:val="0"/>
        </w:rPr>
        <w:t>Раздел 4 целиком — производство, качество, документы и маркировка, включая ответственность производителя за рецептуру, документы качества и коды маркировки. Раздел 5, кроме пункта 5.2 — передача, право собственности при передаче, приёмка и риски. Раздел 9 — бренды, карточки товаров, контент и права на рецептуры, включая принадлежность карточек продавцу. Раздел 10 в части конфиденциальности и электронного документооборота. Пункты 11.2 и 11.6–11.8 — наша ответственность за срыв сроков и форс-мажор. Пункты 12.1–12.3 — год действия, автопродление и расторжение с уведомлением за 30 дней. Формы заявки, спецификации и калькуляции сохранены, изменена только терминология и состав статей калькуляции.</w:t>
      </w:r>
    </w:p>
    <w:p>
      <w:pPr>
        <w:spacing w:before="280"/>
      </w:pPr>
      <w:r>
        <w:rPr>
          <w:b/>
          <w:sz w:val="24"/>
        </w:rPr>
        <w:t>5. На что контрагент, вероятно, обратит внимание при согласовании</w:t>
      </w:r>
    </w:p>
    <w:p>
      <w:pPr>
        <w:jc w:val="both"/>
      </w:pPr>
      <w:r>
        <w:rPr>
          <w:b w:val="0"/>
        </w:rPr>
        <w:t>Наиболее чувствительные для него пункты: 7А.2 (30 дней независимо от продаж), 7А.4 (право выбора у нас, а не у него), 7А.10 (1% в день), раздел 14 (личное поручительство директора и участника), 6.3–6.4 (его расходы не уменьшают нашу долю) и 13.2 (суд в Москве). Это ожидаемые точки торга — остальные правки носят технический или уточняющий характер.</w:t>
      </w:r>
    </w:p>
    <w:sectPr w:rsidR="00FC693F" w:rsidRPr="0006063C" w:rsidSect="00034616">
      <w:pgSz w:w="12240" w:h="15840"/>
      <w:pgMar w:top="850" w:right="68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