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Fonts w:ascii="Times New Roman" w:hAnsi="Times New Roman"/>
          <w:b/>
          <w:bCs w:val="false"/>
          <w:smallCaps/>
          <w:sz w:val="28"/>
          <w:szCs w:val="28"/>
        </w:rPr>
        <w:t>Données épigénomique et diversité des transcrits chez l’humain</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val="false"/>
          <w:bCs w:val="false"/>
        </w:rPr>
        <w:t>Devailly G.</w:t>
      </w:r>
      <w:r>
        <w:rPr>
          <w:rFonts w:ascii="Times New Roman" w:hAnsi="Times New Roman"/>
          <w:b w:val="false"/>
          <w:bCs w:val="false"/>
          <w:vertAlign w:val="superscript"/>
        </w:rPr>
        <w:t>1*</w:t>
      </w:r>
      <w:r>
        <w:rPr>
          <w:rFonts w:ascii="Times New Roman" w:hAnsi="Times New Roman"/>
          <w:b w:val="false"/>
          <w:bCs w:val="false"/>
        </w:rPr>
        <w:t xml:space="preserve">, </w:t>
      </w:r>
      <w:r>
        <w:rPr>
          <w:rFonts w:ascii="Times New Roman" w:hAnsi="Times New Roman"/>
          <w:b w:val="false"/>
          <w:bCs w:val="false"/>
        </w:rPr>
        <w:t>Joshi A.</w:t>
      </w:r>
      <w:r>
        <w:rPr>
          <w:rFonts w:ascii="Times New Roman" w:hAnsi="Times New Roman"/>
          <w:b w:val="false"/>
          <w:bCs w:val="false"/>
          <w:vertAlign w:val="superscript"/>
        </w:rPr>
        <w:t>2</w:t>
      </w:r>
    </w:p>
    <w:p>
      <w:pPr>
        <w:pStyle w:val="Normal"/>
        <w:rPr/>
      </w:pPr>
      <w:r>
        <w:rPr>
          <w:rFonts w:ascii="Times New Roman" w:hAnsi="Times New Roman"/>
          <w:b w:val="false"/>
          <w:bCs w:val="false"/>
          <w:i/>
          <w:iCs/>
          <w:vertAlign w:val="superscript"/>
        </w:rPr>
        <w:t xml:space="preserve">1 </w:t>
      </w:r>
      <w:r>
        <w:rPr>
          <w:rFonts w:ascii="Times New Roman" w:hAnsi="Times New Roman"/>
          <w:b w:val="false"/>
          <w:bCs w:val="false"/>
          <w:i/>
          <w:iCs/>
          <w:caps w:val="false"/>
          <w:smallCaps w:val="false"/>
        </w:rPr>
        <w:t xml:space="preserve">GenPhySE, Université de Toulouse, INRA, INPT, ENVT, Castanet Tolosan, France </w:t>
      </w:r>
    </w:p>
    <w:p>
      <w:pPr>
        <w:pStyle w:val="Normal"/>
        <w:rPr/>
      </w:pPr>
      <w:r>
        <w:rPr>
          <w:rFonts w:ascii="Times New Roman" w:hAnsi="Times New Roman"/>
          <w:b w:val="false"/>
          <w:bCs w:val="false"/>
          <w:i/>
          <w:iCs/>
          <w:vertAlign w:val="superscript"/>
        </w:rPr>
        <w:t xml:space="preserve">2 </w:t>
      </w:r>
      <w:r>
        <w:rPr>
          <w:rFonts w:ascii="Times New Roman" w:hAnsi="Times New Roman"/>
          <w:b w:val="false"/>
          <w:bCs w:val="false"/>
          <w:i/>
          <w:iCs/>
        </w:rPr>
        <w:t>Division of Developmental Biology, the Roslin Institute, University of Edinburgh, Easter Bush Campus, EH25 9RG Midlothian, UK</w:t>
      </w:r>
    </w:p>
    <w:p>
      <w:pPr>
        <w:pStyle w:val="Normal"/>
        <w:rPr/>
      </w:pPr>
      <w:r>
        <w:rPr>
          <w:rFonts w:ascii="Times New Roman" w:hAnsi="Times New Roman"/>
          <w:b w:val="false"/>
          <w:bCs w:val="false"/>
          <w:i/>
          <w:iCs/>
        </w:rPr>
        <w:t xml:space="preserve">* </w:t>
      </w:r>
      <w:hyperlink r:id="rId2">
        <w:r>
          <w:rPr>
            <w:rStyle w:val="LienInternet"/>
            <w:rFonts w:ascii="Times New Roman" w:hAnsi="Times New Roman"/>
            <w:b w:val="false"/>
            <w:bCs w:val="false"/>
            <w:i/>
            <w:iCs/>
          </w:rPr>
          <w:t>guillaume.devailly@inra.fr</w:t>
        </w:r>
      </w:hyperlink>
      <w:r>
        <w:rPr>
          <w:rFonts w:ascii="Times New Roman" w:hAnsi="Times New Roman"/>
          <w:b w:val="false"/>
          <w:bCs w:val="false"/>
          <w:i/>
          <w:iCs/>
        </w:rPr>
        <w:t xml:space="preserve"> </w:t>
      </w:r>
    </w:p>
    <w:p>
      <w:pPr>
        <w:pStyle w:val="Normal"/>
        <w:rPr>
          <w:rFonts w:ascii="Times New Roman" w:hAnsi="Times New Roman"/>
        </w:rPr>
      </w:pPr>
      <w:r>
        <w:rPr>
          <w:rFonts w:ascii="Times New Roman" w:hAnsi="Times New Roman"/>
        </w:rPr>
      </w:r>
    </w:p>
    <w:p>
      <w:pPr>
        <w:pStyle w:val="Normal"/>
        <w:jc w:val="both"/>
        <w:rPr/>
      </w:pPr>
      <w:r>
        <w:rPr>
          <w:rFonts w:ascii="Times New Roman" w:hAnsi="Times New Roman"/>
        </w:rPr>
        <w:t>Les marques épigénétiques présentes le long du génome sont cartographié</w:t>
      </w:r>
      <w:r>
        <w:rPr>
          <w:rFonts w:ascii="Times New Roman" w:hAnsi="Times New Roman"/>
        </w:rPr>
        <w:t>e</w:t>
      </w:r>
      <w:r>
        <w:rPr>
          <w:rFonts w:ascii="Times New Roman" w:hAnsi="Times New Roman"/>
        </w:rPr>
        <w:t xml:space="preserve">s avec une précision et un débit en constante augmentation. </w:t>
      </w:r>
      <w:r>
        <w:rPr>
          <w:rFonts w:ascii="Times New Roman" w:hAnsi="Times New Roman"/>
        </w:rPr>
        <w:t xml:space="preserve">Divers consortiums ont générés de grandes quantités de données épigénomiques, couvrant différentes marques et différents types cellulaires et tissus humains. C’est le cas du projet </w:t>
      </w:r>
      <w:r>
        <w:rPr>
          <w:rFonts w:ascii="Times New Roman" w:hAnsi="Times New Roman"/>
          <w:i/>
          <w:iCs/>
        </w:rPr>
        <w:t>Roadmap epigenomics</w:t>
      </w:r>
      <w:r>
        <w:rPr>
          <w:rFonts w:ascii="Times New Roman" w:hAnsi="Times New Roman"/>
        </w:rPr>
        <w:t xml:space="preserve"> qui propose des données pour une trentaines de marques (WGBS, H2A.Z, acétylations et méthylations d’histones, Dnase1) dans une trentaines de types cellulaires, le tout </w:t>
      </w:r>
      <w:r>
        <w:rPr>
          <w:rFonts w:ascii="Times New Roman" w:hAnsi="Times New Roman"/>
          <w:i/>
          <w:iCs/>
        </w:rPr>
        <w:t>processé</w:t>
      </w:r>
      <w:r>
        <w:rPr>
          <w:rFonts w:ascii="Times New Roman" w:hAnsi="Times New Roman"/>
        </w:rPr>
        <w:t xml:space="preserve"> de manière uniforme.</w:t>
      </w:r>
    </w:p>
    <w:p>
      <w:pPr>
        <w:pStyle w:val="Normal"/>
        <w:jc w:val="both"/>
        <w:rPr>
          <w:rFonts w:ascii="Times New Roman" w:hAnsi="Times New Roman"/>
        </w:rPr>
      </w:pPr>
      <w:r>
        <w:rPr/>
      </w:r>
    </w:p>
    <w:p>
      <w:pPr>
        <w:pStyle w:val="Normal"/>
        <w:jc w:val="both"/>
        <w:rPr/>
      </w:pPr>
      <w:r>
        <w:rPr>
          <w:rFonts w:ascii="Times New Roman" w:hAnsi="Times New Roman"/>
        </w:rPr>
        <w:t xml:space="preserve">Nous utilisons ce riche jeu de données pour évaluer systématiquement les liens entre marques </w:t>
      </w:r>
      <w:r>
        <w:rPr>
          <w:rFonts w:ascii="Times New Roman" w:hAnsi="Times New Roman"/>
        </w:rPr>
        <w:t>épigénétiques</w:t>
      </w:r>
      <w:r>
        <w:rPr>
          <w:rFonts w:ascii="Times New Roman" w:hAnsi="Times New Roman"/>
        </w:rPr>
        <w:t xml:space="preserve"> et transcription, au travers diverses analyses. </w:t>
      </w:r>
      <w:r>
        <w:rPr>
          <w:rFonts w:ascii="Times New Roman" w:hAnsi="Times New Roman"/>
        </w:rPr>
        <w:t xml:space="preserve">Notamment : </w:t>
      </w:r>
    </w:p>
    <w:p>
      <w:pPr>
        <w:pStyle w:val="Normal"/>
        <w:jc w:val="both"/>
        <w:rPr/>
      </w:pPr>
      <w:r>
        <w:rPr>
          <w:rFonts w:ascii="Times New Roman" w:hAnsi="Times New Roman"/>
        </w:rPr>
        <w:t>- corrélations entre marque épigénétique et niveau de la transcription autour des sites d’initiations de la transcriptions (TSS), des sites de terminaisons (TTS), et des exons intermédiaires.</w:t>
      </w:r>
    </w:p>
    <w:p>
      <w:pPr>
        <w:pStyle w:val="Normal"/>
        <w:jc w:val="both"/>
        <w:rPr/>
      </w:pPr>
      <w:r>
        <w:rPr>
          <w:rFonts w:ascii="Times New Roman" w:hAnsi="Times New Roman"/>
        </w:rPr>
        <w:t>- étude différentié</w:t>
      </w:r>
      <w:r>
        <w:rPr>
          <w:rFonts w:ascii="Times New Roman" w:hAnsi="Times New Roman"/>
        </w:rPr>
        <w:t>e</w:t>
      </w:r>
      <w:r>
        <w:rPr>
          <w:rFonts w:ascii="Times New Roman" w:hAnsi="Times New Roman"/>
        </w:rPr>
        <w:t xml:space="preserve"> par types de gènes : codant pour des protéines, lincRNA, miRNA, pseudogènes, pour mettre en évidence des régulations spécifiques.</w:t>
      </w:r>
    </w:p>
    <w:p>
      <w:pPr>
        <w:pStyle w:val="Normal"/>
        <w:jc w:val="both"/>
        <w:rPr/>
      </w:pPr>
      <w:r>
        <w:rPr>
          <w:rFonts w:ascii="Times New Roman" w:hAnsi="Times New Roman"/>
        </w:rPr>
        <w:t>- pour la méthylation, analyses parallèle du ratio de méthylation (ou pourcentage de CpG méthylé), de la densité de méthylation (ou nombre de CpG méthylé) et de la densité en sites CpG, afin de démêler les liens entre îlots CpG et méthylation.</w:t>
      </w:r>
    </w:p>
    <w:p>
      <w:pPr>
        <w:pStyle w:val="Normal"/>
        <w:jc w:val="both"/>
        <w:rPr/>
      </w:pPr>
      <w:r>
        <w:rPr>
          <w:rFonts w:ascii="Times New Roman" w:hAnsi="Times New Roman"/>
        </w:rPr>
        <w:t>- corrélations entre ratio d’inclusion des exons et marque épigénomique sur ces exons pour confirmer ou infirmer les liens entre épissage alternatif et marque épigénétiques.</w:t>
      </w:r>
    </w:p>
    <w:p>
      <w:pPr>
        <w:pStyle w:val="Normal"/>
        <w:jc w:val="both"/>
        <w:rPr>
          <w:rFonts w:ascii="Times New Roman" w:hAnsi="Times New Roman"/>
        </w:rPr>
      </w:pPr>
      <w:r>
        <w:rPr/>
      </w:r>
    </w:p>
    <w:p>
      <w:pPr>
        <w:pStyle w:val="Normal"/>
        <w:jc w:val="both"/>
        <w:rPr/>
      </w:pPr>
      <w:r>
        <w:rPr>
          <w:rFonts w:ascii="Times New Roman" w:hAnsi="Times New Roman"/>
        </w:rPr>
        <w:t>C</w:t>
      </w:r>
      <w:r>
        <w:rPr>
          <w:rFonts w:ascii="Times New Roman" w:hAnsi="Times New Roman"/>
        </w:rPr>
        <w:t>es analyses sont mis</w:t>
      </w:r>
      <w:r>
        <w:rPr>
          <w:rFonts w:ascii="Times New Roman" w:hAnsi="Times New Roman"/>
        </w:rPr>
        <w:t>es</w:t>
      </w:r>
      <w:r>
        <w:rPr>
          <w:rFonts w:ascii="Times New Roman" w:hAnsi="Times New Roman"/>
        </w:rPr>
        <w:t xml:space="preserve"> en valeur au travers d’un portail interactif d’exploration des résultats (en cours de construction) : </w:t>
      </w:r>
      <w:hyperlink r:id="rId3">
        <w:r>
          <w:rPr>
            <w:rStyle w:val="LienInternet"/>
            <w:rFonts w:ascii="Times New Roman" w:hAnsi="Times New Roman"/>
          </w:rPr>
          <w:t>www.perepigenomics.roslin.ed.ac.uk</w:t>
        </w:r>
      </w:hyperlink>
      <w:r>
        <w:rPr>
          <w:rFonts w:ascii="Times New Roman" w:hAnsi="Times New Roman"/>
        </w:rPr>
        <w:t xml:space="preserve">. </w:t>
      </w:r>
      <w:r>
        <w:rPr>
          <w:rFonts w:ascii="Times New Roman" w:hAnsi="Times New Roman"/>
        </w:rPr>
        <w:t>Nous espérons confirmer ou infirmer à grande échelle des corrélations déjà connues, mais aussi en identifier de nouvelles. Dans un second temps nous espérons exploiter des expériences de perturbations de marques épigénétiques afin d’identifier des relations causales. Enfin nous proposons de mettre en place ce types de visualisations et d’analyses pour les données générées par le consortium FAANG.</w:t>
      </w:r>
    </w:p>
    <w:p>
      <w:pPr>
        <w:pStyle w:val="Normal"/>
        <w:jc w:val="both"/>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pPr>
      <w:r>
        <w:rPr>
          <w:rFonts w:ascii="Times New Roman" w:hAnsi="Times New Roman"/>
          <w:i/>
        </w:rPr>
        <w:t xml:space="preserve">Financement : </w:t>
      </w:r>
      <w:r>
        <w:rPr>
          <w:rFonts w:ascii="Times New Roman" w:hAnsi="Times New Roman"/>
          <w:i/>
        </w:rPr>
        <w:t>The research leading to these results has received funding from the People Programme (Marie Curie Actions) of the European Union’s Seventh Framework Programme (FP7/2007-2013) under REA grant agreement No PCOFUND-GA-2012-600181.</w:t>
      </w:r>
    </w:p>
    <w:p>
      <w:pPr>
        <w:pStyle w:val="Normal"/>
        <w:rPr>
          <w:rFonts w:ascii="Times New Roman" w:hAnsi="Times New Roman"/>
          <w:i/>
          <w:i/>
          <w:iC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FreeSans"/>
      <w:color w:val="00000A"/>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Titr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illaume.devailly@inra.fr" TargetMode="External"/><Relationship Id="rId3" Type="http://schemas.openxmlformats.org/officeDocument/2006/relationships/hyperlink" Target="http://www.perepigenomics.roslin.ed.ac.u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366</Words>
  <Characters>2221</Characters>
  <CharactersWithSpaces>2577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2018-02-15T13:03:40Z</dcterms:created>
  <dc:creator>Vincent Coustham</dc:creator>
  <dc:description/>
  <dc:language>fr-FR</dc:language>
  <cp:lastModifiedBy/>
  <dcterms:modified xsi:type="dcterms:W3CDTF">2018-03-28T10:05:01Z</dcterms:modified>
  <cp:revision>4</cp:revision>
  <dc:subject/>
  <dc:title/>
</cp:coreProperties>
</file>