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16: Adventurer Economy and External World Simulation</w:t>
      </w:r>
    </w:p>
    <w:p>
      <w:r>
        <w:t>Status: Locked (v1)</w:t>
        <w:br/>
        <w:t>Scope: MVP with forward compatibility</w:t>
        <w:br/>
      </w:r>
    </w:p>
    <w:p>
      <w:pPr>
        <w:pStyle w:val="Heading2"/>
      </w:pPr>
      <w:r>
        <w:t>1. Purpose</w:t>
      </w:r>
    </w:p>
    <w:p>
      <w:r>
        <w:t>This system defines how adventurers exist in the external world, how they circulate between regions, how loot and death affect the economy, and how the dungeon interfaces with a living but bounded world.</w:t>
      </w:r>
    </w:p>
    <w:p>
      <w:pPr>
        <w:pStyle w:val="Heading2"/>
      </w:pPr>
      <w:r>
        <w:t>2. World Model</w:t>
      </w:r>
    </w:p>
    <w:p>
      <w:r>
        <w:t>Adventurers are finite and simulated at a high level. In MVP, they are represented as pooled counts per region and per level band.</w:t>
      </w:r>
    </w:p>
    <w:p>
      <w:pPr>
        <w:pStyle w:val="Heading2"/>
      </w:pPr>
      <w:r>
        <w:t>3. Adventurer Lifecycle</w:t>
      </w:r>
    </w:p>
    <w:p>
      <w:r>
        <w:t>Adventurers persist across dungeon runs, gain levels and gear, and may retire. Death removes them from the region with a short cooldown before reappearance elsewhere.</w:t>
      </w:r>
    </w:p>
    <w:p>
      <w:pPr>
        <w:pStyle w:val="Heading2"/>
      </w:pPr>
      <w:r>
        <w:t>4. Loot and Economy</w:t>
      </w:r>
    </w:p>
    <w:p>
      <w:r>
        <w:t>Extracted loot circulates abstractly. Merchant availability is fixed in MVP. No global supply saturation occurs.</w:t>
      </w:r>
    </w:p>
    <w:p>
      <w:pPr>
        <w:pStyle w:val="Heading2"/>
      </w:pPr>
      <w:r>
        <w:t>5. Dungeon Competition</w:t>
      </w:r>
    </w:p>
    <w:p>
      <w:r>
        <w:t>Dungeons do not compete for a single global pool. Competition is indirect through reputation and archetypes.</w:t>
      </w:r>
    </w:p>
    <w:p>
      <w:pPr>
        <w:pStyle w:val="Heading2"/>
      </w:pPr>
      <w:r>
        <w:t>6. MVP Boundary</w:t>
      </w:r>
    </w:p>
    <w:p>
      <w:r>
        <w:t>The world economy is a background approximation with visible effects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