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PERFORMANCE MARKETING | CONVERSION OPTIMIZATION, ROI &amp; MARKETING ANALYTICS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Performance 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</w:t>
      </w:r>
      <w:r>
        <w:rPr>
          <w:rFonts w:ascii="Calibri" w:hAnsi="Calibri"/>
          <w:b/>
          <w:i w:val="0"/>
          <w:color w:val="333333"/>
          <w:sz w:val="20"/>
        </w:rPr>
        <w:t>15 years in dedicated performance marketing and analytics leadership</w:t>
      </w:r>
      <w:r>
        <w:rPr>
          <w:rFonts w:ascii="Calibri" w:hAnsi="Calibri"/>
          <w:b w:val="0"/>
          <w:i w:val="0"/>
          <w:color w:val="333333"/>
          <w:sz w:val="20"/>
        </w:rPr>
        <w:t xml:space="preserve">, driving </w:t>
      </w:r>
      <w:r>
        <w:rPr>
          <w:rFonts w:ascii="Calibri" w:hAnsi="Calibri"/>
          <w:b/>
          <w:i w:val="0"/>
          <w:color w:val="333333"/>
          <w:sz w:val="20"/>
        </w:rPr>
        <w:t>conversion optimization, marketing attribution, and ROI-led decision-making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organizations. Proven track record improving </w:t>
      </w:r>
      <w:r>
        <w:rPr>
          <w:rFonts w:ascii="Calibri" w:hAnsi="Calibri"/>
          <w:b/>
          <w:i w:val="0"/>
          <w:color w:val="333333"/>
          <w:sz w:val="20"/>
        </w:rPr>
        <w:t>media efficiency, executive dashboarding, and revenue-aligned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to deliver measurable </w:t>
      </w:r>
      <w:r>
        <w:rPr>
          <w:rFonts w:ascii="Calibri" w:hAnsi="Calibri"/>
          <w:b/>
          <w:i w:val="0"/>
          <w:color w:val="333333"/>
          <w:sz w:val="20"/>
        </w:rPr>
        <w:t>business outcomes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Performance Marketing Strategy  •  Conversion Rate Optimization (CRO)  •  Marketing Attribution  •  A/B &amp; Multivariate Testing  •  Campaign &amp; Bid Optimization  •  Paid Search &amp; Paid Social  •  Marketing Analytics &amp; Reporting  •  Executive Dashboard Development  •  Data-Driven Decision Making  •  Customer Acquisition  •  Audience Optimization  •  Revenue &amp; ROI Optimization  •  Budget &amp; Media Efficiency Management  •  Business Intelligence  •  GTM Strategy  •  AI-Enabled Marketing Analytics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marketing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performance-led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</w:t>
      </w:r>
      <w:r>
        <w:rPr>
          <w:rFonts w:ascii="Calibri" w:hAnsi="Calibri"/>
          <w:b/>
          <w:i w:val="0"/>
          <w:color w:val="333333"/>
          <w:sz w:val="20"/>
        </w:rPr>
        <w:t>qualified conversions by 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testing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executive dashboards.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Built standardized performance reporting frameworks spanning campaign, media, and pipeline data.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</w:t>
      </w:r>
      <w:r>
        <w:rPr>
          <w:rFonts w:ascii="Calibri" w:hAnsi="Calibri"/>
          <w:b/>
          <w:i w:val="0"/>
          <w:color w:val="333333"/>
          <w:sz w:val="20"/>
        </w:rPr>
        <w:t>qualified pipeline by 25%</w:t>
      </w:r>
      <w:r>
        <w:rPr>
          <w:rFonts w:ascii="Calibri" w:hAnsi="Calibri"/>
          <w:b w:val="0"/>
          <w:i w:val="0"/>
          <w:color w:val="333333"/>
          <w:sz w:val="20"/>
        </w:rPr>
        <w:t>, translating marketing performance into measurable revenue contribution.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performance reporting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analytics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MARKETING HEAD – DIGITAL &amp; GROWTH</w:t>
      </w:r>
      <w:r>
        <w:rPr>
          <w:rFonts w:ascii="Calibri" w:hAnsi="Calibri"/>
          <w:b w:val="0"/>
          <w:i/>
          <w:color w:val="555555"/>
          <w:sz w:val="18"/>
        </w:rPr>
        <w:tab/>
        <w:t>Jul 2024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performance marketing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India and the broader APJC region, aligning media and campaign investment with ROI targets.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conversion optimization and testing programs across paid and digital channels.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analytics, attribution, and executive dashboard development.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reducing CPA by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experimentation and audience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 with Sales and Finance to translate marketing performance into pipeline and revenue impact.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AI adoption across performance marketing analytics and reporting workflows.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 Ltd</w:t>
      </w:r>
      <w:r>
        <w:rPr>
          <w:rFonts w:ascii="Calibri" w:hAnsi="Calibri"/>
          <w:b w:val="0"/>
          <w:i/>
          <w:color w:val="555555"/>
          <w:sz w:val="20"/>
        </w:rPr>
        <w:t xml:space="preserve">  |  REGIONAL DIGITAL MARKETING – PAID MEDIA, ABM &amp; DEMAND GEN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performance marketing and media optimization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spanning search, social, programmatic, video, and mobile — including growing Cisco India's social media presence to </w:t>
      </w:r>
      <w:r>
        <w:rPr>
          <w:rFonts w:ascii="Calibri" w:hAnsi="Calibri"/>
          <w:b/>
          <w:i w:val="0"/>
          <w:color w:val="333333"/>
          <w:sz w:val="20"/>
        </w:rPr>
        <w:t>100,000+ organic followers within 12 months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marketing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performance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CPA/CAC by </w:t>
      </w:r>
      <w:r>
        <w:rPr>
          <w:rFonts w:ascii="Calibri" w:hAnsi="Calibri"/>
          <w:b/>
          <w:i w:val="0"/>
          <w:color w:val="333333"/>
          <w:sz w:val="20"/>
        </w:rPr>
        <w:t>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testing, targeting,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marketing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Built executive dashboards standardizing performance reporting across campaign, media, and pipeline data.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 xml:space="preserve">; ran the </w:t>
      </w:r>
      <w:r>
        <w:rPr>
          <w:rFonts w:ascii="Calibri" w:hAnsi="Calibri"/>
          <w:b/>
          <w:i w:val="0"/>
          <w:color w:val="333333"/>
          <w:sz w:val="20"/>
        </w:rPr>
        <w:t>Cisco Interaction Network webinar series</w:t>
      </w:r>
      <w:r>
        <w:rPr>
          <w:rFonts w:ascii="Calibri" w:hAnsi="Calibri"/>
          <w:b w:val="0"/>
          <w:i w:val="0"/>
          <w:color w:val="333333"/>
          <w:sz w:val="20"/>
        </w:rPr>
        <w:t>, engaging 1,000 IT decision-makers and influencers monthly for 5 years.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400 qualified leads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$4M+ in pipeline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 demand generation campaign with Ingram Micro.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Measurement Framework: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standardized executive dashboards spanning campaign, media, website, and pipeline reporting, improving </w:t>
      </w:r>
      <w:r>
        <w:rPr>
          <w:rFonts w:ascii="Calibri" w:hAnsi="Calibri"/>
          <w:b/>
          <w:i w:val="0"/>
          <w:color w:val="333333"/>
          <w:sz w:val="20"/>
        </w:rPr>
        <w:t>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Media Portfolio Optimization: </w:t>
      </w:r>
      <w:r>
        <w:rPr>
          <w:rFonts w:ascii="Calibri" w:hAnsi="Calibri"/>
          <w:b w:val="0"/>
          <w:i w:val="0"/>
          <w:color w:val="333333"/>
          <w:sz w:val="20"/>
        </w:rPr>
        <w:t xml:space="preserve">Delivered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performance-led governance across a $4M+ media portfolio.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performance-driven acquisition strategy for a Webex freemium marketplace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Partner Marketplace Program: </w:t>
      </w:r>
      <w:r>
        <w:rPr>
          <w:rFonts w:ascii="Calibri" w:hAnsi="Calibri"/>
          <w:b w:val="0"/>
          <w:i w:val="0"/>
          <w:color w:val="333333"/>
          <w:sz w:val="20"/>
        </w:rPr>
        <w:t xml:space="preserve">Executed a B2B marketplace program with Redington, generating </w:t>
      </w:r>
      <w:r>
        <w:rPr>
          <w:rFonts w:ascii="Calibri" w:hAnsi="Calibri"/>
          <w:b/>
          <w:i w:val="0"/>
          <w:color w:val="333333"/>
          <w:sz w:val="20"/>
        </w:rPr>
        <w:t>$120K in new bookings</w:t>
      </w:r>
      <w:r>
        <w:rPr>
          <w:rFonts w:ascii="Calibri" w:hAnsi="Calibri"/>
          <w:b w:val="0"/>
          <w:i w:val="0"/>
          <w:color w:val="333333"/>
          <w:sz w:val="20"/>
        </w:rPr>
        <w:t xml:space="preserve"> within 12 months.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STRATEGIC INITIATIVES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Executed integrated Display, Print, TV, and Event campaigns reaching </w:t>
      </w:r>
      <w:r>
        <w:rPr>
          <w:rFonts w:ascii="Calibri" w:hAnsi="Calibri"/>
          <w:b/>
          <w:i w:val="0"/>
          <w:color w:val="333333"/>
          <w:sz w:val="20"/>
        </w:rPr>
        <w:t>20M consumers</w:t>
      </w:r>
      <w:r>
        <w:rPr>
          <w:rFonts w:ascii="Calibri" w:hAnsi="Calibri"/>
          <w:b w:val="0"/>
          <w:i w:val="0"/>
          <w:color w:val="333333"/>
          <w:sz w:val="20"/>
        </w:rPr>
        <w:t>, driving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Delivered a </w:t>
      </w:r>
      <w:r>
        <w:rPr>
          <w:rFonts w:ascii="Calibri" w:hAnsi="Calibri"/>
          <w:b/>
          <w:i w:val="0"/>
          <w:color w:val="333333"/>
          <w:sz w:val="20"/>
        </w:rPr>
        <w:t>15% increase in conversions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campaign management and consumer engagement supporting digital adoption.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MEDIA MARKETING &amp; ADVERTISEMENTS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advertiser reach by </w:t>
      </w:r>
      <w:r>
        <w:rPr>
          <w:rFonts w:ascii="Calibri" w:hAnsi="Calibri"/>
          <w:b/>
          <w:i w:val="0"/>
          <w:color w:val="333333"/>
          <w:sz w:val="20"/>
        </w:rPr>
        <w:t>30%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cross-media campaign management across Print, Radio, Outdoor, TV, Digital, and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campaign efficiency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coordinated campaign reporting and stakeholder communication.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Analytics &amp; BI: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Tableau | Domo | Looker Studio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CRM &amp; Marketing Automation: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70" w:line="240" w:lineRule="auto"/>
      </w:pPr>
      <w:r>
        <w:rPr>
          <w:rFonts w:ascii="Calibri" w:hAnsi="Calibri"/>
          <w:b w:val="0"/>
          <w:i/>
          <w:color w:val="555555"/>
          <w:sz w:val="20"/>
        </w:rPr>
        <w:t>Skill India – Government of India | Mar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