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  <w:b/>
          <w:sz w:val="32"/>
        </w:rPr>
        <w:t>GAGAN DEEP GARG</w:t>
      </w:r>
      <w:r w:rsidRPr="006B02EC">
        <w:rPr>
          <w:rFonts w:asciiTheme="minorHAnsi" w:hAnsiTheme="minorHAnsi" w:cstheme="minorHAnsi"/>
        </w:rPr>
        <w:br/>
        <w:t>New Delhi, Ind</w:t>
      </w:r>
      <w:r>
        <w:rPr>
          <w:rFonts w:asciiTheme="minorHAnsi" w:hAnsiTheme="minorHAnsi" w:cstheme="minorHAnsi"/>
        </w:rPr>
        <w:t>ia |</w:t>
      </w:r>
      <w:r w:rsidRPr="006B02EC">
        <w:rPr>
          <w:rFonts w:asciiTheme="minorHAnsi" w:hAnsiTheme="minorHAnsi" w:cstheme="minorHAnsi"/>
        </w:rPr>
        <w:t xml:space="preserve">+91-9871121860 | </w:t>
      </w:r>
      <w:hyperlink r:id="rId5" w:history="1">
        <w:r w:rsidRPr="006B02EC">
          <w:rPr>
            <w:rStyle w:val="Hyperlink"/>
            <w:rFonts w:asciiTheme="minorHAnsi" w:hAnsiTheme="minorHAnsi" w:cstheme="minorHAnsi"/>
          </w:rPr>
          <w:t>gdgarg@gmail.com</w:t>
        </w:r>
      </w:hyperlink>
    </w:p>
    <w:p w:rsidR="006B02EC" w:rsidRPr="006B02EC" w:rsidRDefault="006B02EC" w:rsidP="006B02EC">
      <w:pPr>
        <w:pStyle w:val="Heading1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DIGITAL MEDIA &amp; CLIENT PARTNERSHIPS LEADER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Digital Media Strategy | Brand Camp</w:t>
      </w:r>
      <w:r>
        <w:rPr>
          <w:rFonts w:asciiTheme="minorHAnsi" w:hAnsiTheme="minorHAnsi" w:cstheme="minorHAnsi"/>
        </w:rPr>
        <w:t xml:space="preserve">aigns | Performance Marketing </w:t>
      </w:r>
      <w:r w:rsidRPr="006B02EC">
        <w:rPr>
          <w:rFonts w:asciiTheme="minorHAnsi" w:hAnsiTheme="minorHAnsi" w:cstheme="minorHAnsi"/>
        </w:rPr>
        <w:t>| Integrated Media Planning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EXECUTIVE SUMMARY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Digital marketing, client partnerships, and integrated media strategy leader with 20 years of experience managing enterprise digital campaigns, regio</w:t>
      </w:r>
      <w:bookmarkStart w:id="0" w:name="_GoBack"/>
      <w:bookmarkEnd w:id="0"/>
      <w:r w:rsidRPr="006B02EC">
        <w:rPr>
          <w:rFonts w:asciiTheme="minorHAnsi" w:hAnsiTheme="minorHAnsi" w:cstheme="minorHAnsi"/>
        </w:rPr>
        <w:t>nal brand initiatives, and performance marketing programs across technology and media organizations. Proven expertise developing annual media strategies, leading integrated marketing communication programs, and managing cross-functional execution across Search, Social, Video, Programmatic, and Web platforms. Experienced managing $3M–$4M+ annual media investments while improving campaign performance, customer acquisition efficiency, conversion outcomes, and marketing ROI. Led teams of 5+ professionals and coordinated agencies, vendors, and regional stakeholders across APAC, EMEA, and Americas.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CORE CAPABILITIES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Client Servicing &amp; Account Management • Digital Media Strategy • Integrated Marketing Communication (IMC) • Brand Campaign Planning • Performance Marketing • Search &amp; Social Advertising • Programmatic Media • Campaign Governance • Team Leadership • Media Planning • Stakeholder Management • Executive Presentations • KPI &amp; Conversion Management • Audience Segmentation • Budget Management • Marketing Analytics • Vendor Coordination • Reporting &amp; Business Reviews • AI-Enabled Campaign Optimization</w:t>
      </w:r>
    </w:p>
    <w:p w:rsidR="006B02EC" w:rsidRPr="006B02EC" w:rsidRDefault="006B02EC" w:rsidP="006B02E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KEY BUSINESS IMPACT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Delivered 15x marketing ROI on investments exceeding $4M through strategic media planning, optimization, and campaign governance.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campaign conversion rates by 22% through audience segmentation, experimentation frameworks, and analytics-led optimization initiatives.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Reduced customer acquisition costs by 17% through continuous optimization of targeting, bidding strategies, and budget allocation.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Increased qualified business opportunities by 25% through integrated digital marketing and demand generation programs.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annual digital advertising investments exceeding $4M across Google Ads, Meta, YouTube, LinkedIn, Programmatic, and Social channels.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two APAC brand launch initiatives at Cisco supporting regional awareness, customer engagement, and integrated campaign activation.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attribution visibility and reporting accuracy by 25% through GA4 and Salesforce-integrated reporting modernization initiatives.</w:t>
      </w:r>
    </w:p>
    <w:p w:rsidR="006B02EC" w:rsidRPr="006B02EC" w:rsidRDefault="006B02EC" w:rsidP="006B02E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PROFESSIONAL EXPERIENCE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KEYSIGHT TECHNOLOGIES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Marketing Manager – Global Growth &amp; Strategy | Jul 2024 – Present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Lead integrated digital marketing initiatives across APAC, EMEA, and Americas supporting pipeline growth, customer acquisition, and campaign performance objectives.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Develop annual digital media strategies aligned to business goals, integrated marketing communication priorities, and budget plans.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 campaign execution across Search, Social, Programmatic, Email, Video, and Web channels while ensuring optimization against agreed KPIs including reach, engagement, leads, and conversions.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Partner with Sales, Product Marketing, Agencies, and Operations teams to align campaign delivery, stakeholder expectations, and reporting visibility.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lastRenderedPageBreak/>
        <w:t>Manage marketing investments exceeding $3M while driving campaign optimization, conversion improvements, and acquisition efficiency.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qualified conversions by 22% and reduced CAC by 17% through analytics-led optimization, AI-assisted audience targeting, and experimentation initiatives.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Present campaign reviews, optimization recommendations, and strategic insights to senior leadership and cross-functional stakeholders.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Lead and coordinate internal and external execution teams while improving operational scalability through AI-assisted workflows and automation.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CISCO SYSTEMS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Digital Marketing Lead – Strategy &amp; Global Programs | Feb 2011 – Apr 2024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enterprise digital marketing and integrated media programs across APJC markets supporting pipeline acceleration, customer engagement, and regional brand visibility objectives.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$4M+ annual media investments across Google Ads, Meta, YouTube, LinkedIn, Programmatic, Video, Content Syndication, and digital acquisition channels.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Developed integrated media strategies aligned with annual marketing plans, branding objectives, and customer acquisition goals.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two APAC brand launch campaigns coordinating cross-functional teams, media activation, digital engagement, and regional stakeholder alignment.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Coordinated agencies, media vendors, creative teams, and internal stakeholders to ensure campaign consistency, optimization, and KPI achievement.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 team of 5 professionals across campaign execution, reporting, optimization, and stakeholder coordination initiatives.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campaign reviews, optimization discussions, executive reporting, and monthly business reviews with senior stakeholders.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Addressed campaign performance escalations and implemented optimization strategies to improve delivery efficiency and conversion outcomes.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pipeline conversion by 20% through audience segmentation, lifecycle optimization, targeting refinement, and sales-marketing alignment.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attribution visibility and reporting accuracy by 25% through GA4 transition and Salesforce-integrated analytics modernization initiatives.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Evaluated new media opportunities, digital platforms, and campaign innovations supporting regional business and marketing objectives.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NETWORK18 GROUP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Manager – Advertising &amp; Integrated Media | 2009 – 2011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advertiser relationships and integrated media campaigns across television, digital, print, sponsorship, and events platforms.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Developed media proposals, branding campaigns, and audience engagement initiatives aligned with client business objectives.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Coordinated internal creative, sales, operations, and programming teams to ensure campaign delivery and execution quality.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Conducted client presentations, campaign reviews, and performance discussions to strengthen relationships and support business growth.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THE TIMES OF INDIA GROUP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Assistant Manager – Advertising &amp; Media Planning | 2003 – 2008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advertiser accounts across print, radio, outdoor, digital, and integrated media platforms.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Assisted clients and agencies with media planning recommendations aligned with campaign objectives, audience targeting, and branding requirements.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Coordinated campaign execution, reporting, proposal development, and media operations activities.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Built foundational expertise in integrated media strategy, audience planning, stakeholder management, and campaign delivery.</w:t>
      </w:r>
    </w:p>
    <w:p w:rsidR="006B02EC" w:rsidRPr="006B02EC" w:rsidRDefault="006B02EC" w:rsidP="006B02E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SELECTED STRATEGIC INITIATIVES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APAC Brand Launch Programs – Cisco Systems</w:t>
      </w:r>
    </w:p>
    <w:p w:rsidR="006B02EC" w:rsidRPr="006B02EC" w:rsidRDefault="006B02EC" w:rsidP="006B02E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lastRenderedPageBreak/>
        <w:t>Led integrated APAC launch coordination for two regional brand initiatives involving digital media activation, stakeholder alignment, campaign governance, and cross-market execution.</w:t>
      </w:r>
    </w:p>
    <w:p w:rsidR="006B02EC" w:rsidRPr="006B02EC" w:rsidRDefault="006B02EC" w:rsidP="006B02E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Supported awareness growth, audience engagement, and regional campaign consistency through integrated digital and media programs.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 xml:space="preserve">Global Demand Engine Optimization – </w:t>
      </w:r>
      <w:proofErr w:type="spellStart"/>
      <w:r w:rsidRPr="006B02EC">
        <w:rPr>
          <w:rFonts w:asciiTheme="minorHAnsi" w:hAnsiTheme="minorHAnsi" w:cstheme="minorHAnsi"/>
          <w:sz w:val="24"/>
          <w:szCs w:val="24"/>
        </w:rPr>
        <w:t>Keysight</w:t>
      </w:r>
      <w:proofErr w:type="spellEnd"/>
      <w:r w:rsidRPr="006B02EC">
        <w:rPr>
          <w:rFonts w:asciiTheme="minorHAnsi" w:hAnsiTheme="minorHAnsi" w:cstheme="minorHAnsi"/>
          <w:sz w:val="24"/>
          <w:szCs w:val="24"/>
        </w:rPr>
        <w:t xml:space="preserve"> Technologies</w:t>
      </w:r>
    </w:p>
    <w:p w:rsidR="006B02EC" w:rsidRPr="006B02EC" w:rsidRDefault="006B02EC" w:rsidP="006B02E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qualified conversions by 22% through campaign optimization, targeting refinement, and analytics-driven decision making.</w:t>
      </w:r>
    </w:p>
    <w:p w:rsidR="006B02EC" w:rsidRPr="006B02EC" w:rsidRDefault="006B02EC" w:rsidP="006B02E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Enhanced reporting visibility and campaign effectiveness through integrated performance measurement frameworks.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/>
      </w:r>
      <w:r w:rsidRPr="006B02EC">
        <w:rPr>
          <w:rFonts w:asciiTheme="minorHAnsi" w:hAnsiTheme="minorHAnsi" w:cstheme="minorHAnsi"/>
          <w:sz w:val="24"/>
          <w:szCs w:val="24"/>
        </w:rPr>
        <w:t>TECHNOLOGY STACK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 xml:space="preserve">Google Ads | Meta Ads | YouTube Ads | LinkedIn Campaign Manager | DV360 | Programmatic Advertising | GA4 | Adobe Analytics | Salesforce | </w:t>
      </w:r>
      <w:proofErr w:type="spellStart"/>
      <w:r w:rsidRPr="006B02EC">
        <w:rPr>
          <w:rFonts w:asciiTheme="minorHAnsi" w:hAnsiTheme="minorHAnsi" w:cstheme="minorHAnsi"/>
        </w:rPr>
        <w:t>Marketo</w:t>
      </w:r>
      <w:proofErr w:type="spellEnd"/>
      <w:r w:rsidRPr="006B02EC">
        <w:rPr>
          <w:rFonts w:asciiTheme="minorHAnsi" w:hAnsiTheme="minorHAnsi" w:cstheme="minorHAnsi"/>
        </w:rPr>
        <w:t xml:space="preserve"> Engage | Oracle </w:t>
      </w:r>
      <w:proofErr w:type="spellStart"/>
      <w:r w:rsidRPr="006B02EC">
        <w:rPr>
          <w:rFonts w:asciiTheme="minorHAnsi" w:hAnsiTheme="minorHAnsi" w:cstheme="minorHAnsi"/>
        </w:rPr>
        <w:t>Eloqua</w:t>
      </w:r>
      <w:proofErr w:type="spellEnd"/>
      <w:r w:rsidRPr="006B02EC">
        <w:rPr>
          <w:rFonts w:asciiTheme="minorHAnsi" w:hAnsiTheme="minorHAnsi" w:cstheme="minorHAnsi"/>
        </w:rPr>
        <w:t xml:space="preserve"> | </w:t>
      </w:r>
      <w:proofErr w:type="spellStart"/>
      <w:r w:rsidRPr="006B02EC">
        <w:rPr>
          <w:rFonts w:asciiTheme="minorHAnsi" w:hAnsiTheme="minorHAnsi" w:cstheme="minorHAnsi"/>
        </w:rPr>
        <w:t>HubSpot</w:t>
      </w:r>
      <w:proofErr w:type="spellEnd"/>
      <w:r w:rsidRPr="006B02EC">
        <w:rPr>
          <w:rFonts w:asciiTheme="minorHAnsi" w:hAnsiTheme="minorHAnsi" w:cstheme="minorHAnsi"/>
        </w:rPr>
        <w:t xml:space="preserve"> | Tableau | Looker Studio | Power BI | Domo | </w:t>
      </w:r>
      <w:proofErr w:type="spellStart"/>
      <w:r w:rsidRPr="006B02EC">
        <w:rPr>
          <w:rFonts w:asciiTheme="minorHAnsi" w:hAnsiTheme="minorHAnsi" w:cstheme="minorHAnsi"/>
        </w:rPr>
        <w:t>OpenAI</w:t>
      </w:r>
      <w:proofErr w:type="spellEnd"/>
      <w:r w:rsidRPr="006B02EC">
        <w:rPr>
          <w:rFonts w:asciiTheme="minorHAnsi" w:hAnsiTheme="minorHAnsi" w:cstheme="minorHAnsi"/>
        </w:rPr>
        <w:t xml:space="preserve"> GPT | n8n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EDUCATION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Master of Business Administration (MBA) – Marketing &amp; Finance</w:t>
      </w:r>
      <w:r w:rsidRPr="006B02EC">
        <w:rPr>
          <w:rFonts w:asciiTheme="minorHAnsi" w:hAnsiTheme="minorHAnsi" w:cstheme="minorHAnsi"/>
        </w:rPr>
        <w:br/>
        <w:t>Army Institute of Management &amp; Technology, India</w:t>
      </w:r>
    </w:p>
    <w:p w:rsidR="0015502F" w:rsidRPr="006B02EC" w:rsidRDefault="0015502F" w:rsidP="006B02EC">
      <w:pPr>
        <w:spacing w:after="240"/>
        <w:rPr>
          <w:rFonts w:cstheme="minorHAnsi"/>
          <w:sz w:val="24"/>
          <w:szCs w:val="24"/>
        </w:rPr>
      </w:pPr>
    </w:p>
    <w:sectPr w:rsidR="0015502F" w:rsidRPr="006B02EC" w:rsidSect="002A64D2">
      <w:pgSz w:w="11906" w:h="16838"/>
      <w:pgMar w:top="426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C7BEA"/>
    <w:multiLevelType w:val="multilevel"/>
    <w:tmpl w:val="1DA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72AD9"/>
    <w:multiLevelType w:val="multilevel"/>
    <w:tmpl w:val="155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45CAD"/>
    <w:multiLevelType w:val="multilevel"/>
    <w:tmpl w:val="449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3678F1"/>
    <w:multiLevelType w:val="multilevel"/>
    <w:tmpl w:val="350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35FB5"/>
    <w:multiLevelType w:val="multilevel"/>
    <w:tmpl w:val="BF0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DA599D"/>
    <w:multiLevelType w:val="multilevel"/>
    <w:tmpl w:val="366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4528E6"/>
    <w:multiLevelType w:val="multilevel"/>
    <w:tmpl w:val="667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63EF8"/>
    <w:multiLevelType w:val="multilevel"/>
    <w:tmpl w:val="F24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DA682B"/>
    <w:multiLevelType w:val="multilevel"/>
    <w:tmpl w:val="2B6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0F175B"/>
    <w:multiLevelType w:val="multilevel"/>
    <w:tmpl w:val="7CF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642E7"/>
    <w:multiLevelType w:val="multilevel"/>
    <w:tmpl w:val="B10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0F5F5F"/>
    <w:multiLevelType w:val="multilevel"/>
    <w:tmpl w:val="181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76F87"/>
    <w:multiLevelType w:val="multilevel"/>
    <w:tmpl w:val="DC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E73DA3"/>
    <w:multiLevelType w:val="multilevel"/>
    <w:tmpl w:val="CA0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7A3E0D"/>
    <w:multiLevelType w:val="multilevel"/>
    <w:tmpl w:val="72E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8376B"/>
    <w:multiLevelType w:val="multilevel"/>
    <w:tmpl w:val="A4A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116909"/>
    <w:multiLevelType w:val="multilevel"/>
    <w:tmpl w:val="76D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B75FA"/>
    <w:multiLevelType w:val="multilevel"/>
    <w:tmpl w:val="76F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23412D"/>
    <w:multiLevelType w:val="multilevel"/>
    <w:tmpl w:val="576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475F46"/>
    <w:multiLevelType w:val="multilevel"/>
    <w:tmpl w:val="95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2654D4"/>
    <w:multiLevelType w:val="multilevel"/>
    <w:tmpl w:val="03F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943C9A"/>
    <w:multiLevelType w:val="multilevel"/>
    <w:tmpl w:val="1AD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C42A23"/>
    <w:multiLevelType w:val="multilevel"/>
    <w:tmpl w:val="86F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9B6234"/>
    <w:multiLevelType w:val="multilevel"/>
    <w:tmpl w:val="435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F20DF9"/>
    <w:multiLevelType w:val="multilevel"/>
    <w:tmpl w:val="84A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1119DD"/>
    <w:multiLevelType w:val="multilevel"/>
    <w:tmpl w:val="E55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B45F59"/>
    <w:multiLevelType w:val="multilevel"/>
    <w:tmpl w:val="2A5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CC1759"/>
    <w:multiLevelType w:val="multilevel"/>
    <w:tmpl w:val="B7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6465C6"/>
    <w:multiLevelType w:val="multilevel"/>
    <w:tmpl w:val="5E5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25"/>
  </w:num>
  <w:num w:numId="4">
    <w:abstractNumId w:val="7"/>
  </w:num>
  <w:num w:numId="5">
    <w:abstractNumId w:val="18"/>
  </w:num>
  <w:num w:numId="6">
    <w:abstractNumId w:val="11"/>
  </w:num>
  <w:num w:numId="7">
    <w:abstractNumId w:val="15"/>
  </w:num>
  <w:num w:numId="8">
    <w:abstractNumId w:val="26"/>
  </w:num>
  <w:num w:numId="9">
    <w:abstractNumId w:val="9"/>
  </w:num>
  <w:num w:numId="10">
    <w:abstractNumId w:val="10"/>
  </w:num>
  <w:num w:numId="11">
    <w:abstractNumId w:val="27"/>
  </w:num>
  <w:num w:numId="12">
    <w:abstractNumId w:val="0"/>
  </w:num>
  <w:num w:numId="13">
    <w:abstractNumId w:val="20"/>
  </w:num>
  <w:num w:numId="14">
    <w:abstractNumId w:val="12"/>
  </w:num>
  <w:num w:numId="15">
    <w:abstractNumId w:val="17"/>
  </w:num>
  <w:num w:numId="16">
    <w:abstractNumId w:val="1"/>
  </w:num>
  <w:num w:numId="17">
    <w:abstractNumId w:val="3"/>
  </w:num>
  <w:num w:numId="18">
    <w:abstractNumId w:val="14"/>
  </w:num>
  <w:num w:numId="19">
    <w:abstractNumId w:val="21"/>
  </w:num>
  <w:num w:numId="20">
    <w:abstractNumId w:val="5"/>
  </w:num>
  <w:num w:numId="21">
    <w:abstractNumId w:val="2"/>
  </w:num>
  <w:num w:numId="22">
    <w:abstractNumId w:val="24"/>
  </w:num>
  <w:num w:numId="23">
    <w:abstractNumId w:val="23"/>
  </w:num>
  <w:num w:numId="24">
    <w:abstractNumId w:val="16"/>
  </w:num>
  <w:num w:numId="25">
    <w:abstractNumId w:val="28"/>
  </w:num>
  <w:num w:numId="26">
    <w:abstractNumId w:val="8"/>
  </w:num>
  <w:num w:numId="27">
    <w:abstractNumId w:val="19"/>
  </w:num>
  <w:num w:numId="28">
    <w:abstractNumId w:val="22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EF7"/>
    <w:rsid w:val="0015502F"/>
    <w:rsid w:val="001E7E80"/>
    <w:rsid w:val="002A64D2"/>
    <w:rsid w:val="0069014D"/>
    <w:rsid w:val="006B02EC"/>
    <w:rsid w:val="00AD2619"/>
    <w:rsid w:val="00B64FB5"/>
    <w:rsid w:val="00BD1F99"/>
    <w:rsid w:val="00C12F34"/>
    <w:rsid w:val="00CE0D17"/>
    <w:rsid w:val="00D91EF7"/>
    <w:rsid w:val="00E9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0936A-3EFC-4888-99E8-5F257466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4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91E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6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4F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2</cp:revision>
  <cp:lastPrinted>2026-06-05T04:18:00Z</cp:lastPrinted>
  <dcterms:created xsi:type="dcterms:W3CDTF">2026-06-05T05:53:00Z</dcterms:created>
  <dcterms:modified xsi:type="dcterms:W3CDTF">2026-06-05T05:53:00Z</dcterms:modified>
</cp:coreProperties>
</file>